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5B1255">
      <w:pPr>
        <w:rPr>
          <w:rFonts w:ascii="黑体" w:hAnsi="黑体" w:eastAsia="黑体" w:cs="黑体"/>
          <w:szCs w:val="21"/>
        </w:rPr>
      </w:pPr>
      <w:bookmarkStart w:id="0" w:name="_Toc273535137"/>
      <w:bookmarkStart w:id="1" w:name="_Toc275860585"/>
      <w:bookmarkStart w:id="2" w:name="_Toc259801842"/>
      <w:bookmarkStart w:id="3" w:name="_Toc261853805"/>
      <w:bookmarkStart w:id="4" w:name="_Toc258603870"/>
      <w:bookmarkStart w:id="5" w:name="_Toc272416166"/>
      <w:bookmarkStart w:id="6" w:name="_Toc255977782"/>
      <w:bookmarkStart w:id="7" w:name="_Toc268259994"/>
      <w:bookmarkStart w:id="8" w:name="_Toc258833532"/>
      <w:bookmarkStart w:id="9" w:name="_Toc258600110"/>
      <w:bookmarkStart w:id="10" w:name="_Toc257891246"/>
      <w:bookmarkStart w:id="11" w:name="_Toc275861401"/>
      <w:bookmarkStart w:id="12" w:name="_Toc275862122"/>
      <w:bookmarkStart w:id="13" w:name="_Toc258833724"/>
      <w:bookmarkStart w:id="14" w:name="_Toc275861072"/>
      <w:bookmarkStart w:id="15" w:name="_Toc268092382"/>
      <w:bookmarkStart w:id="16" w:name="_Toc274297363"/>
      <w:bookmarkStart w:id="17" w:name="_Toc258834663"/>
      <w:bookmarkStart w:id="18" w:name="_Toc256325591"/>
      <w:bookmarkStart w:id="19" w:name="_Toc261853850"/>
      <w:bookmarkStart w:id="20" w:name="_Toc258695364"/>
      <w:bookmarkStart w:id="21" w:name="_Toc15930"/>
      <w:r>
        <w:rPr>
          <w:rFonts w:hint="eastAsia" w:ascii="黑体" w:hAnsi="黑体" w:eastAsia="黑体" w:cs="黑体"/>
          <w:szCs w:val="21"/>
        </w:rPr>
        <w:t>ICS 07.040</w:t>
      </w:r>
    </w:p>
    <w:p w14:paraId="021EE9D8">
      <w:pPr>
        <w:rPr>
          <w:rFonts w:ascii="黑体" w:hAnsi="黑体" w:eastAsia="黑体" w:cs="黑体"/>
          <w:szCs w:val="21"/>
        </w:rPr>
      </w:pPr>
      <w:r>
        <w:rPr>
          <w:rFonts w:hint="eastAsia"/>
          <w:szCs w:val="21"/>
        </w:rPr>
        <w:drawing>
          <wp:anchor distT="0" distB="0" distL="114300" distR="114300" simplePos="0" relativeHeight="251660288" behindDoc="1" locked="0" layoutInCell="1" allowOverlap="1">
            <wp:simplePos x="0" y="0"/>
            <wp:positionH relativeFrom="column">
              <wp:posOffset>-509270</wp:posOffset>
            </wp:positionH>
            <wp:positionV relativeFrom="paragraph">
              <wp:posOffset>635</wp:posOffset>
            </wp:positionV>
            <wp:extent cx="1494155" cy="1056640"/>
            <wp:effectExtent l="0" t="0" r="10795" b="10160"/>
            <wp:wrapNone/>
            <wp:docPr id="1" name="图片 7" descr="标委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标委会"/>
                    <pic:cNvPicPr>
                      <a:picLocks noChangeAspect="1"/>
                    </pic:cNvPicPr>
                  </pic:nvPicPr>
                  <pic:blipFill>
                    <a:blip r:embed="rId13"/>
                    <a:stretch>
                      <a:fillRect/>
                    </a:stretch>
                  </pic:blipFill>
                  <pic:spPr>
                    <a:xfrm>
                      <a:off x="0" y="0"/>
                      <a:ext cx="1494155" cy="1056640"/>
                    </a:xfrm>
                    <a:prstGeom prst="rect">
                      <a:avLst/>
                    </a:prstGeom>
                    <a:noFill/>
                    <a:ln>
                      <a:noFill/>
                    </a:ln>
                  </pic:spPr>
                </pic:pic>
              </a:graphicData>
            </a:graphic>
          </wp:anchor>
        </w:drawing>
      </w:r>
      <w:r>
        <w:rPr>
          <w:rFonts w:hint="eastAsia" w:ascii="黑体" w:hAnsi="黑体" w:eastAsia="黑体" w:cs="黑体"/>
          <w:szCs w:val="21"/>
        </w:rPr>
        <w:t xml:space="preserve">CCS A 15                            </w:t>
      </w:r>
      <w:r>
        <w:rPr>
          <w:rFonts w:hint="eastAsia" w:ascii="黑体" w:hAnsi="黑体" w:eastAsia="黑体" w:cs="黑体"/>
        </w:rPr>
        <w:drawing>
          <wp:anchor distT="0" distB="0" distL="114300" distR="114300" simplePos="0" relativeHeight="251662336" behindDoc="0" locked="0" layoutInCell="1" allowOverlap="1">
            <wp:simplePos x="0" y="0"/>
            <wp:positionH relativeFrom="column">
              <wp:posOffset>4511040</wp:posOffset>
            </wp:positionH>
            <wp:positionV relativeFrom="paragraph">
              <wp:posOffset>-354965</wp:posOffset>
            </wp:positionV>
            <wp:extent cx="807720" cy="647700"/>
            <wp:effectExtent l="0" t="0" r="11430" b="0"/>
            <wp:wrapSquare wrapText="bothSides"/>
            <wp:docPr id="2" name="图片 1" descr="171859203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718592036807"/>
                    <pic:cNvPicPr>
                      <a:picLocks noChangeAspect="1"/>
                    </pic:cNvPicPr>
                  </pic:nvPicPr>
                  <pic:blipFill>
                    <a:blip r:embed="rId14"/>
                    <a:stretch>
                      <a:fillRect/>
                    </a:stretch>
                  </pic:blipFill>
                  <pic:spPr>
                    <a:xfrm>
                      <a:off x="0" y="0"/>
                      <a:ext cx="807720" cy="647700"/>
                    </a:xfrm>
                    <a:prstGeom prst="rect">
                      <a:avLst/>
                    </a:prstGeom>
                    <a:noFill/>
                    <a:ln>
                      <a:noFill/>
                    </a:ln>
                  </pic:spPr>
                </pic:pic>
              </a:graphicData>
            </a:graphic>
          </wp:anchor>
        </w:drawing>
      </w:r>
    </w:p>
    <w:p w14:paraId="5CDA4144">
      <w:pPr>
        <w:rPr>
          <w:rFonts w:hint="eastAsia" w:ascii="黑体" w:hAnsi="黑体" w:eastAsia="黑体" w:cs="黑体"/>
          <w:szCs w:val="21"/>
        </w:rPr>
      </w:pPr>
    </w:p>
    <w:p w14:paraId="1B65CC80">
      <w:pPr>
        <w:rPr>
          <w:rFonts w:hint="eastAsia" w:ascii="黑体" w:hAnsi="黑体" w:eastAsia="黑体" w:cs="黑体"/>
          <w:szCs w:val="21"/>
        </w:rPr>
      </w:pPr>
    </w:p>
    <w:p w14:paraId="176B3A4B">
      <w:pPr>
        <w:jc w:val="distribute"/>
        <w:rPr>
          <w:rFonts w:ascii="隶书" w:eastAsia="隶书"/>
          <w:sz w:val="84"/>
          <w:szCs w:val="84"/>
        </w:rPr>
      </w:pPr>
      <w:r>
        <w:rPr>
          <w:rFonts w:hint="eastAsia" w:ascii="隶书" w:eastAsia="隶书"/>
          <w:sz w:val="84"/>
          <w:szCs w:val="84"/>
        </w:rPr>
        <w:t>团 体 标 准</w:t>
      </w:r>
    </w:p>
    <w:p w14:paraId="30E55572">
      <w:pPr>
        <w:jc w:val="center"/>
        <w:rPr>
          <w:rFonts w:hint="eastAsia" w:ascii="隶书" w:eastAsia="黑体"/>
          <w:sz w:val="28"/>
          <w:szCs w:val="28"/>
          <w:lang w:eastAsia="zh-CN"/>
        </w:rPr>
      </w:pPr>
      <w:r>
        <w:rPr>
          <w:rFonts w:hint="eastAsia"/>
        </w:rPr>
        <w:t xml:space="preserve">                                                     </w:t>
      </w:r>
      <w:r>
        <w:rPr>
          <w:rFonts w:hint="eastAsia" w:ascii="黑体" w:hAnsi="黑体" w:eastAsia="黑体" w:cs="黑体"/>
          <w:sz w:val="28"/>
          <w:szCs w:val="28"/>
        </w:rPr>
        <w:t>T/CI XXX-202</w:t>
      </w:r>
      <w:r>
        <w:rPr>
          <w:rFonts w:hint="eastAsia" w:ascii="黑体" w:hAnsi="黑体" w:eastAsia="黑体" w:cs="黑体"/>
          <w:sz w:val="28"/>
          <w:szCs w:val="28"/>
          <w:lang w:val="en-US" w:eastAsia="zh-CN"/>
        </w:rPr>
        <w:t>5</w:t>
      </w:r>
    </w:p>
    <w:p w14:paraId="4DDC633A">
      <w:pPr>
        <w:rPr>
          <w:u w:val="single"/>
        </w:rPr>
      </w:pPr>
      <w:r>
        <w:rPr>
          <w:rFonts w:hint="eastAsia"/>
          <w:u w:val="single"/>
        </w:rPr>
        <w:t xml:space="preserve">                                                                                     </w:t>
      </w:r>
    </w:p>
    <w:p w14:paraId="7AE64832"/>
    <w:p w14:paraId="704141C3"/>
    <w:p w14:paraId="63A90505"/>
    <w:p w14:paraId="300B2330"/>
    <w:p w14:paraId="05397444">
      <w:pPr>
        <w:pStyle w:val="22"/>
      </w:pPr>
    </w:p>
    <w:p w14:paraId="275BDCD9">
      <w:pPr>
        <w:pStyle w:val="22"/>
      </w:pPr>
    </w:p>
    <w:p w14:paraId="35841DE6">
      <w:pPr>
        <w:pStyle w:val="22"/>
        <w:spacing w:after="156" w:afterLines="50"/>
        <w:jc w:val="center"/>
        <w:outlineLvl w:val="0"/>
        <w:rPr>
          <w:rFonts w:hint="eastAsia" w:ascii="黑体" w:hAnsi="黑体" w:eastAsia="黑体" w:cs="黑体"/>
          <w:color w:val="auto"/>
          <w:kern w:val="2"/>
          <w:sz w:val="52"/>
          <w:szCs w:val="52"/>
        </w:rPr>
      </w:pPr>
      <w:bookmarkStart w:id="22" w:name="_Toc21674"/>
      <w:r>
        <w:rPr>
          <w:rFonts w:hint="eastAsia" w:ascii="黑体" w:hAnsi="黑体" w:eastAsia="黑体" w:cs="黑体"/>
          <w:color w:val="auto"/>
          <w:kern w:val="2"/>
          <w:sz w:val="52"/>
          <w:szCs w:val="52"/>
        </w:rPr>
        <w:t>混凝土坝坝体渗漏深水水下防渗处理</w:t>
      </w:r>
      <w:bookmarkEnd w:id="22"/>
    </w:p>
    <w:p w14:paraId="3E255E0A">
      <w:pPr>
        <w:pStyle w:val="22"/>
        <w:spacing w:after="156" w:afterLines="50"/>
        <w:jc w:val="center"/>
        <w:outlineLvl w:val="0"/>
        <w:rPr>
          <w:rFonts w:hint="eastAsia" w:ascii="黑体" w:hAnsi="黑体" w:eastAsia="黑体" w:cs="黑体"/>
          <w:color w:val="auto"/>
          <w:kern w:val="2"/>
          <w:sz w:val="44"/>
          <w:szCs w:val="44"/>
          <w:lang w:val="en-US" w:eastAsia="zh-CN"/>
        </w:rPr>
      </w:pPr>
      <w:bookmarkStart w:id="23" w:name="_Toc16325"/>
      <w:r>
        <w:rPr>
          <w:rFonts w:hint="eastAsia" w:ascii="黑体" w:hAnsi="黑体" w:eastAsia="黑体" w:cs="黑体"/>
          <w:color w:val="auto"/>
          <w:kern w:val="2"/>
          <w:sz w:val="52"/>
          <w:szCs w:val="52"/>
        </w:rPr>
        <w:t>技术</w:t>
      </w:r>
      <w:bookmarkEnd w:id="23"/>
      <w:r>
        <w:rPr>
          <w:rFonts w:hint="eastAsia" w:ascii="黑体" w:hAnsi="黑体" w:eastAsia="黑体" w:cs="黑体"/>
          <w:color w:val="auto"/>
          <w:kern w:val="2"/>
          <w:sz w:val="52"/>
          <w:szCs w:val="52"/>
          <w:lang w:val="en-US" w:eastAsia="zh-CN"/>
        </w:rPr>
        <w:t>规程</w:t>
      </w:r>
    </w:p>
    <w:p w14:paraId="6D603B60">
      <w:pPr>
        <w:keepNext w:val="0"/>
        <w:keepLines w:val="0"/>
        <w:widowControl/>
        <w:suppressLineNumbers w:val="0"/>
        <w:ind w:firstLine="3520" w:firstLineChars="1100"/>
        <w:jc w:val="left"/>
        <w:rPr>
          <w:rFonts w:ascii="黑体" w:hAnsi="黑体" w:eastAsia="黑体" w:cs="黑体"/>
          <w:sz w:val="32"/>
          <w:szCs w:val="32"/>
        </w:rPr>
      </w:pPr>
      <w:r>
        <w:rPr>
          <w:rFonts w:ascii="黑体" w:hAnsi="黑体" w:eastAsia="黑体" w:cs="黑体"/>
          <w:sz w:val="32"/>
          <w:szCs w:val="32"/>
        </w:rPr>
        <w:t>（</w:t>
      </w:r>
      <w:r>
        <w:rPr>
          <w:rFonts w:hint="eastAsia" w:ascii="黑体" w:hAnsi="宋体" w:eastAsia="黑体" w:cs="黑体"/>
          <w:color w:val="000000"/>
          <w:kern w:val="0"/>
          <w:sz w:val="31"/>
          <w:szCs w:val="31"/>
          <w:lang w:val="en-US" w:eastAsia="zh-CN" w:bidi="ar"/>
        </w:rPr>
        <w:t>初稿</w:t>
      </w:r>
      <w:r>
        <w:rPr>
          <w:rFonts w:ascii="黑体" w:hAnsi="黑体" w:eastAsia="黑体" w:cs="黑体"/>
          <w:sz w:val="32"/>
          <w:szCs w:val="32"/>
        </w:rPr>
        <w:t>）</w:t>
      </w:r>
    </w:p>
    <w:p w14:paraId="54F7A1C0">
      <w:pPr>
        <w:pStyle w:val="22"/>
        <w:spacing w:after="156" w:afterLines="50"/>
        <w:jc w:val="center"/>
        <w:rPr>
          <w:rFonts w:ascii="黑体" w:hAnsi="黑体" w:eastAsia="黑体" w:cs="黑体"/>
          <w:sz w:val="4"/>
          <w:szCs w:val="4"/>
        </w:rPr>
      </w:pPr>
    </w:p>
    <w:p w14:paraId="0FBF9607">
      <w:pPr>
        <w:pStyle w:val="22"/>
        <w:spacing w:after="156" w:afterLines="50"/>
        <w:jc w:val="center"/>
        <w:rPr>
          <w:rFonts w:ascii="黑体" w:hAnsi="黑体" w:eastAsia="黑体" w:cs="黑体"/>
          <w:sz w:val="4"/>
          <w:szCs w:val="4"/>
        </w:rPr>
      </w:pPr>
    </w:p>
    <w:p w14:paraId="205B64BD">
      <w:pPr>
        <w:jc w:val="center"/>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 xml:space="preserve">Technical guidelines for underwater anti-seepage treatment </w:t>
      </w:r>
    </w:p>
    <w:p w14:paraId="7FFE59C1">
      <w:pPr>
        <w:jc w:val="center"/>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of deep water leakage in concrete dam structures</w:t>
      </w:r>
    </w:p>
    <w:p w14:paraId="5CC69481">
      <w:pPr>
        <w:pStyle w:val="4"/>
      </w:pPr>
    </w:p>
    <w:p w14:paraId="10631BD2">
      <w:pPr>
        <w:pStyle w:val="4"/>
      </w:pPr>
    </w:p>
    <w:p w14:paraId="63D93CF6"/>
    <w:p w14:paraId="4621A0F7">
      <w:pPr>
        <w:pStyle w:val="4"/>
      </w:pPr>
    </w:p>
    <w:p w14:paraId="0B2B6B9A"/>
    <w:p w14:paraId="1AEA6E25"/>
    <w:p w14:paraId="35D0C16B">
      <w:pPr>
        <w:rPr>
          <w:rFonts w:ascii="黑体" w:hAnsi="黑体" w:eastAsia="黑体"/>
          <w:sz w:val="28"/>
          <w:szCs w:val="28"/>
        </w:rPr>
      </w:pPr>
      <w:r>
        <w:rPr>
          <w:rFonts w:ascii="黑体" w:hAnsi="黑体" w:eastAsia="黑体"/>
          <w:sz w:val="28"/>
          <w:szCs w:val="28"/>
        </w:rPr>
        <w:t>202</w:t>
      </w:r>
      <w:r>
        <w:rPr>
          <w:rFonts w:hint="eastAsia" w:ascii="黑体" w:hAnsi="黑体" w:eastAsia="黑体"/>
          <w:sz w:val="28"/>
          <w:szCs w:val="28"/>
          <w:lang w:val="en-US" w:eastAsia="zh-CN"/>
        </w:rPr>
        <w:t>5</w:t>
      </w:r>
      <w:r>
        <w:rPr>
          <w:rFonts w:ascii="黑体" w:hAnsi="黑体" w:eastAsia="黑体"/>
          <w:sz w:val="28"/>
          <w:szCs w:val="28"/>
        </w:rPr>
        <w:t>-</w:t>
      </w:r>
      <w:r>
        <w:rPr>
          <w:rFonts w:hint="eastAsia" w:ascii="黑体" w:hAnsi="黑体" w:eastAsia="黑体"/>
          <w:sz w:val="28"/>
          <w:szCs w:val="28"/>
        </w:rPr>
        <w:t>X</w:t>
      </w:r>
      <w:r>
        <w:rPr>
          <w:rFonts w:ascii="黑体" w:hAnsi="黑体" w:eastAsia="黑体"/>
          <w:sz w:val="28"/>
          <w:szCs w:val="28"/>
        </w:rPr>
        <w:t>-</w:t>
      </w:r>
      <w:r>
        <w:rPr>
          <w:rFonts w:hint="eastAsia" w:ascii="黑体" w:hAnsi="黑体" w:eastAsia="黑体"/>
          <w:sz w:val="28"/>
          <w:szCs w:val="28"/>
        </w:rPr>
        <w:t>XX发布</w:t>
      </w:r>
      <w:r>
        <w:rPr>
          <w:rFonts w:ascii="黑体" w:hAnsi="黑体" w:eastAsia="黑体"/>
          <w:sz w:val="28"/>
          <w:szCs w:val="28"/>
        </w:rPr>
        <w:t xml:space="preserve">                     </w:t>
      </w:r>
      <w:r>
        <w:rPr>
          <w:rFonts w:hint="eastAsia" w:ascii="黑体" w:hAnsi="黑体" w:eastAsia="黑体"/>
          <w:sz w:val="28"/>
          <w:szCs w:val="28"/>
        </w:rPr>
        <w:t xml:space="preserve">              </w:t>
      </w:r>
      <w:r>
        <w:rPr>
          <w:rFonts w:ascii="黑体" w:hAnsi="黑体" w:eastAsia="黑体"/>
          <w:sz w:val="28"/>
          <w:szCs w:val="28"/>
        </w:rPr>
        <w:t>202</w:t>
      </w:r>
      <w:r>
        <w:rPr>
          <w:rFonts w:hint="eastAsia" w:ascii="黑体" w:hAnsi="黑体" w:eastAsia="黑体"/>
          <w:sz w:val="28"/>
          <w:szCs w:val="28"/>
          <w:lang w:val="en-US" w:eastAsia="zh-CN"/>
        </w:rPr>
        <w:t>5</w:t>
      </w:r>
      <w:r>
        <w:rPr>
          <w:rFonts w:ascii="黑体" w:hAnsi="黑体" w:eastAsia="黑体"/>
          <w:sz w:val="28"/>
          <w:szCs w:val="28"/>
        </w:rPr>
        <w:t>-</w:t>
      </w:r>
      <w:r>
        <w:rPr>
          <w:rFonts w:hint="eastAsia" w:ascii="黑体" w:hAnsi="黑体" w:eastAsia="黑体"/>
          <w:sz w:val="28"/>
          <w:szCs w:val="28"/>
        </w:rPr>
        <w:t>X</w:t>
      </w:r>
      <w:r>
        <w:rPr>
          <w:rFonts w:ascii="黑体" w:hAnsi="黑体" w:eastAsia="黑体"/>
          <w:sz w:val="28"/>
          <w:szCs w:val="28"/>
        </w:rPr>
        <w:t>-</w:t>
      </w:r>
      <w:r>
        <w:rPr>
          <w:rFonts w:hint="eastAsia" w:ascii="黑体" w:hAnsi="黑体" w:eastAsia="黑体"/>
          <w:sz w:val="28"/>
          <w:szCs w:val="28"/>
        </w:rPr>
        <w:t>XX实施</w:t>
      </w:r>
    </w:p>
    <w:p w14:paraId="450231B8">
      <w:pPr>
        <w:jc w:val="center"/>
        <w:rPr>
          <w:rFonts w:ascii="宋体" w:hAnsi="宋体" w:cs="宋体"/>
          <w:kern w:val="2"/>
          <w:sz w:val="28"/>
          <w:szCs w:val="28"/>
        </w:rPr>
        <w:sectPr>
          <w:pgSz w:w="11906" w:h="16838"/>
          <w:pgMar w:top="1440" w:right="1485" w:bottom="1440" w:left="1519" w:header="851" w:footer="992" w:gutter="0"/>
          <w:cols w:space="720" w:num="1"/>
          <w:docGrid w:type="lines" w:linePitch="312" w:charSpace="0"/>
        </w:sectPr>
      </w:pPr>
      <w:r>
        <mc:AlternateContent>
          <mc:Choice Requires="wps">
            <w:drawing>
              <wp:anchor distT="0" distB="0" distL="114300" distR="114300" simplePos="0" relativeHeight="251661312" behindDoc="0" locked="0" layoutInCell="1" allowOverlap="1">
                <wp:simplePos x="0" y="0"/>
                <wp:positionH relativeFrom="column">
                  <wp:posOffset>-19050</wp:posOffset>
                </wp:positionH>
                <wp:positionV relativeFrom="paragraph">
                  <wp:posOffset>21590</wp:posOffset>
                </wp:positionV>
                <wp:extent cx="5939790" cy="0"/>
                <wp:effectExtent l="0" t="4445" r="0" b="508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1.5pt;margin-top:1.7pt;height:0pt;width:467.7pt;z-index:251661312;mso-width-relative:page;mso-height-relative:page;" filled="f" stroked="t" coordsize="21600,21600" o:gfxdata="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ENGxZ3VAAAABgEAAA8AAAAAAAAAAQAgAAAAIgAAAGRycy9kb3ducmV2LnhtbFBL&#10;AQIUABQAAAAIAIdO4kA9/j7U+QEAAMwDAAAOAAAAAAAAAAEAIAAAACQBAABkcnMvZTJvRG9jLnht&#10;bFBLBQYAAAAABgAGAFkBAACPBQAAAAA=&#10;">
                <v:fill on="f" focussize="0,0"/>
                <v:stroke color="#000000" joinstyle="round"/>
                <v:imagedata o:title=""/>
                <o:lock v:ext="edit" aspectratio="f"/>
              </v:shape>
            </w:pict>
          </mc:Fallback>
        </mc:AlternateContent>
      </w:r>
      <w:r>
        <w:rPr>
          <w:rFonts w:hint="eastAsia" w:ascii="隶书" w:eastAsia="隶书"/>
          <w:sz w:val="52"/>
          <w:szCs w:val="52"/>
        </w:rPr>
        <w:t xml:space="preserve">   </w:t>
      </w:r>
      <w:r>
        <w:rPr>
          <w:rFonts w:hint="eastAsia" w:ascii="黑体" w:hAnsi="黑体" w:eastAsia="黑体" w:cs="黑体"/>
          <w:sz w:val="52"/>
          <w:szCs w:val="52"/>
        </w:rPr>
        <w:t>中国国际科技促进会</w:t>
      </w:r>
      <w:r>
        <w:rPr>
          <w:rFonts w:ascii="隶书" w:eastAsia="隶书"/>
          <w:sz w:val="52"/>
          <w:szCs w:val="52"/>
        </w:rPr>
        <w:t xml:space="preserve"> </w:t>
      </w:r>
      <w:r>
        <w:t xml:space="preserve">  </w:t>
      </w:r>
      <w:r>
        <w:rPr>
          <w:rFonts w:hint="eastAsia" w:ascii="黑体" w:hAnsi="黑体" w:eastAsia="黑体"/>
          <w:sz w:val="28"/>
          <w:szCs w:val="28"/>
        </w:rPr>
        <w:t>发布</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dt>
      <w:sdtPr>
        <w:rPr>
          <w:rFonts w:hint="eastAsia" w:ascii="Times New Roman" w:hAnsi="Times New Roman" w:eastAsia="黑体" w:cs="Times New Roman"/>
          <w:color w:val="000000" w:themeColor="text1"/>
          <w:sz w:val="32"/>
          <w:szCs w:val="22"/>
          <w:lang w:val="en-US" w:eastAsia="zh-CN"/>
          <w14:textFill>
            <w14:solidFill>
              <w14:schemeClr w14:val="tx1"/>
            </w14:solidFill>
          </w14:textFill>
        </w:rPr>
        <w:id w:val="147456885"/>
        <w15:color w:val="DBDBDB"/>
        <w:docPartObj>
          <w:docPartGallery w:val="Table of Contents"/>
          <w:docPartUnique/>
        </w:docPartObj>
      </w:sdtPr>
      <w:sdtEndP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sdtEndPr>
      <w:sdtContent>
        <w:p w14:paraId="57844964">
          <w:pPr>
            <w:keepNext/>
            <w:pageBreakBefore/>
            <w:shd w:val="clear" w:color="FFFFFF" w:fill="FFFFFF"/>
            <w:spacing w:before="640" w:after="440"/>
            <w:jc w:val="center"/>
            <w:outlineLvl w:val="0"/>
            <w:rPr>
              <w:rFonts w:hint="eastAsia" w:ascii="Times New Roman" w:hAnsi="Times New Roman" w:eastAsia="黑体" w:cs="Times New Roman"/>
              <w:color w:val="000000" w:themeColor="text1"/>
              <w:sz w:val="32"/>
              <w:szCs w:val="22"/>
              <w:lang w:val="en-US" w:eastAsia="zh-CN"/>
              <w14:textFill>
                <w14:solidFill>
                  <w14:schemeClr w14:val="tx1"/>
                </w14:solidFill>
              </w14:textFill>
            </w:rPr>
          </w:pPr>
          <w:bookmarkStart w:id="24" w:name="_Toc29857"/>
          <w:r>
            <w:rPr>
              <w:rFonts w:hint="eastAsia" w:ascii="Times New Roman" w:hAnsi="Times New Roman" w:eastAsia="黑体" w:cs="Times New Roman"/>
              <w:color w:val="000000" w:themeColor="text1"/>
              <w:sz w:val="32"/>
              <w:szCs w:val="22"/>
              <w14:textFill>
                <w14:solidFill>
                  <w14:schemeClr w14:val="tx1"/>
                </w14:solidFill>
              </w14:textFill>
            </w:rPr>
            <w:t>目</w:t>
          </w:r>
          <w:r>
            <w:rPr>
              <w:rFonts w:eastAsia="黑体"/>
              <w:color w:val="000000" w:themeColor="text1"/>
              <w:sz w:val="32"/>
              <w14:textFill>
                <w14:solidFill>
                  <w14:schemeClr w14:val="tx1"/>
                </w14:solidFill>
              </w14:textFill>
            </w:rPr>
            <w:t>  </w:t>
          </w:r>
          <w:r>
            <w:rPr>
              <w:rFonts w:hint="eastAsia" w:ascii="Times New Roman" w:hAnsi="Times New Roman" w:eastAsia="黑体" w:cs="Times New Roman"/>
              <w:color w:val="000000" w:themeColor="text1"/>
              <w:sz w:val="32"/>
              <w:szCs w:val="22"/>
              <w:lang w:val="en-US" w:eastAsia="zh-CN"/>
              <w14:textFill>
                <w14:solidFill>
                  <w14:schemeClr w14:val="tx1"/>
                </w14:solidFill>
              </w14:textFill>
            </w:rPr>
            <w:t>次</w:t>
          </w:r>
          <w:bookmarkEnd w:id="21"/>
          <w:bookmarkEnd w:id="24"/>
        </w:p>
        <w:p w14:paraId="11B249A3">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TOC \o "1-2" \h \u </w:instrText>
          </w:r>
          <w:r>
            <w:rPr>
              <w:rFonts w:hint="eastAsia" w:ascii="宋体" w:hAnsi="宋体" w:cs="Times New Roman"/>
            </w:rPr>
            <w:fldChar w:fldCharType="separate"/>
          </w:r>
          <w:r>
            <w:rPr>
              <w:rFonts w:hint="eastAsia" w:ascii="宋体" w:hAnsi="宋体" w:cs="Times New Roman"/>
            </w:rPr>
            <w:fldChar w:fldCharType="begin"/>
          </w:r>
          <w:r>
            <w:rPr>
              <w:rFonts w:hint="eastAsia" w:ascii="宋体" w:hAnsi="宋体" w:cs="Times New Roman"/>
            </w:rPr>
            <w:instrText xml:space="preserve"> HYPERLINK \l _Toc25843 </w:instrText>
          </w:r>
          <w:r>
            <w:rPr>
              <w:rFonts w:hint="eastAsia" w:ascii="宋体" w:hAnsi="宋体" w:cs="Times New Roman"/>
            </w:rPr>
            <w:fldChar w:fldCharType="separate"/>
          </w:r>
          <w:r>
            <w:rPr>
              <w:rFonts w:hint="eastAsia" w:hAnsi="黑体" w:cs="黑体"/>
              <w:lang w:val="en-US" w:eastAsia="zh-CN"/>
            </w:rPr>
            <w:t>前言</w:t>
          </w:r>
          <w:r>
            <w:tab/>
          </w:r>
          <w:r>
            <w:fldChar w:fldCharType="begin"/>
          </w:r>
          <w:r>
            <w:instrText xml:space="preserve"> PAGEREF _Toc25843 \h </w:instrText>
          </w:r>
          <w:r>
            <w:fldChar w:fldCharType="separate"/>
          </w:r>
          <w:r>
            <w:t>II</w:t>
          </w:r>
          <w:r>
            <w:fldChar w:fldCharType="end"/>
          </w:r>
          <w:r>
            <w:rPr>
              <w:rFonts w:hint="eastAsia" w:ascii="宋体" w:hAnsi="宋体" w:cs="Times New Roman"/>
            </w:rPr>
            <w:fldChar w:fldCharType="end"/>
          </w:r>
        </w:p>
        <w:p w14:paraId="211D5899">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_Toc21239 </w:instrText>
          </w:r>
          <w:r>
            <w:rPr>
              <w:rFonts w:hint="eastAsia" w:ascii="宋体" w:hAnsi="宋体" w:cs="Times New Roman"/>
            </w:rPr>
            <w:fldChar w:fldCharType="separate"/>
          </w:r>
          <w:r>
            <w:rPr>
              <w:rFonts w:hint="eastAsia" w:hAnsi="黑体" w:cs="黑体"/>
              <w:lang w:val="en-US" w:eastAsia="zh-CN"/>
            </w:rPr>
            <w:t>引言</w:t>
          </w:r>
          <w:r>
            <w:tab/>
          </w:r>
          <w:r>
            <w:fldChar w:fldCharType="begin"/>
          </w:r>
          <w:r>
            <w:instrText xml:space="preserve"> PAGEREF _Toc21239 \h </w:instrText>
          </w:r>
          <w:r>
            <w:fldChar w:fldCharType="separate"/>
          </w:r>
          <w:r>
            <w:t>III</w:t>
          </w:r>
          <w:r>
            <w:fldChar w:fldCharType="end"/>
          </w:r>
          <w:r>
            <w:rPr>
              <w:rFonts w:hint="eastAsia" w:ascii="宋体" w:hAnsi="宋体" w:cs="Times New Roman"/>
            </w:rPr>
            <w:fldChar w:fldCharType="end"/>
          </w:r>
        </w:p>
        <w:p w14:paraId="42795923">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_Toc18668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1  </w:t>
          </w:r>
          <w:r>
            <w:rPr>
              <w:rFonts w:hint="eastAsia" w:cs="Times New Roman"/>
              <w:lang w:val="en-US" w:eastAsia="zh-CN"/>
            </w:rPr>
            <w:t>范围</w:t>
          </w:r>
          <w:r>
            <w:tab/>
          </w:r>
          <w:r>
            <w:fldChar w:fldCharType="begin"/>
          </w:r>
          <w:r>
            <w:instrText xml:space="preserve"> PAGEREF _Toc18668 \h </w:instrText>
          </w:r>
          <w:r>
            <w:fldChar w:fldCharType="separate"/>
          </w:r>
          <w:r>
            <w:t>1</w:t>
          </w:r>
          <w:r>
            <w:fldChar w:fldCharType="end"/>
          </w:r>
          <w:r>
            <w:rPr>
              <w:rFonts w:hint="eastAsia" w:ascii="宋体" w:hAnsi="宋体" w:cs="Times New Roman"/>
            </w:rPr>
            <w:fldChar w:fldCharType="end"/>
          </w:r>
        </w:p>
        <w:p w14:paraId="7BAFF567">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_Toc28733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2  </w:t>
          </w:r>
          <w:r>
            <w:rPr>
              <w:rFonts w:hint="eastAsia" w:cs="Times New Roman"/>
              <w:lang w:val="en-US" w:eastAsia="zh-CN"/>
            </w:rPr>
            <w:t>规范性引用文件</w:t>
          </w:r>
          <w:r>
            <w:tab/>
          </w:r>
          <w:r>
            <w:fldChar w:fldCharType="begin"/>
          </w:r>
          <w:r>
            <w:instrText xml:space="preserve"> PAGEREF _Toc28733 \h </w:instrText>
          </w:r>
          <w:r>
            <w:fldChar w:fldCharType="separate"/>
          </w:r>
          <w:r>
            <w:t>1</w:t>
          </w:r>
          <w:r>
            <w:fldChar w:fldCharType="end"/>
          </w:r>
          <w:r>
            <w:rPr>
              <w:rFonts w:hint="eastAsia" w:ascii="宋体" w:hAnsi="宋体" w:cs="Times New Roman"/>
            </w:rPr>
            <w:fldChar w:fldCharType="end"/>
          </w:r>
        </w:p>
        <w:p w14:paraId="6DBDF0C2">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_Toc17198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3  </w:t>
          </w:r>
          <w:r>
            <w:rPr>
              <w:rFonts w:hint="eastAsia" w:cs="Times New Roman"/>
              <w:lang w:val="en-US" w:eastAsia="zh-CN"/>
            </w:rPr>
            <w:t>术语和定义</w:t>
          </w:r>
          <w:r>
            <w:tab/>
          </w:r>
          <w:r>
            <w:fldChar w:fldCharType="begin"/>
          </w:r>
          <w:r>
            <w:instrText xml:space="preserve"> PAGEREF _Toc17198 \h </w:instrText>
          </w:r>
          <w:r>
            <w:fldChar w:fldCharType="separate"/>
          </w:r>
          <w:r>
            <w:t>1</w:t>
          </w:r>
          <w:r>
            <w:fldChar w:fldCharType="end"/>
          </w:r>
          <w:r>
            <w:rPr>
              <w:rFonts w:hint="eastAsia" w:ascii="宋体" w:hAnsi="宋体" w:cs="Times New Roman"/>
            </w:rPr>
            <w:fldChar w:fldCharType="end"/>
          </w:r>
        </w:p>
        <w:p w14:paraId="51A832D9">
          <w:pPr>
            <w:pStyle w:val="10"/>
            <w:tabs>
              <w:tab w:val="right" w:leader="dot" w:pos="8306"/>
            </w:tabs>
            <w:ind w:left="0" w:leftChars="0" w:firstLine="0" w:firstLineChars="0"/>
          </w:pPr>
          <w:r>
            <w:rPr>
              <w:rFonts w:hint="eastAsia" w:ascii="宋体" w:hAnsi="宋体" w:cs="Times New Roman"/>
            </w:rPr>
            <w:fldChar w:fldCharType="begin"/>
          </w:r>
          <w:r>
            <w:rPr>
              <w:rFonts w:hint="eastAsia" w:ascii="宋体" w:hAnsi="宋体" w:cs="Times New Roman"/>
            </w:rPr>
            <w:instrText xml:space="preserve"> HYPERLINK \l _Toc604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4  </w:t>
          </w:r>
          <w:r>
            <w:rPr>
              <w:rFonts w:hint="eastAsia" w:ascii="Times New Roman" w:hAnsi="Times New Roman" w:cs="Times New Roman"/>
              <w:szCs w:val="22"/>
              <w:lang w:val="en-US" w:eastAsia="zh-CN"/>
            </w:rPr>
            <w:t>深水检测与评估</w:t>
          </w:r>
          <w:r>
            <w:tab/>
          </w:r>
          <w:r>
            <w:fldChar w:fldCharType="begin"/>
          </w:r>
          <w:r>
            <w:instrText xml:space="preserve"> PAGEREF _Toc604 \h </w:instrText>
          </w:r>
          <w:r>
            <w:fldChar w:fldCharType="separate"/>
          </w:r>
          <w:r>
            <w:t>1</w:t>
          </w:r>
          <w:r>
            <w:fldChar w:fldCharType="end"/>
          </w:r>
          <w:r>
            <w:rPr>
              <w:rFonts w:hint="eastAsia" w:ascii="宋体" w:hAnsi="宋体" w:cs="Times New Roman"/>
            </w:rPr>
            <w:fldChar w:fldCharType="end"/>
          </w:r>
        </w:p>
        <w:p w14:paraId="55953B01">
          <w:pPr>
            <w:pStyle w:val="10"/>
            <w:tabs>
              <w:tab w:val="right" w:leader="dot" w:pos="8306"/>
            </w:tabs>
            <w:ind w:left="0" w:leftChars="0" w:firstLine="0" w:firstLineChars="0"/>
          </w:pPr>
          <w:r>
            <w:rPr>
              <w:rFonts w:hint="eastAsia" w:ascii="宋体" w:hAnsi="宋体" w:cs="Times New Roman"/>
            </w:rPr>
            <w:fldChar w:fldCharType="begin"/>
          </w:r>
          <w:r>
            <w:rPr>
              <w:rFonts w:hint="eastAsia" w:ascii="宋体" w:hAnsi="宋体" w:cs="Times New Roman"/>
            </w:rPr>
            <w:instrText xml:space="preserve"> HYPERLINK \l _Toc9407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5  </w:t>
          </w:r>
          <w:r>
            <w:rPr>
              <w:rFonts w:hint="eastAsia" w:ascii="Times New Roman" w:hAnsi="Times New Roman" w:cs="Times New Roman"/>
              <w:szCs w:val="22"/>
              <w:lang w:val="en-US" w:eastAsia="zh-CN"/>
            </w:rPr>
            <w:t>防渗设计</w:t>
          </w:r>
          <w:r>
            <w:tab/>
          </w:r>
          <w:r>
            <w:fldChar w:fldCharType="begin"/>
          </w:r>
          <w:r>
            <w:instrText xml:space="preserve"> PAGEREF _Toc9407 \h </w:instrText>
          </w:r>
          <w:r>
            <w:fldChar w:fldCharType="separate"/>
          </w:r>
          <w:r>
            <w:t>2</w:t>
          </w:r>
          <w:r>
            <w:fldChar w:fldCharType="end"/>
          </w:r>
          <w:r>
            <w:rPr>
              <w:rFonts w:hint="eastAsia" w:ascii="宋体" w:hAnsi="宋体" w:cs="Times New Roman"/>
            </w:rPr>
            <w:fldChar w:fldCharType="end"/>
          </w:r>
        </w:p>
        <w:p w14:paraId="75E6DDE1">
          <w:pPr>
            <w:pStyle w:val="10"/>
            <w:tabs>
              <w:tab w:val="right" w:leader="dot" w:pos="8306"/>
            </w:tabs>
            <w:ind w:left="0" w:leftChars="0" w:firstLine="0" w:firstLineChars="0"/>
          </w:pPr>
          <w:r>
            <w:rPr>
              <w:rFonts w:hint="eastAsia" w:ascii="宋体" w:hAnsi="宋体" w:cs="Times New Roman"/>
            </w:rPr>
            <w:fldChar w:fldCharType="begin"/>
          </w:r>
          <w:r>
            <w:rPr>
              <w:rFonts w:hint="eastAsia" w:ascii="宋体" w:hAnsi="宋体" w:cs="Times New Roman"/>
            </w:rPr>
            <w:instrText xml:space="preserve"> HYPERLINK \l _Toc17920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6  </w:t>
          </w:r>
          <w:r>
            <w:rPr>
              <w:rFonts w:hint="eastAsia" w:ascii="Times New Roman" w:hAnsi="Times New Roman" w:cs="Times New Roman"/>
              <w:szCs w:val="22"/>
              <w:lang w:val="en-US" w:eastAsia="zh-CN"/>
            </w:rPr>
            <w:t>施工技术</w:t>
          </w:r>
          <w:r>
            <w:tab/>
          </w:r>
          <w:r>
            <w:fldChar w:fldCharType="begin"/>
          </w:r>
          <w:r>
            <w:instrText xml:space="preserve"> PAGEREF _Toc17920 \h </w:instrText>
          </w:r>
          <w:r>
            <w:fldChar w:fldCharType="separate"/>
          </w:r>
          <w:r>
            <w:t>2</w:t>
          </w:r>
          <w:r>
            <w:fldChar w:fldCharType="end"/>
          </w:r>
          <w:r>
            <w:rPr>
              <w:rFonts w:hint="eastAsia" w:ascii="宋体" w:hAnsi="宋体" w:cs="Times New Roman"/>
            </w:rPr>
            <w:fldChar w:fldCharType="end"/>
          </w:r>
        </w:p>
        <w:p w14:paraId="7A6EB199">
          <w:pPr>
            <w:pStyle w:val="10"/>
            <w:tabs>
              <w:tab w:val="right" w:leader="dot" w:pos="8306"/>
            </w:tabs>
            <w:ind w:left="0" w:leftChars="0" w:firstLine="0" w:firstLineChars="0"/>
          </w:pPr>
          <w:r>
            <w:rPr>
              <w:rFonts w:hint="eastAsia" w:ascii="宋体" w:hAnsi="宋体" w:cs="Times New Roman"/>
            </w:rPr>
            <w:fldChar w:fldCharType="begin"/>
          </w:r>
          <w:r>
            <w:rPr>
              <w:rFonts w:hint="eastAsia" w:ascii="宋体" w:hAnsi="宋体" w:cs="Times New Roman"/>
            </w:rPr>
            <w:instrText xml:space="preserve"> HYPERLINK \l _Toc4205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7  </w:t>
          </w:r>
          <w:r>
            <w:rPr>
              <w:rFonts w:hint="eastAsia" w:ascii="Times New Roman" w:hAnsi="Times New Roman" w:cs="Times New Roman"/>
              <w:szCs w:val="22"/>
              <w:lang w:val="en-US" w:eastAsia="zh-CN"/>
            </w:rPr>
            <w:t>质量验收</w:t>
          </w:r>
          <w:r>
            <w:tab/>
          </w:r>
          <w:r>
            <w:fldChar w:fldCharType="begin"/>
          </w:r>
          <w:r>
            <w:instrText xml:space="preserve"> PAGEREF _Toc4205 \h </w:instrText>
          </w:r>
          <w:r>
            <w:fldChar w:fldCharType="separate"/>
          </w:r>
          <w:r>
            <w:t>3</w:t>
          </w:r>
          <w:r>
            <w:fldChar w:fldCharType="end"/>
          </w:r>
          <w:r>
            <w:rPr>
              <w:rFonts w:hint="eastAsia" w:ascii="宋体" w:hAnsi="宋体" w:cs="Times New Roman"/>
            </w:rPr>
            <w:fldChar w:fldCharType="end"/>
          </w:r>
        </w:p>
        <w:p w14:paraId="177777C1">
          <w:pPr>
            <w:pStyle w:val="10"/>
            <w:tabs>
              <w:tab w:val="right" w:leader="dot" w:pos="8306"/>
            </w:tabs>
            <w:ind w:left="0" w:leftChars="0" w:firstLine="0" w:firstLineChars="0"/>
          </w:pPr>
          <w:r>
            <w:rPr>
              <w:rFonts w:hint="eastAsia" w:ascii="宋体" w:hAnsi="宋体" w:cs="Times New Roman"/>
            </w:rPr>
            <w:fldChar w:fldCharType="begin"/>
          </w:r>
          <w:r>
            <w:rPr>
              <w:rFonts w:hint="eastAsia" w:ascii="宋体" w:hAnsi="宋体" w:cs="Times New Roman"/>
            </w:rPr>
            <w:instrText xml:space="preserve"> HYPERLINK \l _Toc4170 </w:instrText>
          </w:r>
          <w:r>
            <w:rPr>
              <w:rFonts w:hint="eastAsia" w:ascii="宋体" w:hAnsi="宋体" w:cs="Times New Roman"/>
            </w:rPr>
            <w:fldChar w:fldCharType="separate"/>
          </w:r>
          <w:r>
            <w:rPr>
              <w:rFonts w:hint="eastAsia" w:ascii="黑体" w:hAnsi="Times New Roman" w:eastAsia="黑体" w:cs="Times New Roman"/>
              <w:i w:val="0"/>
              <w:szCs w:val="21"/>
              <w:lang w:val="en-US" w:eastAsia="zh-CN"/>
            </w:rPr>
            <w:t xml:space="preserve">8  </w:t>
          </w:r>
          <w:r>
            <w:rPr>
              <w:rFonts w:hint="eastAsia" w:ascii="Times New Roman" w:hAnsi="Times New Roman" w:cs="Times New Roman"/>
              <w:szCs w:val="22"/>
              <w:lang w:val="en-US" w:eastAsia="zh-CN"/>
            </w:rPr>
            <w:t>安全与运行维护管理</w:t>
          </w:r>
          <w:r>
            <w:tab/>
          </w:r>
          <w:r>
            <w:fldChar w:fldCharType="begin"/>
          </w:r>
          <w:r>
            <w:instrText xml:space="preserve"> PAGEREF _Toc4170 \h </w:instrText>
          </w:r>
          <w:r>
            <w:fldChar w:fldCharType="separate"/>
          </w:r>
          <w:r>
            <w:t>3</w:t>
          </w:r>
          <w:r>
            <w:fldChar w:fldCharType="end"/>
          </w:r>
          <w:r>
            <w:rPr>
              <w:rFonts w:hint="eastAsia" w:ascii="宋体" w:hAnsi="宋体" w:cs="Times New Roman"/>
            </w:rPr>
            <w:fldChar w:fldCharType="end"/>
          </w:r>
        </w:p>
        <w:p w14:paraId="3700B903">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_Toc30264 </w:instrText>
          </w:r>
          <w:r>
            <w:rPr>
              <w:rFonts w:hint="eastAsia" w:ascii="宋体" w:hAnsi="宋体" w:cs="Times New Roman"/>
            </w:rPr>
            <w:fldChar w:fldCharType="separate"/>
          </w:r>
          <w:r>
            <w:rPr>
              <w:rFonts w:hint="eastAsia" w:ascii="黑体" w:hAnsi="Times New Roman" w:eastAsia="黑体"/>
              <w:i w:val="0"/>
              <w:spacing w:val="0"/>
              <w:w w:val="100"/>
            </w:rPr>
            <w:t xml:space="preserve">附录A </w:t>
          </w:r>
          <w:r>
            <w:tab/>
          </w:r>
          <w:r>
            <w:fldChar w:fldCharType="begin"/>
          </w:r>
          <w:r>
            <w:instrText xml:space="preserve"> PAGEREF _Toc30264 \h </w:instrText>
          </w:r>
          <w:r>
            <w:fldChar w:fldCharType="separate"/>
          </w:r>
          <w:r>
            <w:t>5</w:t>
          </w:r>
          <w:r>
            <w:fldChar w:fldCharType="end"/>
          </w:r>
          <w:r>
            <w:rPr>
              <w:rFonts w:hint="eastAsia" w:ascii="宋体" w:hAnsi="宋体" w:cs="Times New Roman"/>
            </w:rPr>
            <w:fldChar w:fldCharType="end"/>
          </w:r>
        </w:p>
        <w:p w14:paraId="7D4ED171">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_Toc19217 </w:instrText>
          </w:r>
          <w:r>
            <w:rPr>
              <w:rFonts w:hint="eastAsia" w:ascii="宋体" w:hAnsi="宋体" w:cs="Times New Roman"/>
            </w:rPr>
            <w:fldChar w:fldCharType="separate"/>
          </w:r>
          <w:r>
            <w:rPr>
              <w:rFonts w:hint="eastAsia" w:ascii="黑体" w:hAnsi="Times New Roman" w:eastAsia="黑体"/>
              <w:i w:val="0"/>
              <w:spacing w:val="0"/>
              <w:w w:val="100"/>
            </w:rPr>
            <w:t xml:space="preserve">附录B </w:t>
          </w:r>
          <w:r>
            <w:tab/>
          </w:r>
          <w:r>
            <w:fldChar w:fldCharType="begin"/>
          </w:r>
          <w:r>
            <w:instrText xml:space="preserve"> PAGEREF _Toc19217 \h </w:instrText>
          </w:r>
          <w:r>
            <w:fldChar w:fldCharType="separate"/>
          </w:r>
          <w:r>
            <w:t>6</w:t>
          </w:r>
          <w:r>
            <w:fldChar w:fldCharType="end"/>
          </w:r>
          <w:r>
            <w:rPr>
              <w:rFonts w:hint="eastAsia" w:ascii="宋体" w:hAnsi="宋体" w:cs="Times New Roman"/>
            </w:rPr>
            <w:fldChar w:fldCharType="end"/>
          </w:r>
        </w:p>
        <w:p w14:paraId="72D8867F">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_Toc21258 </w:instrText>
          </w:r>
          <w:r>
            <w:rPr>
              <w:rFonts w:hint="eastAsia" w:ascii="宋体" w:hAnsi="宋体" w:cs="Times New Roman"/>
            </w:rPr>
            <w:fldChar w:fldCharType="separate"/>
          </w:r>
          <w:r>
            <w:rPr>
              <w:rFonts w:hint="eastAsia" w:ascii="黑体" w:hAnsi="Times New Roman" w:eastAsia="黑体"/>
              <w:i w:val="0"/>
              <w:spacing w:val="0"/>
              <w:w w:val="100"/>
            </w:rPr>
            <w:t xml:space="preserve">附录C </w:t>
          </w:r>
          <w:r>
            <w:tab/>
          </w:r>
          <w:r>
            <w:fldChar w:fldCharType="begin"/>
          </w:r>
          <w:r>
            <w:instrText xml:space="preserve"> PAGEREF _Toc21258 \h </w:instrText>
          </w:r>
          <w:r>
            <w:fldChar w:fldCharType="separate"/>
          </w:r>
          <w:r>
            <w:t>7</w:t>
          </w:r>
          <w:r>
            <w:fldChar w:fldCharType="end"/>
          </w:r>
          <w:r>
            <w:rPr>
              <w:rFonts w:hint="eastAsia" w:ascii="宋体" w:hAnsi="宋体" w:cs="Times New Roman"/>
            </w:rPr>
            <w:fldChar w:fldCharType="end"/>
          </w:r>
        </w:p>
        <w:p w14:paraId="6A0E1820">
          <w:pPr>
            <w:pStyle w:val="9"/>
            <w:tabs>
              <w:tab w:val="right" w:leader="dot" w:pos="8306"/>
            </w:tabs>
          </w:pPr>
          <w:r>
            <w:rPr>
              <w:rFonts w:hint="eastAsia" w:ascii="宋体" w:hAnsi="宋体" w:cs="Times New Roman"/>
            </w:rPr>
            <w:fldChar w:fldCharType="begin"/>
          </w:r>
          <w:r>
            <w:rPr>
              <w:rFonts w:hint="eastAsia" w:ascii="宋体" w:hAnsi="宋体" w:cs="Times New Roman"/>
            </w:rPr>
            <w:instrText xml:space="preserve"> HYPERLINK \l _Toc6210 </w:instrText>
          </w:r>
          <w:r>
            <w:rPr>
              <w:rFonts w:hint="eastAsia" w:ascii="宋体" w:hAnsi="宋体" w:cs="Times New Roman"/>
            </w:rPr>
            <w:fldChar w:fldCharType="separate"/>
          </w:r>
          <w:r>
            <w:rPr>
              <w:rFonts w:hint="eastAsia" w:ascii="黑体" w:hAnsi="Times New Roman" w:eastAsia="黑体"/>
              <w:i w:val="0"/>
              <w:spacing w:val="0"/>
              <w:w w:val="100"/>
            </w:rPr>
            <w:t xml:space="preserve">附录D </w:t>
          </w:r>
          <w:r>
            <w:tab/>
          </w:r>
          <w:r>
            <w:fldChar w:fldCharType="begin"/>
          </w:r>
          <w:r>
            <w:instrText xml:space="preserve"> PAGEREF _Toc6210 \h </w:instrText>
          </w:r>
          <w:r>
            <w:fldChar w:fldCharType="separate"/>
          </w:r>
          <w:r>
            <w:t>8</w:t>
          </w:r>
          <w:r>
            <w:fldChar w:fldCharType="end"/>
          </w:r>
          <w:r>
            <w:rPr>
              <w:rFonts w:hint="eastAsia" w:ascii="宋体" w:hAnsi="宋体" w:cs="Times New Roman"/>
            </w:rPr>
            <w:fldChar w:fldCharType="end"/>
          </w:r>
        </w:p>
        <w:p w14:paraId="23DEE15A">
          <w:pPr>
            <w:pStyle w:val="9"/>
            <w:keepNext w:val="0"/>
            <w:keepLines w:val="0"/>
            <w:pageBreakBefore w:val="0"/>
            <w:widowControl w:val="0"/>
            <w:tabs>
              <w:tab w:val="right" w:leader="dot" w:pos="7926"/>
            </w:tabs>
            <w:kinsoku/>
            <w:wordWrap/>
            <w:overflowPunct/>
            <w:topLinePunct w:val="0"/>
            <w:autoSpaceDE/>
            <w:autoSpaceDN/>
            <w:bidi w:val="0"/>
            <w:adjustRightInd w:val="0"/>
            <w:snapToGrid w:val="0"/>
            <w:spacing w:line="360" w:lineRule="auto"/>
            <w:jc w:val="left"/>
            <w:textAlignment w:val="auto"/>
            <w:rPr>
              <w:b/>
            </w:rPr>
          </w:pPr>
          <w:r>
            <w:rPr>
              <w:rFonts w:hint="eastAsia" w:ascii="宋体" w:hAnsi="宋体" w:cs="Times New Roman"/>
            </w:rPr>
            <w:fldChar w:fldCharType="end"/>
          </w:r>
        </w:p>
      </w:sdtContent>
    </w:sdt>
    <w:p w14:paraId="356268FB">
      <w:pPr>
        <w:pStyle w:val="21"/>
        <w:rPr>
          <w:rFonts w:hint="eastAsia" w:hAnsi="黑体" w:cs="黑体"/>
          <w:color w:val="000000" w:themeColor="text1"/>
          <w:lang w:val="en-US" w:eastAsia="zh-CN"/>
          <w14:textFill>
            <w14:solidFill>
              <w14:schemeClr w14:val="tx1"/>
            </w14:solidFill>
          </w14:textFill>
        </w:rPr>
        <w:sectPr>
          <w:headerReference r:id="rId4" w:type="first"/>
          <w:footerReference r:id="rId7" w:type="first"/>
          <w:headerReference r:id="rId3" w:type="default"/>
          <w:footerReference r:id="rId5" w:type="default"/>
          <w:footerReference r:id="rId6" w:type="even"/>
          <w:pgSz w:w="11906" w:h="16838"/>
          <w:pgMar w:top="1440" w:right="1800" w:bottom="1440" w:left="1800" w:header="851" w:footer="992" w:gutter="0"/>
          <w:pgNumType w:fmt="upperRoman" w:start="1"/>
          <w:cols w:space="425" w:num="1"/>
          <w:titlePg/>
          <w:docGrid w:type="lines" w:linePitch="312" w:charSpace="0"/>
        </w:sectPr>
      </w:pPr>
    </w:p>
    <w:p w14:paraId="635C371A">
      <w:pPr>
        <w:pStyle w:val="21"/>
        <w:shd w:val="clear" w:color="FFFFFF" w:fill="FFFFFF"/>
        <w:rPr>
          <w:rFonts w:hint="eastAsia" w:hAnsi="黑体" w:cs="黑体"/>
          <w:color w:val="000000" w:themeColor="text1"/>
          <w:lang w:val="en-US" w:eastAsia="zh-CN"/>
          <w14:textFill>
            <w14:solidFill>
              <w14:schemeClr w14:val="tx1"/>
            </w14:solidFill>
          </w14:textFill>
        </w:rPr>
      </w:pPr>
      <w:bookmarkStart w:id="25" w:name="_Toc25843"/>
      <w:r>
        <w:rPr>
          <w:rFonts w:hint="eastAsia" w:hAnsi="黑体" w:cs="黑体"/>
          <w:color w:val="000000" w:themeColor="text1"/>
          <w:lang w:val="en-US" w:eastAsia="zh-CN"/>
          <w14:textFill>
            <w14:solidFill>
              <w14:schemeClr w14:val="tx1"/>
            </w14:solidFill>
          </w14:textFill>
        </w:rPr>
        <w:t>前</w:t>
      </w:r>
      <w:r>
        <w:rPr>
          <w:rFonts w:hint="eastAsia" w:hAnsi="黑体" w:cs="黑体"/>
          <w:color w:val="000000" w:themeColor="text1"/>
          <w14:textFill>
            <w14:solidFill>
              <w14:schemeClr w14:val="tx1"/>
            </w14:solidFill>
          </w14:textFill>
        </w:rPr>
        <w:t>  </w:t>
      </w:r>
      <w:r>
        <w:rPr>
          <w:rFonts w:hint="eastAsia" w:hAnsi="黑体" w:cs="黑体"/>
          <w:color w:val="000000" w:themeColor="text1"/>
          <w:lang w:val="en-US" w:eastAsia="zh-CN"/>
          <w14:textFill>
            <w14:solidFill>
              <w14:schemeClr w14:val="tx1"/>
            </w14:solidFill>
          </w14:textFill>
        </w:rPr>
        <w:t>言</w:t>
      </w:r>
      <w:bookmarkEnd w:id="25"/>
    </w:p>
    <w:p w14:paraId="41D5F111">
      <w:pPr>
        <w:pStyle w:val="18"/>
        <w:tabs>
          <w:tab w:val="center" w:pos="4201"/>
          <w:tab w:val="right" w:leader="dot" w:pos="9298"/>
        </w:tabs>
        <w:rPr>
          <w:rFonts w:hint="default" w:ascii="宋体" w:hAnsi="宋体" w:eastAsia="宋体" w:cs="Times New Roman"/>
          <w:kern w:val="0"/>
          <w:szCs w:val="20"/>
        </w:rPr>
      </w:pPr>
      <w:r>
        <w:rPr>
          <w:rFonts w:hint="default" w:ascii="宋体" w:hAnsi="宋体" w:eastAsia="宋体" w:cs="Times New Roman"/>
          <w:kern w:val="0"/>
          <w:szCs w:val="20"/>
        </w:rPr>
        <w:t>本</w:t>
      </w:r>
      <w:r>
        <w:rPr>
          <w:rFonts w:hint="eastAsia" w:ascii="宋体" w:hAnsi="宋体" w:eastAsia="宋体" w:cs="Times New Roman"/>
          <w:kern w:val="0"/>
          <w:szCs w:val="20"/>
          <w:lang w:val="en-US" w:eastAsia="zh-CN"/>
        </w:rPr>
        <w:t>文件</w:t>
      </w:r>
      <w:r>
        <w:rPr>
          <w:rFonts w:hint="default" w:ascii="宋体" w:hAnsi="宋体" w:eastAsia="宋体" w:cs="Times New Roman"/>
          <w:kern w:val="0"/>
          <w:szCs w:val="20"/>
        </w:rPr>
        <w:t>按照</w:t>
      </w:r>
      <w:r>
        <w:rPr>
          <w:rFonts w:hint="default" w:ascii="宋体" w:hAnsi="宋体" w:eastAsia="宋体" w:cs="Times New Roman"/>
          <w:kern w:val="0"/>
          <w:szCs w:val="20"/>
          <w:lang w:val="en-US" w:eastAsia="zh-CN"/>
        </w:rPr>
        <w:t>GB/T 1.1-2020</w:t>
      </w:r>
      <w:r>
        <w:rPr>
          <w:rFonts w:hint="default" w:ascii="宋体" w:hAnsi="宋体" w:eastAsia="宋体" w:cs="Times New Roman"/>
          <w:kern w:val="0"/>
          <w:szCs w:val="20"/>
        </w:rPr>
        <w:t>《</w:t>
      </w:r>
      <w:r>
        <w:rPr>
          <w:rFonts w:hint="default" w:ascii="宋体" w:hAnsi="宋体" w:eastAsia="宋体" w:cs="Times New Roman"/>
          <w:kern w:val="0"/>
          <w:szCs w:val="20"/>
          <w:lang w:val="en-US" w:eastAsia="zh-CN"/>
        </w:rPr>
        <w:t>标准化工作导则  第一部分：标准化文件的结构和起草规则</w:t>
      </w:r>
      <w:r>
        <w:rPr>
          <w:rFonts w:hint="default" w:ascii="宋体" w:hAnsi="宋体" w:eastAsia="宋体" w:cs="Times New Roman"/>
          <w:kern w:val="0"/>
          <w:szCs w:val="20"/>
        </w:rPr>
        <w:t>》的规定起草。</w:t>
      </w:r>
    </w:p>
    <w:p w14:paraId="72E93A3A">
      <w:pPr>
        <w:pStyle w:val="18"/>
        <w:tabs>
          <w:tab w:val="center" w:pos="4201"/>
          <w:tab w:val="right" w:leader="dot" w:pos="9298"/>
        </w:tabs>
        <w:rPr>
          <w:rFonts w:hint="eastAsia" w:ascii="宋体" w:hAnsi="宋体" w:eastAsia="宋体" w:cs="Times New Roman"/>
          <w:kern w:val="0"/>
          <w:szCs w:val="20"/>
          <w:lang w:val="en-US" w:eastAsia="zh-CN"/>
        </w:rPr>
      </w:pPr>
      <w:r>
        <w:rPr>
          <w:rFonts w:hint="eastAsia" w:ascii="宋体" w:hAnsi="宋体" w:eastAsia="宋体" w:cs="Times New Roman"/>
          <w:kern w:val="0"/>
          <w:szCs w:val="20"/>
          <w:lang w:val="en-US" w:eastAsia="zh-CN"/>
        </w:rPr>
        <w:t>本文件由XXXXXXX提出</w:t>
      </w:r>
    </w:p>
    <w:p w14:paraId="4DF0E052">
      <w:pPr>
        <w:pStyle w:val="18"/>
        <w:tabs>
          <w:tab w:val="center" w:pos="4201"/>
          <w:tab w:val="right" w:leader="dot" w:pos="9298"/>
        </w:tabs>
        <w:rPr>
          <w:rFonts w:hint="default" w:ascii="宋体" w:hAnsi="宋体" w:eastAsia="宋体" w:cs="Times New Roman"/>
          <w:kern w:val="0"/>
          <w:szCs w:val="20"/>
          <w:lang w:val="en-US" w:eastAsia="zh-CN"/>
        </w:rPr>
      </w:pPr>
      <w:r>
        <w:rPr>
          <w:rFonts w:hint="eastAsia" w:ascii="宋体" w:hAnsi="宋体" w:eastAsia="宋体" w:cs="Times New Roman"/>
          <w:kern w:val="0"/>
          <w:szCs w:val="20"/>
          <w:lang w:val="en-US" w:eastAsia="zh-CN"/>
        </w:rPr>
        <w:t>本文件由中国国际科技促进会归口</w:t>
      </w:r>
    </w:p>
    <w:p w14:paraId="473B9DE2">
      <w:pPr>
        <w:pStyle w:val="18"/>
        <w:tabs>
          <w:tab w:val="center" w:pos="4201"/>
          <w:tab w:val="right" w:leader="dot" w:pos="9298"/>
        </w:tabs>
        <w:rPr>
          <w:rFonts w:hint="default" w:ascii="宋体" w:hAnsi="宋体" w:eastAsia="宋体" w:cs="Times New Roman"/>
          <w:kern w:val="0"/>
          <w:szCs w:val="20"/>
          <w:lang w:val="en-US" w:eastAsia="zh-CN"/>
        </w:rPr>
      </w:pPr>
      <w:r>
        <w:rPr>
          <w:rFonts w:hint="eastAsia" w:ascii="宋体" w:hAnsi="宋体" w:eastAsia="宋体" w:cs="Times New Roman"/>
          <w:kern w:val="0"/>
          <w:szCs w:val="20"/>
          <w:lang w:val="en-US" w:eastAsia="zh-CN"/>
        </w:rPr>
        <w:t>本文件起草单位：</w:t>
      </w:r>
      <w:r>
        <w:rPr>
          <w:rFonts w:hint="eastAsia" w:hAnsi="宋体" w:eastAsia="宋体" w:cs="Times New Roman"/>
          <w:kern w:val="0"/>
          <w:szCs w:val="20"/>
          <w:lang w:val="en-US" w:eastAsia="zh-CN"/>
        </w:rPr>
        <w:t>水利部产品质量标准研究所</w:t>
      </w:r>
      <w:r>
        <w:rPr>
          <w:rFonts w:hint="eastAsia" w:ascii="宋体" w:hAnsi="宋体" w:eastAsia="宋体" w:cs="Times New Roman"/>
          <w:kern w:val="0"/>
          <w:szCs w:val="20"/>
          <w:lang w:val="en-US" w:eastAsia="zh-CN"/>
        </w:rPr>
        <w:t>……</w:t>
      </w:r>
    </w:p>
    <w:p w14:paraId="2C1F123E">
      <w:pPr>
        <w:pStyle w:val="18"/>
        <w:tabs>
          <w:tab w:val="center" w:pos="4201"/>
          <w:tab w:val="right" w:leader="dot" w:pos="9298"/>
        </w:tabs>
        <w:rPr>
          <w:rFonts w:hint="default" w:ascii="宋体" w:hAnsi="宋体" w:eastAsia="宋体" w:cs="Times New Roman"/>
          <w:kern w:val="0"/>
          <w:szCs w:val="20"/>
          <w:lang w:val="en-US" w:eastAsia="zh-CN"/>
        </w:rPr>
      </w:pPr>
      <w:r>
        <w:rPr>
          <w:rFonts w:hint="default" w:ascii="宋体" w:hAnsi="宋体" w:eastAsia="宋体" w:cs="Times New Roman"/>
          <w:kern w:val="0"/>
          <w:szCs w:val="20"/>
        </w:rPr>
        <w:t>本</w:t>
      </w:r>
      <w:r>
        <w:rPr>
          <w:rFonts w:hint="default" w:ascii="宋体" w:hAnsi="宋体" w:eastAsia="宋体" w:cs="Times New Roman"/>
          <w:kern w:val="0"/>
          <w:szCs w:val="20"/>
          <w:lang w:val="en-US" w:eastAsia="zh-CN"/>
        </w:rPr>
        <w:t>文件</w:t>
      </w:r>
      <w:r>
        <w:rPr>
          <w:rFonts w:hint="default" w:ascii="宋体" w:hAnsi="宋体" w:eastAsia="宋体" w:cs="Times New Roman"/>
          <w:kern w:val="0"/>
          <w:szCs w:val="20"/>
        </w:rPr>
        <w:t>主要起草人：</w:t>
      </w:r>
      <w:r>
        <w:rPr>
          <w:rFonts w:hint="eastAsia" w:ascii="宋体" w:hAnsi="宋体" w:eastAsia="宋体" w:cs="Times New Roman"/>
          <w:kern w:val="0"/>
          <w:szCs w:val="20"/>
          <w:lang w:val="en-US" w:eastAsia="zh-CN"/>
        </w:rPr>
        <w:t>XXX、XXX</w:t>
      </w:r>
      <w:r>
        <w:rPr>
          <w:rFonts w:hint="eastAsia" w:hAnsi="宋体" w:eastAsia="宋体" w:cs="Times New Roman"/>
          <w:kern w:val="0"/>
          <w:szCs w:val="20"/>
          <w:lang w:val="en-US" w:eastAsia="zh-CN"/>
        </w:rPr>
        <w:t>、XXX</w:t>
      </w:r>
      <w:r>
        <w:rPr>
          <w:rFonts w:hint="eastAsia" w:ascii="宋体" w:hAnsi="宋体" w:eastAsia="宋体" w:cs="Times New Roman"/>
          <w:kern w:val="0"/>
          <w:szCs w:val="20"/>
          <w:lang w:val="en-US" w:eastAsia="zh-CN"/>
        </w:rPr>
        <w:t>……</w:t>
      </w:r>
    </w:p>
    <w:p w14:paraId="21274788">
      <w:pPr>
        <w:widowControl/>
        <w:tabs>
          <w:tab w:val="center" w:pos="4201"/>
          <w:tab w:val="right" w:leader="dot" w:pos="9298"/>
        </w:tabs>
        <w:autoSpaceDE w:val="0"/>
        <w:autoSpaceDN w:val="0"/>
        <w:spacing w:line="360" w:lineRule="auto"/>
        <w:ind w:firstLine="420" w:firstLineChars="200"/>
        <w:jc w:val="left"/>
        <w:rPr>
          <w:color w:val="000000" w:themeColor="text1"/>
          <w:kern w:val="0"/>
          <w:szCs w:val="20"/>
          <w14:textFill>
            <w14:solidFill>
              <w14:schemeClr w14:val="tx1"/>
            </w14:solidFill>
          </w14:textFill>
        </w:rPr>
      </w:pPr>
    </w:p>
    <w:p w14:paraId="0CD99A90">
      <w:pPr>
        <w:bidi w:val="0"/>
        <w:rPr>
          <w:rFonts w:hint="eastAsia"/>
          <w:lang w:val="en-US" w:eastAsia="zh-CN"/>
        </w:rPr>
        <w:sectPr>
          <w:footerReference r:id="rId8" w:type="default"/>
          <w:pgSz w:w="11906" w:h="16838"/>
          <w:pgMar w:top="1440" w:right="1800" w:bottom="1440" w:left="1800" w:header="851" w:footer="992" w:gutter="0"/>
          <w:pgNumType w:fmt="upperRoman"/>
          <w:cols w:space="425" w:num="1"/>
          <w:docGrid w:type="lines" w:linePitch="312" w:charSpace="0"/>
        </w:sectPr>
      </w:pPr>
    </w:p>
    <w:p w14:paraId="49AD342D">
      <w:pPr>
        <w:pStyle w:val="21"/>
        <w:shd w:val="clear" w:color="FFFFFF" w:fill="FFFFFF"/>
        <w:rPr>
          <w:rFonts w:hint="default" w:hAnsi="黑体" w:cs="黑体"/>
          <w:color w:val="000000" w:themeColor="text1"/>
          <w:lang w:val="en-US" w:eastAsia="zh-CN"/>
          <w14:textFill>
            <w14:solidFill>
              <w14:schemeClr w14:val="tx1"/>
            </w14:solidFill>
          </w14:textFill>
        </w:rPr>
      </w:pPr>
      <w:bookmarkStart w:id="26" w:name="_Toc21239"/>
      <w:r>
        <w:rPr>
          <w:rFonts w:hint="eastAsia" w:hAnsi="黑体" w:cs="黑体"/>
          <w:color w:val="000000" w:themeColor="text1"/>
          <w:lang w:val="en-US" w:eastAsia="zh-CN"/>
          <w14:textFill>
            <w14:solidFill>
              <w14:schemeClr w14:val="tx1"/>
            </w14:solidFill>
          </w14:textFill>
        </w:rPr>
        <w:t>引</w:t>
      </w:r>
      <w:r>
        <w:rPr>
          <w:rFonts w:hint="eastAsia" w:hAnsi="黑体" w:cs="黑体"/>
          <w:color w:val="000000" w:themeColor="text1"/>
          <w14:textFill>
            <w14:solidFill>
              <w14:schemeClr w14:val="tx1"/>
            </w14:solidFill>
          </w14:textFill>
        </w:rPr>
        <w:t>  </w:t>
      </w:r>
      <w:r>
        <w:rPr>
          <w:rFonts w:hint="eastAsia" w:hAnsi="黑体" w:cs="黑体"/>
          <w:color w:val="000000" w:themeColor="text1"/>
          <w:lang w:val="en-US" w:eastAsia="zh-CN"/>
          <w14:textFill>
            <w14:solidFill>
              <w14:schemeClr w14:val="tx1"/>
            </w14:solidFill>
          </w14:textFill>
        </w:rPr>
        <w:t>言</w:t>
      </w:r>
      <w:bookmarkEnd w:id="26"/>
    </w:p>
    <w:p w14:paraId="50B617EF">
      <w:pPr>
        <w:pStyle w:val="18"/>
        <w:tabs>
          <w:tab w:val="center" w:pos="4201"/>
          <w:tab w:val="right" w:leader="dot" w:pos="9298"/>
        </w:tabs>
        <w:rPr>
          <w:rFonts w:hint="eastAsia" w:ascii="宋体" w:hAnsi="宋体" w:eastAsia="宋体" w:cs="Times New Roman"/>
          <w:kern w:val="0"/>
          <w:szCs w:val="20"/>
        </w:rPr>
      </w:pPr>
      <w:bookmarkStart w:id="27" w:name="_Toc13681"/>
      <w:bookmarkStart w:id="28" w:name="_Toc11672"/>
      <w:r>
        <w:rPr>
          <w:rFonts w:hint="eastAsia" w:ascii="宋体" w:hAnsi="宋体" w:eastAsia="宋体" w:cs="Times New Roman"/>
          <w:kern w:val="0"/>
          <w:szCs w:val="20"/>
        </w:rPr>
        <w:t>水利水电工程是国家基础设施建设的重要领域，关乎水资源利用、能源供应以及防洪灌溉等重要功能。混凝土坝作为常见的挡水建筑，其安全稳定对工程效益和下游地区安全意义重大。</w:t>
      </w:r>
      <w:bookmarkEnd w:id="27"/>
    </w:p>
    <w:p w14:paraId="506AC8F7">
      <w:pPr>
        <w:pStyle w:val="18"/>
        <w:tabs>
          <w:tab w:val="center" w:pos="4201"/>
          <w:tab w:val="right" w:leader="dot" w:pos="9298"/>
        </w:tabs>
        <w:rPr>
          <w:rFonts w:hint="eastAsia" w:ascii="宋体" w:hAnsi="宋体" w:eastAsia="宋体" w:cs="Times New Roman"/>
          <w:kern w:val="0"/>
          <w:szCs w:val="20"/>
        </w:rPr>
      </w:pPr>
      <w:bookmarkStart w:id="29" w:name="_Toc12520"/>
      <w:r>
        <w:rPr>
          <w:rFonts w:hint="eastAsia" w:ascii="宋体" w:hAnsi="宋体" w:eastAsia="宋体" w:cs="Times New Roman"/>
          <w:kern w:val="0"/>
          <w:szCs w:val="20"/>
        </w:rPr>
        <w:t>在实际运行中，部分混凝土坝面临水深≥30m且无法放空水库的复杂工况，渗漏问题极易发生。渗漏不仅会降低坝体强度与耐久性，引发裂缝扩展、基础淘刷等问题，影响工程效益，若未能及时处理，甚至可能导致溃坝，给下游地区带来毁灭性灾难，危及生命财产安全，破坏生态环境。</w:t>
      </w:r>
      <w:bookmarkEnd w:id="29"/>
    </w:p>
    <w:p w14:paraId="071D363F">
      <w:pPr>
        <w:pStyle w:val="18"/>
        <w:tabs>
          <w:tab w:val="center" w:pos="4201"/>
          <w:tab w:val="right" w:leader="dot" w:pos="9298"/>
        </w:tabs>
        <w:rPr>
          <w:rFonts w:hint="eastAsia" w:ascii="宋体" w:hAnsi="宋体" w:eastAsia="宋体" w:cs="Times New Roman"/>
          <w:kern w:val="0"/>
          <w:szCs w:val="20"/>
        </w:rPr>
      </w:pPr>
      <w:bookmarkStart w:id="30" w:name="_Toc18143"/>
      <w:r>
        <w:rPr>
          <w:rFonts w:hint="eastAsia" w:ascii="宋体" w:hAnsi="宋体" w:eastAsia="宋体" w:cs="Times New Roman"/>
          <w:kern w:val="0"/>
          <w:szCs w:val="20"/>
        </w:rPr>
        <w:t>目前针对此类深水水下渗漏治理，技术标准和规范并不完善，技术人员缺乏统一指导，导致治理方案的选择与实施存在盲目性。为此，特编写本技术</w:t>
      </w:r>
      <w:r>
        <w:rPr>
          <w:rFonts w:hint="eastAsia" w:hAnsi="宋体" w:eastAsia="宋体" w:cs="Times New Roman"/>
          <w:kern w:val="0"/>
          <w:szCs w:val="20"/>
          <w:lang w:val="en-US" w:eastAsia="zh-CN"/>
        </w:rPr>
        <w:t>规程</w:t>
      </w:r>
      <w:r>
        <w:rPr>
          <w:rFonts w:hint="eastAsia" w:ascii="宋体" w:hAnsi="宋体" w:eastAsia="宋体" w:cs="Times New Roman"/>
          <w:kern w:val="0"/>
          <w:szCs w:val="20"/>
        </w:rPr>
        <w:t>。</w:t>
      </w:r>
      <w:bookmarkEnd w:id="30"/>
    </w:p>
    <w:p w14:paraId="3EB93572">
      <w:pPr>
        <w:pStyle w:val="18"/>
        <w:tabs>
          <w:tab w:val="center" w:pos="4201"/>
          <w:tab w:val="right" w:leader="dot" w:pos="9298"/>
        </w:tabs>
        <w:rPr>
          <w:rFonts w:hint="eastAsia" w:ascii="宋体" w:hAnsi="宋体" w:eastAsia="宋体" w:cs="Times New Roman"/>
          <w:kern w:val="0"/>
          <w:szCs w:val="20"/>
        </w:rPr>
      </w:pPr>
      <w:bookmarkStart w:id="31" w:name="_Toc7449"/>
      <w:r>
        <w:rPr>
          <w:rFonts w:hint="eastAsia" w:ascii="宋体" w:hAnsi="宋体" w:eastAsia="宋体" w:cs="Times New Roman"/>
          <w:kern w:val="0"/>
          <w:szCs w:val="20"/>
        </w:rPr>
        <w:t>本</w:t>
      </w:r>
      <w:r>
        <w:rPr>
          <w:rFonts w:hint="eastAsia" w:ascii="宋体" w:hAnsi="宋体" w:eastAsia="宋体" w:cs="Times New Roman"/>
          <w:kern w:val="0"/>
          <w:szCs w:val="20"/>
          <w:lang w:val="en-US" w:eastAsia="zh-CN"/>
        </w:rPr>
        <w:t>文件</w:t>
      </w:r>
      <w:r>
        <w:rPr>
          <w:rFonts w:hint="eastAsia" w:ascii="宋体" w:hAnsi="宋体" w:eastAsia="宋体" w:cs="Times New Roman"/>
          <w:kern w:val="0"/>
          <w:szCs w:val="20"/>
        </w:rPr>
        <w:t>全面整合了渗漏治理各环节的关键技术要求，</w:t>
      </w:r>
      <w:r>
        <w:rPr>
          <w:rFonts w:hint="eastAsia" w:ascii="宋体" w:hAnsi="宋体" w:eastAsia="宋体" w:cs="Times New Roman"/>
          <w:kern w:val="0"/>
          <w:szCs w:val="20"/>
          <w:lang w:val="en-US" w:eastAsia="zh-CN"/>
        </w:rPr>
        <w:t>主要包括</w:t>
      </w:r>
      <w:r>
        <w:rPr>
          <w:rFonts w:hint="eastAsia" w:ascii="宋体" w:hAnsi="宋体" w:eastAsia="宋体" w:cs="Times New Roman"/>
          <w:kern w:val="0"/>
          <w:szCs w:val="20"/>
        </w:rPr>
        <w:t>检测、设计、施工、验收及维护等</w:t>
      </w:r>
      <w:r>
        <w:rPr>
          <w:rFonts w:hint="eastAsia" w:ascii="宋体" w:hAnsi="宋体" w:eastAsia="宋体" w:cs="Times New Roman"/>
          <w:kern w:val="0"/>
          <w:szCs w:val="20"/>
          <w:lang w:val="en-US" w:eastAsia="zh-CN"/>
        </w:rPr>
        <w:t>内容</w:t>
      </w:r>
      <w:r>
        <w:rPr>
          <w:rFonts w:hint="eastAsia" w:ascii="宋体" w:hAnsi="宋体" w:eastAsia="宋体" w:cs="Times New Roman"/>
          <w:kern w:val="0"/>
          <w:szCs w:val="20"/>
        </w:rPr>
        <w:t>。渗漏检测介绍了水下机器人检测和示踪剂法；防渗设计明确了深水防渗墙和帷幕灌浆的参数与工艺；水下施工阐述了裂缝封堵和防渗墙施工流程及质量控制要点；质量验收制定严格标准；运行维护提出安全管理和定期检查要求。</w:t>
      </w:r>
      <w:bookmarkEnd w:id="31"/>
    </w:p>
    <w:p w14:paraId="3E26C773">
      <w:pPr>
        <w:pStyle w:val="18"/>
        <w:tabs>
          <w:tab w:val="center" w:pos="4201"/>
          <w:tab w:val="right" w:leader="dot" w:pos="9298"/>
        </w:tabs>
        <w:rPr>
          <w:rFonts w:hint="eastAsia" w:ascii="宋体" w:hAnsi="宋体" w:eastAsia="宋体" w:cs="Times New Roman"/>
          <w:kern w:val="0"/>
          <w:szCs w:val="20"/>
        </w:rPr>
      </w:pPr>
      <w:bookmarkStart w:id="32" w:name="_Toc32378"/>
      <w:r>
        <w:rPr>
          <w:rFonts w:hint="eastAsia" w:ascii="宋体" w:hAnsi="宋体" w:eastAsia="宋体" w:cs="Times New Roman"/>
          <w:kern w:val="0"/>
          <w:szCs w:val="20"/>
        </w:rPr>
        <w:t>本</w:t>
      </w:r>
      <w:r>
        <w:rPr>
          <w:rFonts w:hint="eastAsia" w:ascii="宋体" w:hAnsi="宋体" w:eastAsia="宋体" w:cs="Times New Roman"/>
          <w:kern w:val="0"/>
          <w:szCs w:val="20"/>
          <w:lang w:val="en-US" w:eastAsia="zh-CN"/>
        </w:rPr>
        <w:t>文件的制订，可</w:t>
      </w:r>
      <w:r>
        <w:rPr>
          <w:rFonts w:hint="eastAsia" w:ascii="宋体" w:hAnsi="宋体" w:eastAsia="宋体" w:cs="Times New Roman"/>
          <w:kern w:val="0"/>
          <w:szCs w:val="20"/>
        </w:rPr>
        <w:t>为水库、水电站等工程的深水水下渗漏治理提供科学、可靠、可操作的技术依据，助力技术人员规范高效开展工作，提升工程安全性与耐久性，保障工程长期稳定运行，发挥综合效益，支撑经济社会可持续发展。</w:t>
      </w:r>
      <w:bookmarkEnd w:id="32"/>
    </w:p>
    <w:p w14:paraId="593076E2">
      <w:pPr>
        <w:pStyle w:val="12"/>
        <w:rPr>
          <w:rFonts w:hint="eastAsia"/>
        </w:rPr>
        <w:sectPr>
          <w:footerReference r:id="rId9" w:type="default"/>
          <w:pgSz w:w="11906" w:h="16838"/>
          <w:pgMar w:top="1440" w:right="1800" w:bottom="1440" w:left="1800" w:header="851" w:footer="992" w:gutter="0"/>
          <w:pgNumType w:fmt="upperRoman"/>
          <w:cols w:space="425" w:num="1"/>
          <w:docGrid w:type="lines" w:linePitch="312" w:charSpace="0"/>
        </w:sectPr>
      </w:pPr>
    </w:p>
    <w:bookmarkEnd w:id="28"/>
    <w:p w14:paraId="71119757">
      <w:pPr>
        <w:jc w:val="center"/>
        <w:rPr>
          <w:rFonts w:hint="eastAsia" w:ascii="黑体" w:hAnsi="黑体" w:eastAsia="黑体" w:cs="Times New Roman"/>
          <w:sz w:val="28"/>
          <w:szCs w:val="28"/>
          <w:lang w:val="en-US" w:eastAsia="zh-CN"/>
        </w:rPr>
      </w:pPr>
      <w:r>
        <w:rPr>
          <w:rFonts w:hint="eastAsia" w:ascii="黑体" w:hAnsi="黑体" w:eastAsia="黑体" w:cs="Times New Roman"/>
          <w:sz w:val="28"/>
          <w:szCs w:val="28"/>
        </w:rPr>
        <w:t>混凝土坝坝体渗漏深水水下防渗处理技术</w:t>
      </w:r>
      <w:r>
        <w:rPr>
          <w:rFonts w:hint="eastAsia" w:ascii="黑体" w:hAnsi="黑体" w:eastAsia="黑体" w:cs="Times New Roman"/>
          <w:sz w:val="28"/>
          <w:szCs w:val="28"/>
          <w:lang w:val="en-US" w:eastAsia="zh-CN"/>
        </w:rPr>
        <w:t>规程</w:t>
      </w:r>
    </w:p>
    <w:p w14:paraId="291FD043">
      <w:pPr>
        <w:pStyle w:val="24"/>
        <w:numPr>
          <w:ilvl w:val="0"/>
          <w:numId w:val="2"/>
        </w:numPr>
        <w:jc w:val="left"/>
        <w:rPr>
          <w:rFonts w:hint="eastAsia" w:cs="Times New Roman"/>
          <w:lang w:val="en-US" w:eastAsia="zh-CN"/>
        </w:rPr>
      </w:pPr>
      <w:bookmarkStart w:id="33" w:name="_Toc18668"/>
      <w:r>
        <w:rPr>
          <w:rFonts w:hint="eastAsia" w:cs="Times New Roman"/>
          <w:lang w:val="en-US" w:eastAsia="zh-CN"/>
        </w:rPr>
        <w:t>范围</w:t>
      </w:r>
      <w:bookmarkEnd w:id="33"/>
    </w:p>
    <w:p w14:paraId="6F6AA740">
      <w:pPr>
        <w:ind w:firstLine="420" w:firstLineChars="200"/>
        <w:rPr>
          <w:rFonts w:hint="default" w:ascii="Times New Roman" w:hAnsi="Times New Roman" w:eastAsia="宋体" w:cs="Times New Roman"/>
          <w:lang w:val="en-US" w:eastAsia="zh-CN"/>
        </w:rPr>
      </w:pPr>
      <w:r>
        <w:rPr>
          <w:rFonts w:hint="eastAsia" w:ascii="Times New Roman" w:hAnsi="Times New Roman" w:eastAsia="宋体" w:cs="Times New Roman"/>
        </w:rPr>
        <w:t>本文件规定了混凝土坝坝体在水深≥30m且无法放空水库条件下的渗漏检测、防渗设计、水下施工、质量验收及运行维护技术要求</w:t>
      </w:r>
      <w:r>
        <w:rPr>
          <w:rFonts w:hint="eastAsia" w:ascii="Times New Roman" w:hAnsi="Times New Roman" w:eastAsia="宋体" w:cs="Times New Roman"/>
          <w:lang w:val="en-US" w:eastAsia="zh-CN"/>
        </w:rPr>
        <w:t>等内容。</w:t>
      </w:r>
    </w:p>
    <w:p w14:paraId="55CD24FB">
      <w:pPr>
        <w:ind w:firstLine="420" w:firstLineChars="200"/>
        <w:rPr>
          <w:rFonts w:hint="eastAsia" w:ascii="Times New Roman" w:hAnsi="Times New Roman" w:eastAsia="宋体" w:cs="Times New Roman"/>
        </w:rPr>
      </w:pPr>
      <w:r>
        <w:rPr>
          <w:rFonts w:hint="eastAsia" w:ascii="Times New Roman" w:hAnsi="Times New Roman" w:eastAsia="宋体" w:cs="Times New Roman"/>
          <w:lang w:val="en-US" w:eastAsia="zh-CN"/>
        </w:rPr>
        <w:t>本文件</w:t>
      </w:r>
      <w:r>
        <w:rPr>
          <w:rFonts w:hint="eastAsia" w:ascii="Times New Roman" w:hAnsi="Times New Roman" w:eastAsia="宋体" w:cs="Times New Roman"/>
        </w:rPr>
        <w:t>适用于水库、水电站等工程中深水水下渗漏治理。</w:t>
      </w:r>
    </w:p>
    <w:p w14:paraId="03F50227">
      <w:pPr>
        <w:pStyle w:val="24"/>
        <w:numPr>
          <w:ilvl w:val="0"/>
          <w:numId w:val="2"/>
        </w:numPr>
        <w:jc w:val="left"/>
        <w:rPr>
          <w:rFonts w:hint="eastAsia" w:cs="Times New Roman"/>
          <w:lang w:val="en-US" w:eastAsia="zh-CN"/>
        </w:rPr>
      </w:pPr>
      <w:bookmarkStart w:id="34" w:name="_Toc28733"/>
      <w:r>
        <w:rPr>
          <w:rFonts w:hint="eastAsia" w:cs="Times New Roman"/>
          <w:lang w:val="en-US" w:eastAsia="zh-CN"/>
        </w:rPr>
        <w:t>规范性引用文件</w:t>
      </w:r>
      <w:bookmarkEnd w:id="34"/>
    </w:p>
    <w:p w14:paraId="418A6BBA">
      <w:pPr>
        <w:pStyle w:val="18"/>
        <w:tabs>
          <w:tab w:val="center" w:pos="4201"/>
          <w:tab w:val="right" w:leader="dot" w:pos="9298"/>
        </w:tabs>
        <w:rPr>
          <w:rFonts w:hint="default" w:ascii="宋体" w:hAnsi="宋体" w:eastAsia="宋体" w:cs="宋体"/>
          <w:kern w:val="0"/>
          <w:szCs w:val="20"/>
        </w:rPr>
      </w:pPr>
      <w:r>
        <w:rPr>
          <w:rFonts w:hint="default" w:ascii="宋体" w:hAnsi="宋体" w:eastAsia="宋体" w:cs="宋体"/>
          <w:kern w:val="0"/>
          <w:szCs w:val="20"/>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3DE1B2FB">
      <w:pPr>
        <w:pStyle w:val="18"/>
        <w:tabs>
          <w:tab w:val="center" w:pos="4201"/>
          <w:tab w:val="right" w:leader="dot" w:pos="9298"/>
        </w:tabs>
        <w:rPr>
          <w:rFonts w:hint="default" w:ascii="宋体" w:hAnsi="宋体" w:eastAsia="宋体" w:cs="宋体"/>
          <w:kern w:val="0"/>
          <w:szCs w:val="20"/>
        </w:rPr>
      </w:pPr>
      <w:r>
        <w:rPr>
          <w:rFonts w:hint="default" w:ascii="宋体" w:hAnsi="宋体" w:eastAsia="宋体" w:cs="宋体"/>
          <w:kern w:val="0"/>
          <w:szCs w:val="20"/>
        </w:rPr>
        <w:t>GB/T 50662-2011 混凝土坝安全监测技术规范</w:t>
      </w:r>
    </w:p>
    <w:p w14:paraId="50A98F9E">
      <w:pPr>
        <w:pStyle w:val="18"/>
        <w:tabs>
          <w:tab w:val="center" w:pos="4201"/>
          <w:tab w:val="right" w:leader="dot" w:pos="9298"/>
        </w:tabs>
        <w:rPr>
          <w:rFonts w:hint="default" w:ascii="宋体" w:hAnsi="宋体" w:eastAsia="宋体" w:cs="宋体"/>
          <w:kern w:val="0"/>
          <w:szCs w:val="20"/>
        </w:rPr>
      </w:pPr>
      <w:r>
        <w:rPr>
          <w:rFonts w:hint="default" w:ascii="宋体" w:hAnsi="宋体" w:eastAsia="宋体" w:cs="宋体"/>
          <w:kern w:val="0"/>
          <w:szCs w:val="20"/>
        </w:rPr>
        <w:t>ISO 22327:2018 滑坡灾害风险管理</w:t>
      </w:r>
      <w:bookmarkStart w:id="61" w:name="_GoBack"/>
      <w:r>
        <w:rPr>
          <w:rFonts w:hint="default" w:ascii="宋体" w:hAnsi="宋体" w:eastAsia="宋体" w:cs="宋体"/>
          <w:kern w:val="0"/>
          <w:szCs w:val="20"/>
        </w:rPr>
        <w:t>指南</w:t>
      </w:r>
      <w:bookmarkEnd w:id="61"/>
    </w:p>
    <w:p w14:paraId="5B0E1950">
      <w:pPr>
        <w:pStyle w:val="18"/>
        <w:tabs>
          <w:tab w:val="center" w:pos="4201"/>
          <w:tab w:val="right" w:leader="dot" w:pos="9298"/>
        </w:tabs>
        <w:rPr>
          <w:rFonts w:hint="default" w:ascii="宋体" w:hAnsi="宋体" w:eastAsia="宋体" w:cs="宋体"/>
          <w:kern w:val="0"/>
          <w:szCs w:val="20"/>
        </w:rPr>
      </w:pPr>
      <w:r>
        <w:rPr>
          <w:rFonts w:hint="default" w:ascii="宋体" w:hAnsi="宋体" w:eastAsia="宋体" w:cs="宋体"/>
          <w:kern w:val="0"/>
          <w:szCs w:val="20"/>
        </w:rPr>
        <w:t>SL 62-2014 水工建筑物水泥灌浆施工技术规范</w:t>
      </w:r>
    </w:p>
    <w:p w14:paraId="7D0783AB">
      <w:pPr>
        <w:pStyle w:val="18"/>
        <w:tabs>
          <w:tab w:val="center" w:pos="4201"/>
          <w:tab w:val="right" w:leader="dot" w:pos="9298"/>
        </w:tabs>
        <w:rPr>
          <w:rFonts w:hint="default" w:ascii="宋体" w:hAnsi="宋体" w:eastAsia="宋体" w:cs="宋体"/>
          <w:kern w:val="0"/>
          <w:szCs w:val="20"/>
        </w:rPr>
      </w:pPr>
      <w:r>
        <w:rPr>
          <w:rFonts w:hint="default" w:ascii="宋体" w:hAnsi="宋体" w:eastAsia="宋体" w:cs="宋体"/>
          <w:kern w:val="0"/>
          <w:szCs w:val="20"/>
        </w:rPr>
        <w:t>DL/T 5406-2010 水工建筑物化学灌浆施工规范</w:t>
      </w:r>
    </w:p>
    <w:p w14:paraId="0CFE2E01">
      <w:pPr>
        <w:pStyle w:val="18"/>
        <w:tabs>
          <w:tab w:val="center" w:pos="4201"/>
          <w:tab w:val="right" w:leader="dot" w:pos="9298"/>
        </w:tabs>
        <w:rPr>
          <w:rFonts w:hint="default" w:ascii="宋体" w:hAnsi="宋体" w:eastAsia="宋体" w:cs="宋体"/>
          <w:kern w:val="0"/>
          <w:szCs w:val="20"/>
        </w:rPr>
      </w:pPr>
      <w:r>
        <w:rPr>
          <w:rFonts w:hint="default" w:ascii="宋体" w:hAnsi="宋体" w:eastAsia="宋体" w:cs="宋体"/>
          <w:kern w:val="0"/>
          <w:szCs w:val="20"/>
        </w:rPr>
        <w:t>JTS 153-2015 水运工程水下检测技术规程</w:t>
      </w:r>
    </w:p>
    <w:p w14:paraId="7B44C0CA">
      <w:pPr>
        <w:pStyle w:val="24"/>
        <w:numPr>
          <w:ilvl w:val="0"/>
          <w:numId w:val="2"/>
        </w:numPr>
        <w:jc w:val="left"/>
        <w:rPr>
          <w:rFonts w:hint="eastAsia" w:cs="Times New Roman"/>
          <w:lang w:val="en-US" w:eastAsia="zh-CN"/>
        </w:rPr>
      </w:pPr>
      <w:bookmarkStart w:id="35" w:name="_Toc17198"/>
      <w:r>
        <w:rPr>
          <w:rFonts w:hint="eastAsia" w:cs="Times New Roman"/>
          <w:lang w:val="en-US" w:eastAsia="zh-CN"/>
        </w:rPr>
        <w:t>术语和定义</w:t>
      </w:r>
      <w:bookmarkEnd w:id="35"/>
    </w:p>
    <w:p w14:paraId="5412A376">
      <w:pPr>
        <w:pStyle w:val="18"/>
        <w:tabs>
          <w:tab w:val="center" w:pos="4201"/>
          <w:tab w:val="right" w:leader="dot" w:pos="9298"/>
        </w:tabs>
        <w:rPr>
          <w:rFonts w:hint="eastAsia" w:ascii="宋体" w:hAnsi="宋体" w:eastAsia="宋体" w:cs="Times New Roman"/>
          <w:kern w:val="0"/>
          <w:szCs w:val="20"/>
        </w:rPr>
      </w:pPr>
      <w:r>
        <w:rPr>
          <w:rFonts w:hint="eastAsia" w:ascii="宋体" w:hAnsi="宋体" w:eastAsia="宋体" w:cs="Times New Roman"/>
          <w:kern w:val="0"/>
          <w:szCs w:val="20"/>
        </w:rPr>
        <w:t>下列术语和定义适用于本文件。</w:t>
      </w:r>
    </w:p>
    <w:p w14:paraId="186E983F">
      <w:pPr>
        <w:pStyle w:val="25"/>
        <w:spacing w:beforeLines="0" w:afterLines="0"/>
        <w:outlineLvl w:val="9"/>
        <w:rPr>
          <w:rFonts w:hint="eastAsia" w:ascii="Times New Roman" w:hAnsi="Times New Roman" w:cs="Times New Roman"/>
          <w:lang w:val="en-US" w:eastAsia="zh-CN"/>
        </w:rPr>
      </w:pPr>
    </w:p>
    <w:p w14:paraId="5C0A3D52">
      <w:pPr>
        <w:pStyle w:val="26"/>
        <w:jc w:val="both"/>
        <w:rPr>
          <w:rFonts w:hint="eastAsia" w:ascii="黑体" w:hAnsi="黑体" w:eastAsia="黑体" w:cs="黑体"/>
          <w:lang w:val="en-US" w:eastAsia="zh-CN"/>
        </w:rPr>
      </w:pPr>
      <w:r>
        <w:rPr>
          <w:rFonts w:hint="eastAsia" w:ascii="黑体" w:hAnsi="黑体" w:cs="黑体"/>
        </w:rPr>
        <w:t>深水水下防渗处理</w:t>
      </w:r>
      <w:r>
        <w:rPr>
          <w:rFonts w:hint="eastAsia" w:ascii="黑体" w:hAnsi="黑体" w:cs="黑体"/>
          <w:lang w:val="en-US" w:eastAsia="zh-CN"/>
        </w:rPr>
        <w:t xml:space="preserve"> </w:t>
      </w:r>
      <w:r>
        <w:rPr>
          <w:rFonts w:hint="eastAsia" w:ascii="Segoe UI" w:hAnsi="Segoe UI" w:eastAsia="宋体" w:cs="Segoe UI"/>
          <w:i w:val="0"/>
          <w:iCs w:val="0"/>
          <w:caps w:val="0"/>
          <w:spacing w:val="0"/>
          <w:sz w:val="24"/>
          <w:szCs w:val="24"/>
          <w:shd w:val="clear" w:fill="F9FAFB"/>
          <w:lang w:val="en-US" w:eastAsia="zh-CN"/>
        </w:rPr>
        <w:t>d</w:t>
      </w:r>
      <w:r>
        <w:rPr>
          <w:rFonts w:ascii="Segoe UI" w:hAnsi="Segoe UI" w:eastAsia="Segoe UI" w:cs="Segoe UI"/>
          <w:i w:val="0"/>
          <w:iCs w:val="0"/>
          <w:caps w:val="0"/>
          <w:spacing w:val="0"/>
          <w:sz w:val="24"/>
          <w:szCs w:val="24"/>
          <w:shd w:val="clear" w:fill="F9FAFB"/>
        </w:rPr>
        <w:t xml:space="preserve">eep - water </w:t>
      </w:r>
      <w:r>
        <w:rPr>
          <w:rFonts w:hint="eastAsia" w:ascii="Segoe UI" w:hAnsi="Segoe UI" w:eastAsia="宋体" w:cs="Segoe UI"/>
          <w:i w:val="0"/>
          <w:iCs w:val="0"/>
          <w:caps w:val="0"/>
          <w:spacing w:val="0"/>
          <w:sz w:val="24"/>
          <w:szCs w:val="24"/>
          <w:shd w:val="clear" w:fill="F9FAFB"/>
          <w:lang w:val="en-US" w:eastAsia="zh-CN"/>
        </w:rPr>
        <w:t>u</w:t>
      </w:r>
      <w:r>
        <w:rPr>
          <w:rFonts w:ascii="Segoe UI" w:hAnsi="Segoe UI" w:eastAsia="Segoe UI" w:cs="Segoe UI"/>
          <w:i w:val="0"/>
          <w:iCs w:val="0"/>
          <w:caps w:val="0"/>
          <w:spacing w:val="0"/>
          <w:sz w:val="24"/>
          <w:szCs w:val="24"/>
          <w:shd w:val="clear" w:fill="F9FAFB"/>
        </w:rPr>
        <w:t xml:space="preserve">nderwater </w:t>
      </w:r>
      <w:r>
        <w:rPr>
          <w:rFonts w:hint="eastAsia" w:ascii="Segoe UI" w:hAnsi="Segoe UI" w:eastAsia="宋体" w:cs="Segoe UI"/>
          <w:i w:val="0"/>
          <w:iCs w:val="0"/>
          <w:caps w:val="0"/>
          <w:spacing w:val="0"/>
          <w:sz w:val="24"/>
          <w:szCs w:val="24"/>
          <w:shd w:val="clear" w:fill="F9FAFB"/>
          <w:lang w:val="en-US" w:eastAsia="zh-CN"/>
        </w:rPr>
        <w:t>a</w:t>
      </w:r>
      <w:r>
        <w:rPr>
          <w:rFonts w:ascii="Segoe UI" w:hAnsi="Segoe UI" w:eastAsia="Segoe UI" w:cs="Segoe UI"/>
          <w:i w:val="0"/>
          <w:iCs w:val="0"/>
          <w:caps w:val="0"/>
          <w:spacing w:val="0"/>
          <w:sz w:val="24"/>
          <w:szCs w:val="24"/>
          <w:shd w:val="clear" w:fill="F9FAFB"/>
        </w:rPr>
        <w:t xml:space="preserve">nti - seepage </w:t>
      </w:r>
      <w:r>
        <w:rPr>
          <w:rFonts w:hint="eastAsia" w:ascii="Segoe UI" w:hAnsi="Segoe UI" w:eastAsia="宋体" w:cs="Segoe UI"/>
          <w:i w:val="0"/>
          <w:iCs w:val="0"/>
          <w:caps w:val="0"/>
          <w:spacing w:val="0"/>
          <w:sz w:val="24"/>
          <w:szCs w:val="24"/>
          <w:shd w:val="clear" w:fill="F9FAFB"/>
          <w:lang w:val="en-US" w:eastAsia="zh-CN"/>
        </w:rPr>
        <w:t>t</w:t>
      </w:r>
      <w:r>
        <w:rPr>
          <w:rFonts w:ascii="Segoe UI" w:hAnsi="Segoe UI" w:eastAsia="Segoe UI" w:cs="Segoe UI"/>
          <w:i w:val="0"/>
          <w:iCs w:val="0"/>
          <w:caps w:val="0"/>
          <w:spacing w:val="0"/>
          <w:sz w:val="24"/>
          <w:szCs w:val="24"/>
          <w:shd w:val="clear" w:fill="F9FAFB"/>
        </w:rPr>
        <w:t>reatment</w:t>
      </w:r>
    </w:p>
    <w:p w14:paraId="2ADFD46C">
      <w:pPr>
        <w:ind w:firstLine="420"/>
        <w:rPr>
          <w:rFonts w:hint="eastAsia" w:ascii="宋体" w:hAnsi="宋体" w:eastAsia="宋体" w:cs="宋体"/>
          <w:szCs w:val="21"/>
        </w:rPr>
      </w:pPr>
      <w:r>
        <w:rPr>
          <w:rFonts w:hint="eastAsia" w:ascii="宋体" w:hAnsi="宋体" w:eastAsia="宋体" w:cs="宋体"/>
          <w:szCs w:val="21"/>
        </w:rPr>
        <w:t>水深≥30m且无法排干库水的条件下，通过潜水员或水下机器人对坝体渗漏点实施封堵的技术。</w:t>
      </w:r>
    </w:p>
    <w:p w14:paraId="25B49F11">
      <w:pPr>
        <w:pStyle w:val="25"/>
        <w:spacing w:beforeLines="0" w:afterLines="0"/>
        <w:outlineLvl w:val="9"/>
        <w:rPr>
          <w:rFonts w:hint="eastAsia"/>
        </w:rPr>
      </w:pPr>
    </w:p>
    <w:p w14:paraId="62673164">
      <w:pPr>
        <w:pStyle w:val="26"/>
        <w:jc w:val="both"/>
        <w:rPr>
          <w:rFonts w:hint="eastAsia" w:ascii="黑体" w:hAnsi="黑体" w:cs="黑体"/>
          <w:lang w:val="en-US" w:eastAsia="zh-CN"/>
        </w:rPr>
      </w:pPr>
      <w:r>
        <w:rPr>
          <w:rFonts w:hint="eastAsia" w:ascii="黑体" w:hAnsi="黑体" w:cs="黑体"/>
        </w:rPr>
        <w:t>渗漏通道</w:t>
      </w:r>
      <w:r>
        <w:rPr>
          <w:rFonts w:hint="eastAsia" w:ascii="黑体" w:hAnsi="黑体" w:cs="黑体"/>
          <w:lang w:val="en-US" w:eastAsia="zh-CN"/>
        </w:rPr>
        <w:t xml:space="preserve"> s</w:t>
      </w:r>
      <w:r>
        <w:rPr>
          <w:rFonts w:hint="eastAsia" w:ascii="黑体" w:hAnsi="黑体" w:cs="黑体"/>
        </w:rPr>
        <w:t xml:space="preserve">eepage </w:t>
      </w:r>
      <w:r>
        <w:rPr>
          <w:rFonts w:hint="eastAsia" w:ascii="黑体" w:hAnsi="黑体" w:cs="黑体"/>
          <w:lang w:val="en-US" w:eastAsia="zh-CN"/>
        </w:rPr>
        <w:t>p</w:t>
      </w:r>
      <w:r>
        <w:rPr>
          <w:rFonts w:hint="eastAsia" w:ascii="黑体" w:hAnsi="黑体" w:cs="黑体"/>
        </w:rPr>
        <w:t>assage</w:t>
      </w:r>
    </w:p>
    <w:p w14:paraId="40DF00B1">
      <w:pPr>
        <w:ind w:firstLine="420"/>
        <w:rPr>
          <w:rFonts w:hint="eastAsia" w:ascii="宋体" w:hAnsi="宋体" w:eastAsia="宋体" w:cs="宋体"/>
          <w:szCs w:val="21"/>
        </w:rPr>
      </w:pPr>
      <w:r>
        <w:rPr>
          <w:rFonts w:hint="eastAsia" w:ascii="宋体" w:hAnsi="宋体" w:eastAsia="宋体" w:cs="宋体"/>
          <w:szCs w:val="21"/>
        </w:rPr>
        <w:t>渗水通过坝体裂缝、蜂窝或孔洞形成的集中或分散流动路径。</w:t>
      </w:r>
    </w:p>
    <w:p w14:paraId="48DC2EAC">
      <w:pPr>
        <w:pStyle w:val="25"/>
        <w:spacing w:beforeLines="0" w:afterLines="0"/>
        <w:outlineLvl w:val="9"/>
        <w:rPr>
          <w:rFonts w:hint="eastAsia" w:ascii="Times New Roman" w:hAnsi="Times New Roman" w:eastAsia="黑体" w:cs="Times New Roman"/>
          <w:b w:val="0"/>
          <w:kern w:val="2"/>
          <w:sz w:val="21"/>
          <w:szCs w:val="24"/>
          <w:lang w:val="en-US" w:eastAsia="zh-CN" w:bidi="ar-SA"/>
        </w:rPr>
      </w:pPr>
    </w:p>
    <w:p w14:paraId="36BF5821">
      <w:pPr>
        <w:pStyle w:val="26"/>
        <w:jc w:val="both"/>
        <w:rPr>
          <w:rFonts w:hint="eastAsia" w:ascii="黑体" w:hAnsi="黑体" w:cs="黑体"/>
          <w:lang w:val="en-US" w:eastAsia="zh-CN"/>
        </w:rPr>
      </w:pPr>
      <w:r>
        <w:rPr>
          <w:rFonts w:hint="eastAsia" w:ascii="黑体" w:hAnsi="黑体" w:cs="黑体"/>
        </w:rPr>
        <w:t>水下灌浆</w:t>
      </w:r>
      <w:r>
        <w:rPr>
          <w:rFonts w:hint="eastAsia" w:ascii="黑体" w:hAnsi="黑体" w:cs="黑体"/>
          <w:lang w:val="en-US" w:eastAsia="zh-CN"/>
        </w:rPr>
        <w:t xml:space="preserve"> u</w:t>
      </w:r>
      <w:r>
        <w:rPr>
          <w:rFonts w:hint="eastAsia" w:ascii="黑体" w:hAnsi="黑体" w:cs="黑体"/>
        </w:rPr>
        <w:t xml:space="preserve">nderwater </w:t>
      </w:r>
      <w:r>
        <w:rPr>
          <w:rFonts w:hint="eastAsia" w:ascii="黑体" w:hAnsi="黑体" w:cs="黑体"/>
          <w:lang w:val="en-US" w:eastAsia="zh-CN"/>
        </w:rPr>
        <w:t>g</w:t>
      </w:r>
      <w:r>
        <w:rPr>
          <w:rFonts w:hint="eastAsia" w:ascii="黑体" w:hAnsi="黑体" w:cs="黑体"/>
        </w:rPr>
        <w:t>routing</w:t>
      </w:r>
    </w:p>
    <w:p w14:paraId="10EE0FED">
      <w:pPr>
        <w:ind w:firstLine="420"/>
        <w:rPr>
          <w:rFonts w:hint="eastAsia" w:ascii="宋体" w:hAnsi="宋体" w:eastAsia="宋体" w:cs="宋体"/>
          <w:szCs w:val="21"/>
          <w:lang w:val="en-US" w:eastAsia="zh-CN"/>
        </w:rPr>
      </w:pPr>
      <w:r>
        <w:rPr>
          <w:rFonts w:hint="eastAsia" w:ascii="宋体" w:hAnsi="宋体" w:eastAsia="宋体" w:cs="宋体"/>
          <w:szCs w:val="21"/>
        </w:rPr>
        <w:t>通过预埋管或钻孔向渗漏部位注入水泥浆或化学浆材的封堵工艺。</w:t>
      </w:r>
    </w:p>
    <w:p w14:paraId="3511E77C">
      <w:pPr>
        <w:pStyle w:val="23"/>
        <w:spacing w:before="312" w:after="312"/>
        <w:rPr>
          <w:rFonts w:hint="default" w:ascii="Times New Roman" w:hAnsi="Times New Roman" w:cs="Times New Roman"/>
          <w:szCs w:val="22"/>
          <w:lang w:val="en-US" w:eastAsia="zh-CN"/>
        </w:rPr>
      </w:pPr>
      <w:bookmarkStart w:id="36" w:name="_Toc604"/>
      <w:r>
        <w:rPr>
          <w:rFonts w:hint="eastAsia" w:ascii="Times New Roman" w:hAnsi="Times New Roman" w:cs="Times New Roman"/>
          <w:szCs w:val="22"/>
          <w:lang w:val="en-US" w:eastAsia="zh-CN"/>
        </w:rPr>
        <w:t>深水检测与评估</w:t>
      </w:r>
      <w:bookmarkEnd w:id="36"/>
    </w:p>
    <w:p w14:paraId="6765996C">
      <w:pPr>
        <w:pStyle w:val="25"/>
        <w:spacing w:before="156" w:after="156"/>
        <w:rPr>
          <w:rFonts w:hint="default" w:hAnsi="黑体" w:cs="黑体"/>
          <w:lang w:val="en-US" w:eastAsia="zh-CN"/>
        </w:rPr>
      </w:pPr>
      <w:bookmarkStart w:id="37" w:name="_Toc303"/>
      <w:r>
        <w:rPr>
          <w:rFonts w:hint="eastAsia" w:hAnsi="黑体" w:cs="黑体"/>
          <w:lang w:val="en-US" w:eastAsia="zh-CN"/>
        </w:rPr>
        <w:t>深水检测技术</w:t>
      </w:r>
      <w:bookmarkEnd w:id="37"/>
    </w:p>
    <w:p w14:paraId="345D1C7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lang w:val="en-US" w:eastAsia="zh-CN"/>
        </w:rPr>
        <w:t>a</w:t>
      </w:r>
      <w:r>
        <w:rPr>
          <w:rFonts w:hint="default" w:ascii="Times New Roman" w:hAnsi="Times New Roman" w:cs="Times New Roman"/>
          <w:lang w:eastAsia="zh-CN"/>
        </w:rPr>
        <w:t>）</w:t>
      </w:r>
      <w:r>
        <w:rPr>
          <w:rFonts w:hint="default" w:ascii="Times New Roman" w:hAnsi="Times New Roman" w:cs="Times New Roman"/>
        </w:rPr>
        <w:t>水下机器人（ROV）检测（符合JTS 153-2015）：</w:t>
      </w:r>
    </w:p>
    <w:p w14:paraId="260F464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设备要求：工作深度应≥100m，抗水流能力≥2.0m/s，搭载多波束声呐（分辨率≤10cm）与激光扫描仪（精度±1cm）。</w:t>
      </w:r>
    </w:p>
    <w:p w14:paraId="18E0C05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 xml:space="preserve">检测流程：沿坝体表面0.5~1.0m高度巡航，生成渗漏点三维坐标图（参见附录B案例）。  </w:t>
      </w:r>
    </w:p>
    <w:p w14:paraId="6CAE946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lang w:val="en-US" w:eastAsia="zh-CN"/>
        </w:rPr>
        <w:t>b</w:t>
      </w:r>
      <w:r>
        <w:rPr>
          <w:rFonts w:hint="default" w:ascii="Times New Roman" w:hAnsi="Times New Roman" w:cs="Times New Roman"/>
          <w:lang w:eastAsia="zh-CN"/>
        </w:rPr>
        <w:t>）</w:t>
      </w:r>
      <w:r>
        <w:rPr>
          <w:rFonts w:hint="default" w:ascii="Times New Roman" w:hAnsi="Times New Roman" w:cs="Times New Roman"/>
        </w:rPr>
        <w:t>示踪剂法：</w:t>
      </w:r>
    </w:p>
    <w:p w14:paraId="3CC1012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lang w:val="en-US" w:eastAsia="zh-CN"/>
        </w:rPr>
        <w:t>1）</w:t>
      </w:r>
      <w:r>
        <w:rPr>
          <w:rFonts w:hint="default" w:ascii="Times New Roman" w:hAnsi="Times New Roman" w:cs="Times New Roman"/>
        </w:rPr>
        <w:t>示踪剂选择：荧光素钠（</w:t>
      </w:r>
      <w:r>
        <w:rPr>
          <w:rFonts w:hint="default" w:ascii="Times New Roman" w:hAnsi="Times New Roman" w:eastAsia="Arial" w:cs="Times New Roman"/>
          <w:i w:val="0"/>
          <w:iCs w:val="0"/>
          <w:caps w:val="0"/>
          <w:color w:val="333333"/>
          <w:spacing w:val="0"/>
          <w:sz w:val="19"/>
          <w:szCs w:val="19"/>
          <w:shd w:val="clear" w:fill="FFFFFF"/>
        </w:rPr>
        <w:t>C</w:t>
      </w:r>
      <w:r>
        <w:rPr>
          <w:rFonts w:hint="default" w:ascii="Times New Roman" w:hAnsi="Times New Roman" w:eastAsia="宋体" w:cs="Times New Roman"/>
          <w:i w:val="0"/>
          <w:iCs w:val="0"/>
          <w:caps w:val="0"/>
          <w:color w:val="333333"/>
          <w:spacing w:val="0"/>
          <w:sz w:val="19"/>
          <w:szCs w:val="19"/>
          <w:shd w:val="clear" w:fill="FFFFFF"/>
          <w:vertAlign w:val="subscript"/>
          <w:lang w:val="en-US" w:eastAsia="zh-CN"/>
        </w:rPr>
        <w:t>20</w:t>
      </w:r>
      <w:r>
        <w:rPr>
          <w:rFonts w:hint="default" w:ascii="Times New Roman" w:hAnsi="Times New Roman" w:eastAsia="Arial" w:cs="Times New Roman"/>
          <w:i w:val="0"/>
          <w:iCs w:val="0"/>
          <w:caps w:val="0"/>
          <w:color w:val="333333"/>
          <w:spacing w:val="0"/>
          <w:sz w:val="19"/>
          <w:szCs w:val="19"/>
          <w:shd w:val="clear" w:fill="FFFFFF"/>
        </w:rPr>
        <w:t>H</w:t>
      </w:r>
      <w:r>
        <w:rPr>
          <w:rFonts w:hint="default" w:ascii="Times New Roman" w:hAnsi="Times New Roman" w:eastAsia="宋体" w:cs="Times New Roman"/>
          <w:i w:val="0"/>
          <w:iCs w:val="0"/>
          <w:caps w:val="0"/>
          <w:color w:val="333333"/>
          <w:spacing w:val="0"/>
          <w:sz w:val="19"/>
          <w:szCs w:val="19"/>
          <w:shd w:val="clear" w:fill="FFFFFF"/>
          <w:vertAlign w:val="subscript"/>
          <w:lang w:val="en-US" w:eastAsia="zh-CN"/>
        </w:rPr>
        <w:t>10</w:t>
      </w:r>
      <w:r>
        <w:rPr>
          <w:rFonts w:hint="default" w:ascii="Times New Roman" w:hAnsi="Times New Roman" w:eastAsia="Arial" w:cs="Times New Roman"/>
          <w:i w:val="0"/>
          <w:iCs w:val="0"/>
          <w:caps w:val="0"/>
          <w:color w:val="333333"/>
          <w:spacing w:val="0"/>
          <w:sz w:val="19"/>
          <w:szCs w:val="19"/>
          <w:shd w:val="clear" w:fill="FFFFFF"/>
        </w:rPr>
        <w:t>Na</w:t>
      </w:r>
      <w:r>
        <w:rPr>
          <w:rFonts w:hint="default" w:ascii="Times New Roman" w:hAnsi="Times New Roman" w:eastAsia="宋体" w:cs="Times New Roman"/>
          <w:i w:val="0"/>
          <w:iCs w:val="0"/>
          <w:caps w:val="0"/>
          <w:color w:val="333333"/>
          <w:spacing w:val="0"/>
          <w:sz w:val="19"/>
          <w:szCs w:val="19"/>
          <w:shd w:val="clear" w:fill="FFFFFF"/>
          <w:vertAlign w:val="subscript"/>
          <w:lang w:val="en-US" w:eastAsia="zh-CN"/>
        </w:rPr>
        <w:t>2</w:t>
      </w:r>
      <w:r>
        <w:rPr>
          <w:rFonts w:hint="default" w:ascii="Times New Roman" w:hAnsi="Times New Roman" w:eastAsia="Arial" w:cs="Times New Roman"/>
          <w:i w:val="0"/>
          <w:iCs w:val="0"/>
          <w:caps w:val="0"/>
          <w:color w:val="333333"/>
          <w:spacing w:val="0"/>
          <w:sz w:val="19"/>
          <w:szCs w:val="19"/>
          <w:shd w:val="clear" w:fill="FFFFFF"/>
        </w:rPr>
        <w:t>O</w:t>
      </w:r>
      <w:r>
        <w:rPr>
          <w:rFonts w:hint="default" w:ascii="Times New Roman" w:hAnsi="Times New Roman" w:eastAsia="宋体" w:cs="Times New Roman"/>
          <w:i w:val="0"/>
          <w:iCs w:val="0"/>
          <w:caps w:val="0"/>
          <w:color w:val="333333"/>
          <w:spacing w:val="0"/>
          <w:sz w:val="19"/>
          <w:szCs w:val="19"/>
          <w:shd w:val="clear" w:fill="FFFFFF"/>
          <w:vertAlign w:val="subscript"/>
          <w:lang w:val="en-US" w:eastAsia="zh-CN"/>
        </w:rPr>
        <w:t>5</w:t>
      </w:r>
      <w:r>
        <w:rPr>
          <w:rFonts w:hint="default" w:ascii="Times New Roman" w:hAnsi="Times New Roman" w:cs="Times New Roman"/>
        </w:rPr>
        <w:t>），投放浓度为1.0~2.0g/m³，投放点位于渗漏点上游5~10m处。</w:t>
      </w:r>
    </w:p>
    <w:p w14:paraId="7A6C06F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lang w:val="en-US" w:eastAsia="zh-CN"/>
        </w:rPr>
        <w:t>2）</w:t>
      </w:r>
      <w:r>
        <w:rPr>
          <w:rFonts w:hint="default" w:ascii="Times New Roman" w:hAnsi="Times New Roman" w:cs="Times New Roman"/>
        </w:rPr>
        <w:t>检测分析：下游布置荧光检测仪（灵敏度0.01~0.05ppb），通过峰值浓度计算渗流量，公式为：</w:t>
      </w:r>
    </w:p>
    <w:p w14:paraId="133B88E3">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right"/>
        <w:textAlignment w:val="auto"/>
        <w:rPr>
          <w:rFonts w:hint="default" w:ascii="Times New Roman" w:hAnsi="Times New Roman" w:cs="Times New Roman"/>
          <w:i/>
          <w:iCs/>
          <w:lang w:val="en-US" w:eastAsia="zh-CN"/>
        </w:rPr>
      </w:pPr>
      <m:oMath>
        <m:r>
          <m:rPr/>
          <w:rPr>
            <w:rFonts w:hint="default" w:ascii="Cambria Math" w:hAnsi="Cambria Math" w:cs="Times New Roman"/>
            <w:kern w:val="2"/>
            <w:sz w:val="28"/>
            <w:szCs w:val="36"/>
            <w:lang w:val="en-US" w:eastAsia="zh-CN" w:bidi="ar-SA"/>
          </w:rPr>
          <m:t>Q=</m:t>
        </m:r>
        <m:f>
          <m:fPr>
            <m:ctrlPr>
              <w:rPr>
                <w:rFonts w:hint="default" w:ascii="Cambria Math" w:hAnsi="Cambria Math" w:cs="Times New Roman"/>
                <w:i/>
                <w:iCs/>
                <w:kern w:val="2"/>
                <w:sz w:val="28"/>
                <w:szCs w:val="36"/>
                <w:lang w:val="en-US" w:eastAsia="zh-CN" w:bidi="ar-SA"/>
              </w:rPr>
            </m:ctrlPr>
          </m:fPr>
          <m:num>
            <m:sSub>
              <m:sSubPr>
                <m:ctrlPr>
                  <w:rPr>
                    <w:rFonts w:hint="default" w:ascii="Cambria Math" w:hAnsi="Cambria Math" w:cs="Times New Roman"/>
                    <w:i/>
                    <w:iCs/>
                    <w:kern w:val="2"/>
                    <w:sz w:val="28"/>
                    <w:szCs w:val="36"/>
                    <w:lang w:val="en-US" w:eastAsia="zh-CN" w:bidi="ar-SA"/>
                  </w:rPr>
                </m:ctrlPr>
              </m:sSubPr>
              <m:e>
                <m:r>
                  <m:rPr/>
                  <w:rPr>
                    <w:rFonts w:hint="default" w:ascii="Cambria Math" w:hAnsi="Cambria Math" w:cs="Times New Roman"/>
                    <w:kern w:val="2"/>
                    <w:sz w:val="28"/>
                    <w:szCs w:val="36"/>
                    <w:lang w:val="en-US" w:eastAsia="zh-CN" w:bidi="ar-SA"/>
                  </w:rPr>
                  <m:t>C</m:t>
                </m:r>
                <m:ctrlPr>
                  <w:rPr>
                    <w:rFonts w:hint="default" w:ascii="Cambria Math" w:hAnsi="Cambria Math" w:cs="Times New Roman"/>
                    <w:i/>
                    <w:iCs/>
                    <w:kern w:val="2"/>
                    <w:sz w:val="28"/>
                    <w:szCs w:val="36"/>
                    <w:lang w:val="en-US" w:eastAsia="zh-CN" w:bidi="ar-SA"/>
                  </w:rPr>
                </m:ctrlPr>
              </m:e>
              <m:sub>
                <m:r>
                  <m:rPr/>
                  <w:rPr>
                    <w:rFonts w:hint="default" w:ascii="Cambria Math" w:hAnsi="Cambria Math" w:cs="Times New Roman"/>
                    <w:kern w:val="2"/>
                    <w:sz w:val="28"/>
                    <w:szCs w:val="36"/>
                    <w:lang w:val="en-US" w:eastAsia="zh-CN" w:bidi="ar-SA"/>
                  </w:rPr>
                  <m:t>peak</m:t>
                </m:r>
                <m:ctrlPr>
                  <w:rPr>
                    <w:rFonts w:hint="default" w:ascii="Cambria Math" w:hAnsi="Cambria Math" w:cs="Times New Roman"/>
                    <w:i/>
                    <w:iCs/>
                    <w:kern w:val="2"/>
                    <w:sz w:val="28"/>
                    <w:szCs w:val="36"/>
                    <w:lang w:val="en-US" w:eastAsia="zh-CN" w:bidi="ar-SA"/>
                  </w:rPr>
                </m:ctrlPr>
              </m:sub>
            </m:sSub>
            <m:r>
              <m:rPr/>
              <w:rPr>
                <w:rFonts w:hint="default" w:ascii="Cambria Math" w:hAnsi="Cambria Math" w:cs="Times New Roman"/>
                <w:kern w:val="2"/>
                <w:sz w:val="28"/>
                <w:szCs w:val="36"/>
                <w:lang w:val="en-US" w:bidi="ar-SA"/>
              </w:rPr>
              <m:t>∙</m:t>
            </m:r>
            <m:r>
              <m:rPr/>
              <w:rPr>
                <w:rFonts w:hint="default" w:ascii="Cambria Math" w:hAnsi="Cambria Math" w:cs="Times New Roman"/>
                <w:kern w:val="2"/>
                <w:sz w:val="28"/>
                <w:szCs w:val="36"/>
                <w:lang w:val="en-US" w:eastAsia="zh-CN" w:bidi="ar-SA"/>
              </w:rPr>
              <m:t>V</m:t>
            </m:r>
            <m:ctrlPr>
              <w:rPr>
                <w:rFonts w:hint="default" w:ascii="Cambria Math" w:hAnsi="Cambria Math" w:cs="Times New Roman"/>
                <w:i/>
                <w:iCs/>
                <w:kern w:val="2"/>
                <w:sz w:val="28"/>
                <w:szCs w:val="36"/>
                <w:lang w:val="en-US" w:eastAsia="zh-CN" w:bidi="ar-SA"/>
              </w:rPr>
            </m:ctrlPr>
          </m:num>
          <m:den>
            <m:r>
              <m:rPr/>
              <w:rPr>
                <w:rFonts w:hint="default" w:ascii="Cambria Math" w:hAnsi="Cambria Math" w:cs="Times New Roman"/>
                <w:kern w:val="2"/>
                <w:sz w:val="28"/>
                <w:szCs w:val="36"/>
                <w:lang w:val="en-US" w:eastAsia="zh-CN" w:bidi="ar-SA"/>
              </w:rPr>
              <m:t>A</m:t>
            </m:r>
            <m:r>
              <m:rPr/>
              <w:rPr>
                <w:rFonts w:hint="default" w:ascii="Cambria Math" w:hAnsi="Cambria Math" w:cs="Times New Roman"/>
                <w:kern w:val="2"/>
                <w:sz w:val="28"/>
                <w:szCs w:val="36"/>
                <w:lang w:val="en-US" w:bidi="ar-SA"/>
              </w:rPr>
              <m:t>∙</m:t>
            </m:r>
            <m:r>
              <m:rPr/>
              <w:rPr>
                <w:rFonts w:hint="default" w:ascii="Cambria Math" w:hAnsi="Cambria Math" w:cs="Times New Roman"/>
                <w:kern w:val="2"/>
                <w:sz w:val="28"/>
                <w:szCs w:val="36"/>
                <w:lang w:val="en-US" w:eastAsia="zh-CN" w:bidi="ar-SA"/>
              </w:rPr>
              <m:t>t</m:t>
            </m:r>
            <m:ctrlPr>
              <w:rPr>
                <w:rFonts w:hint="default" w:ascii="Cambria Math" w:hAnsi="Cambria Math" w:cs="Times New Roman"/>
                <w:i/>
                <w:iCs/>
                <w:kern w:val="2"/>
                <w:sz w:val="28"/>
                <w:szCs w:val="36"/>
                <w:lang w:val="en-US" w:eastAsia="zh-CN" w:bidi="ar-SA"/>
              </w:rPr>
            </m:ctrlPr>
          </m:den>
        </m:f>
      </m:oMath>
      <w:r>
        <w:rPr>
          <w:rFonts w:hint="eastAsia" w:hAnsi="Cambria Math" w:cs="Times New Roman"/>
          <w:i w:val="0"/>
          <w:iCs/>
          <w:kern w:val="2"/>
          <w:sz w:val="21"/>
          <w:szCs w:val="24"/>
          <w:lang w:val="en-US" w:eastAsia="zh-CN" w:bidi="ar-SA"/>
        </w:rPr>
        <w:t>…………………………………………</w:t>
      </w:r>
      <w:r>
        <w:rPr>
          <w:rFonts w:hint="default" w:ascii="Times New Roman" w:hAnsi="Times New Roman" w:cs="Times New Roman"/>
          <w:i w:val="0"/>
          <w:iCs w:val="0"/>
          <w:kern w:val="2"/>
          <w:sz w:val="21"/>
          <w:szCs w:val="24"/>
          <w:lang w:val="en-US" w:eastAsia="zh-CN" w:bidi="ar-SA"/>
        </w:rPr>
        <w:t>（1）</w:t>
      </w:r>
    </w:p>
    <w:p w14:paraId="3EB494B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i w:val="0"/>
          <w:iCs/>
          <w:kern w:val="2"/>
          <w:sz w:val="21"/>
          <w:szCs w:val="24"/>
          <w:lang w:val="en-US" w:eastAsia="zh-CN" w:bidi="ar-SA"/>
        </w:rPr>
      </w:pPr>
      <w:r>
        <w:rPr>
          <w:rFonts w:hint="default" w:ascii="Times New Roman" w:hAnsi="Times New Roman" w:cs="Times New Roman"/>
        </w:rPr>
        <w:t>式中</w:t>
      </w:r>
      <w:r>
        <w:rPr>
          <w:rFonts w:hint="default" w:ascii="Times New Roman" w:hAnsi="Times New Roman" w:cs="Times New Roman"/>
          <w:lang w:eastAsia="zh-CN"/>
        </w:rPr>
        <w:t>，</w:t>
      </w:r>
      <w:r>
        <w:rPr>
          <w:rFonts w:hint="default" w:ascii="Times New Roman" w:hAnsi="Times New Roman" w:cs="Times New Roman"/>
          <w:i w:val="0"/>
          <w:iCs/>
          <w:kern w:val="2"/>
          <w:sz w:val="21"/>
          <w:szCs w:val="24"/>
          <w:lang w:val="en-US" w:eastAsia="zh-CN" w:bidi="ar-SA"/>
        </w:rPr>
        <w:t>Q为渗流量（L/s），</w:t>
      </w:r>
      <m:oMath>
        <m:sSub>
          <m:sSubPr>
            <m:ctrlPr>
              <w:rPr>
                <w:rFonts w:hint="default" w:ascii="Cambria Math" w:hAnsi="Cambria Math" w:cs="Times New Roman"/>
                <w:i/>
                <w:iCs/>
                <w:kern w:val="2"/>
                <w:sz w:val="21"/>
                <w:szCs w:val="24"/>
                <w:lang w:val="en-US" w:eastAsia="zh-CN" w:bidi="ar-SA"/>
              </w:rPr>
            </m:ctrlPr>
          </m:sSubPr>
          <m:e>
            <m:r>
              <m:rPr/>
              <w:rPr>
                <w:rFonts w:hint="default" w:ascii="Cambria Math" w:hAnsi="Cambria Math" w:cs="Times New Roman"/>
                <w:kern w:val="2"/>
                <w:sz w:val="21"/>
                <w:szCs w:val="24"/>
                <w:lang w:val="en-US" w:eastAsia="zh-CN" w:bidi="ar-SA"/>
              </w:rPr>
              <m:t>C</m:t>
            </m:r>
            <m:ctrlPr>
              <w:rPr>
                <w:rFonts w:hint="default" w:ascii="Cambria Math" w:hAnsi="Cambria Math" w:cs="Times New Roman"/>
                <w:i/>
                <w:iCs/>
                <w:kern w:val="2"/>
                <w:sz w:val="21"/>
                <w:szCs w:val="24"/>
                <w:lang w:val="en-US" w:eastAsia="zh-CN" w:bidi="ar-SA"/>
              </w:rPr>
            </m:ctrlPr>
          </m:e>
          <m:sub>
            <m:r>
              <m:rPr/>
              <w:rPr>
                <w:rFonts w:hint="default" w:ascii="Cambria Math" w:hAnsi="Cambria Math" w:cs="Times New Roman"/>
                <w:kern w:val="2"/>
                <w:sz w:val="21"/>
                <w:szCs w:val="24"/>
                <w:lang w:val="en-US" w:eastAsia="zh-CN" w:bidi="ar-SA"/>
              </w:rPr>
              <m:t>peak</m:t>
            </m:r>
            <m:ctrlPr>
              <w:rPr>
                <w:rFonts w:hint="default" w:ascii="Cambria Math" w:hAnsi="Cambria Math" w:cs="Times New Roman"/>
                <w:i/>
                <w:iCs/>
                <w:kern w:val="2"/>
                <w:sz w:val="21"/>
                <w:szCs w:val="24"/>
                <w:lang w:val="en-US" w:eastAsia="zh-CN" w:bidi="ar-SA"/>
              </w:rPr>
            </m:ctrlPr>
          </m:sub>
        </m:sSub>
      </m:oMath>
      <w:r>
        <w:rPr>
          <w:rFonts w:hint="default" w:ascii="Times New Roman" w:hAnsi="Times New Roman" w:cs="Times New Roman"/>
          <w:i w:val="0"/>
          <w:iCs/>
          <w:kern w:val="2"/>
          <w:sz w:val="21"/>
          <w:szCs w:val="24"/>
          <w:lang w:val="en-US" w:eastAsia="zh-CN" w:bidi="ar-SA"/>
        </w:rPr>
        <w:t>为峰值浓度</w:t>
      </w:r>
      <w:r>
        <w:rPr>
          <w:rFonts w:hint="default" w:ascii="Times New Roman" w:hAnsi="Times New Roman" w:cs="Times New Roman"/>
        </w:rPr>
        <w:t>（ppb）</w:t>
      </w:r>
      <w:r>
        <w:rPr>
          <w:rFonts w:hint="default" w:ascii="Times New Roman" w:hAnsi="Times New Roman" w:cs="Times New Roman"/>
          <w:lang w:eastAsia="zh-CN"/>
        </w:rPr>
        <w:t>，</w:t>
      </w:r>
      <w:r>
        <w:rPr>
          <w:rFonts w:hint="default" w:ascii="Times New Roman" w:hAnsi="Times New Roman" w:cs="Times New Roman"/>
          <w:i w:val="0"/>
          <w:iCs/>
          <w:kern w:val="2"/>
          <w:sz w:val="21"/>
          <w:szCs w:val="24"/>
          <w:lang w:val="en-US" w:eastAsia="zh-CN" w:bidi="ar-SA"/>
        </w:rPr>
        <w:t>A为渗流截面积（m</w:t>
      </w:r>
      <w:r>
        <w:rPr>
          <w:rFonts w:hint="default" w:ascii="Times New Roman" w:hAnsi="Times New Roman" w:cs="Times New Roman"/>
          <w:i w:val="0"/>
          <w:iCs/>
          <w:kern w:val="2"/>
          <w:sz w:val="21"/>
          <w:szCs w:val="24"/>
          <w:vertAlign w:val="superscript"/>
          <w:lang w:val="en-US" w:eastAsia="zh-CN" w:bidi="ar-SA"/>
        </w:rPr>
        <w:t>2</w:t>
      </w:r>
      <w:r>
        <w:rPr>
          <w:rFonts w:hint="default" w:ascii="Times New Roman" w:hAnsi="Times New Roman" w:cs="Times New Roman"/>
          <w:i w:val="0"/>
          <w:iCs/>
          <w:kern w:val="2"/>
          <w:sz w:val="21"/>
          <w:szCs w:val="24"/>
          <w:lang w:val="en-US" w:eastAsia="zh-CN" w:bidi="ar-SA"/>
        </w:rPr>
        <w:t>），V为水体体积（m</w:t>
      </w:r>
      <w:r>
        <w:rPr>
          <w:rFonts w:hint="default" w:ascii="Times New Roman" w:hAnsi="Times New Roman" w:cs="Times New Roman"/>
          <w:i w:val="0"/>
          <w:iCs/>
          <w:kern w:val="2"/>
          <w:sz w:val="21"/>
          <w:szCs w:val="24"/>
          <w:vertAlign w:val="superscript"/>
          <w:lang w:val="en-US" w:eastAsia="zh-CN" w:bidi="ar-SA"/>
        </w:rPr>
        <w:t>3</w:t>
      </w:r>
      <w:r>
        <w:rPr>
          <w:rFonts w:hint="default" w:ascii="Times New Roman" w:hAnsi="Times New Roman" w:cs="Times New Roman"/>
          <w:i w:val="0"/>
          <w:iCs/>
          <w:kern w:val="2"/>
          <w:sz w:val="21"/>
          <w:szCs w:val="24"/>
          <w:lang w:val="en-US" w:eastAsia="zh-CN" w:bidi="ar-SA"/>
        </w:rPr>
        <w:t>），t为峰值时间差（s）。</w:t>
      </w:r>
    </w:p>
    <w:p w14:paraId="5A7730A7">
      <w:pPr>
        <w:pStyle w:val="25"/>
        <w:spacing w:before="156" w:after="156"/>
        <w:rPr>
          <w:rFonts w:hint="default" w:hAnsi="黑体" w:cs="黑体"/>
          <w:lang w:val="en-US" w:eastAsia="zh-CN"/>
        </w:rPr>
      </w:pPr>
      <w:bookmarkStart w:id="38" w:name="_Toc8640"/>
      <w:r>
        <w:rPr>
          <w:rFonts w:hint="eastAsia" w:hAnsi="黑体" w:cs="黑体"/>
          <w:lang w:val="en-US" w:eastAsia="zh-CN"/>
        </w:rPr>
        <w:t>深水风险评估</w:t>
      </w:r>
      <w:bookmarkEnd w:id="38"/>
    </w:p>
    <w:p w14:paraId="4B33AD4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lang w:val="en-US" w:eastAsia="zh-CN"/>
        </w:rPr>
        <w:t>a）</w:t>
      </w:r>
      <w:r>
        <w:rPr>
          <w:rFonts w:hint="eastAsia"/>
        </w:rPr>
        <w:t>风险等级划分：</w:t>
      </w:r>
    </w:p>
    <w:p w14:paraId="3FC3A98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一级风险：渗流量＞10 L/s或渗漏点深度＞50m，需24小时内响应；</w:t>
      </w:r>
    </w:p>
    <w:p w14:paraId="5423D4F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二级风险：渗流量1~10 L/s或渗漏点深度30~50m，需7天内处理；</w:t>
      </w:r>
    </w:p>
    <w:p w14:paraId="3791DA1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三级风险：渗流量＜1 L/s或渗漏点深度＜30m，纳入年度计划处理。</w:t>
      </w:r>
    </w:p>
    <w:p w14:paraId="013FAB6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lang w:val="en-US" w:eastAsia="zh-CN"/>
        </w:rPr>
        <w:t>b）</w:t>
      </w:r>
      <w:r>
        <w:rPr>
          <w:rFonts w:hint="eastAsia"/>
        </w:rPr>
        <w:t>风险控制措施：</w:t>
      </w:r>
    </w:p>
    <w:p w14:paraId="5A4961F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一级风险：立即疏散人员，调用ROV与潜水员同步封堵主渗漏通道；</w:t>
      </w:r>
    </w:p>
    <w:p w14:paraId="2E6004C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二级风险：制定专项方案并每周监测，数据偏差＞20%时升级响应。</w:t>
      </w:r>
    </w:p>
    <w:p w14:paraId="4BDFF1FA">
      <w:pPr>
        <w:pStyle w:val="23"/>
        <w:spacing w:before="312" w:after="312"/>
        <w:rPr>
          <w:rFonts w:hint="default" w:ascii="Times New Roman" w:hAnsi="Times New Roman" w:cs="Times New Roman"/>
          <w:szCs w:val="22"/>
          <w:lang w:val="en-US" w:eastAsia="zh-CN"/>
        </w:rPr>
      </w:pPr>
      <w:bookmarkStart w:id="39" w:name="_Toc9407"/>
      <w:r>
        <w:rPr>
          <w:rFonts w:hint="eastAsia" w:ascii="Times New Roman" w:hAnsi="Times New Roman" w:cs="Times New Roman"/>
          <w:szCs w:val="22"/>
          <w:lang w:val="en-US" w:eastAsia="zh-CN"/>
        </w:rPr>
        <w:t>防渗设计</w:t>
      </w:r>
      <w:bookmarkEnd w:id="39"/>
    </w:p>
    <w:p w14:paraId="2BDE654D">
      <w:pPr>
        <w:pStyle w:val="25"/>
        <w:spacing w:before="156" w:after="156"/>
        <w:rPr>
          <w:rFonts w:hint="eastAsia" w:hAnsi="黑体" w:cs="黑体"/>
          <w:lang w:val="en-US" w:eastAsia="zh-CN"/>
        </w:rPr>
      </w:pPr>
      <w:bookmarkStart w:id="40" w:name="_Toc18588"/>
      <w:r>
        <w:rPr>
          <w:rFonts w:hint="eastAsia" w:hAnsi="黑体" w:cs="黑体"/>
          <w:lang w:val="en-US" w:eastAsia="zh-CN"/>
        </w:rPr>
        <w:t>深水防渗墙设计</w:t>
      </w:r>
      <w:bookmarkEnd w:id="40"/>
    </w:p>
    <w:p w14:paraId="26954E7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1</w:t>
      </w:r>
      <w:r>
        <w:rPr>
          <w:rFonts w:hint="eastAsia"/>
          <w:lang w:eastAsia="zh-CN"/>
        </w:rPr>
        <w:t>）</w:t>
      </w:r>
      <w:r>
        <w:rPr>
          <w:rFonts w:hint="eastAsia"/>
        </w:rPr>
        <w:t>墙体参数：</w:t>
      </w:r>
    </w:p>
    <w:p w14:paraId="4DB7768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lang w:eastAsia="zh-CN"/>
        </w:rPr>
      </w:pPr>
      <w:r>
        <w:rPr>
          <w:rFonts w:hint="eastAsia"/>
        </w:rPr>
        <w:t>厚度计算</w:t>
      </w:r>
      <w:r>
        <w:rPr>
          <w:rFonts w:hint="eastAsia"/>
          <w:lang w:eastAsia="zh-CN"/>
        </w:rPr>
        <w:t>，</w:t>
      </w:r>
      <w:r>
        <w:rPr>
          <w:rFonts w:hint="eastAsia"/>
        </w:rPr>
        <w:t>按</w:t>
      </w:r>
      <w:r>
        <w:rPr>
          <w:rFonts w:hint="eastAsia"/>
          <w:lang w:val="en-US" w:eastAsia="zh-CN"/>
        </w:rPr>
        <w:t>如下</w:t>
      </w:r>
      <w:r>
        <w:rPr>
          <w:rFonts w:hint="eastAsia"/>
        </w:rPr>
        <w:t>公式</w:t>
      </w:r>
      <w:r>
        <w:rPr>
          <w:rFonts w:hint="eastAsia"/>
          <w:lang w:eastAsia="zh-CN"/>
        </w:rPr>
        <w:t>（</w:t>
      </w:r>
      <w:r>
        <w:rPr>
          <w:rFonts w:hint="eastAsia"/>
          <w:lang w:val="en-US" w:eastAsia="zh-CN"/>
        </w:rPr>
        <w:t>2</w:t>
      </w:r>
      <w:r>
        <w:rPr>
          <w:rFonts w:hint="eastAsia"/>
          <w:lang w:eastAsia="zh-CN"/>
        </w:rPr>
        <w:t>）</w:t>
      </w:r>
      <w:r>
        <w:rPr>
          <w:rFonts w:hint="eastAsia"/>
          <w:lang w:val="en-US" w:eastAsia="zh-CN"/>
        </w:rPr>
        <w:t>确定</w:t>
      </w:r>
      <w:r>
        <w:rPr>
          <w:rFonts w:hint="eastAsia"/>
          <w:lang w:eastAsia="zh-CN"/>
        </w:rPr>
        <w:t>：</w:t>
      </w:r>
    </w:p>
    <w:p w14:paraId="06C91C44">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right"/>
        <w:textAlignment w:val="auto"/>
        <w:rPr>
          <w:rFonts w:hint="default"/>
          <w:lang w:val="en-US"/>
        </w:rPr>
      </w:pPr>
      <m:oMath>
        <m:r>
          <m:rPr/>
          <w:rPr>
            <w:rFonts w:hint="default" w:ascii="Cambria Math" w:hAnsi="Cambria Math" w:cstheme="minorBidi"/>
            <w:kern w:val="2"/>
            <w:sz w:val="28"/>
            <w:szCs w:val="36"/>
            <w:lang w:val="en-US" w:eastAsia="zh-CN" w:bidi="ar-SA"/>
          </w:rPr>
          <m:t>T=</m:t>
        </m:r>
        <m:f>
          <m:fPr>
            <m:ctrlPr>
              <w:rPr>
                <w:rFonts w:hint="default" w:ascii="Cambria Math" w:hAnsi="Cambria Math" w:cstheme="minorBidi"/>
                <w:i/>
                <w:iCs/>
                <w:kern w:val="2"/>
                <w:sz w:val="28"/>
                <w:szCs w:val="36"/>
                <w:lang w:val="en-US" w:eastAsia="zh-CN" w:bidi="ar-SA"/>
              </w:rPr>
            </m:ctrlPr>
          </m:fPr>
          <m:num>
            <m:r>
              <m:rPr/>
              <w:rPr>
                <w:rFonts w:hint="default" w:ascii="Cambria Math" w:hAnsi="Cambria Math" w:cstheme="minorBidi"/>
                <w:kern w:val="2"/>
                <w:sz w:val="28"/>
                <w:szCs w:val="36"/>
                <w:lang w:val="en-US" w:eastAsia="zh-CN" w:bidi="ar-SA"/>
              </w:rPr>
              <m:t>H</m:t>
            </m:r>
            <m:ctrlPr>
              <w:rPr>
                <w:rFonts w:hint="default" w:ascii="Cambria Math" w:hAnsi="Cambria Math" w:cstheme="minorBidi"/>
                <w:i/>
                <w:iCs/>
                <w:kern w:val="2"/>
                <w:sz w:val="28"/>
                <w:szCs w:val="36"/>
                <w:lang w:val="en-US" w:eastAsia="zh-CN" w:bidi="ar-SA"/>
              </w:rPr>
            </m:ctrlPr>
          </m:num>
          <m:den>
            <m:r>
              <m:rPr/>
              <w:rPr>
                <w:rFonts w:hint="default" w:ascii="Cambria Math" w:hAnsi="Cambria Math" w:cstheme="minorBidi"/>
                <w:kern w:val="2"/>
                <w:sz w:val="28"/>
                <w:szCs w:val="36"/>
                <w:lang w:val="en-US" w:bidi="ar-SA"/>
              </w:rPr>
              <m:t>α∙</m:t>
            </m:r>
            <m:r>
              <m:rPr/>
              <w:rPr>
                <w:rFonts w:hint="default" w:ascii="Cambria Math" w:hAnsi="Cambria Math" w:cstheme="minorBidi"/>
                <w:kern w:val="2"/>
                <w:sz w:val="28"/>
                <w:szCs w:val="36"/>
                <w:lang w:val="en-US" w:eastAsia="zh-CN" w:bidi="ar-SA"/>
              </w:rPr>
              <m:t>J</m:t>
            </m:r>
            <m:ctrlPr>
              <w:rPr>
                <w:rFonts w:hint="default" w:ascii="Cambria Math" w:hAnsi="Cambria Math" w:cstheme="minorBidi"/>
                <w:i/>
                <w:iCs/>
                <w:kern w:val="2"/>
                <w:sz w:val="28"/>
                <w:szCs w:val="36"/>
                <w:lang w:val="en-US" w:eastAsia="zh-CN" w:bidi="ar-SA"/>
              </w:rPr>
            </m:ctrlPr>
          </m:den>
        </m:f>
      </m:oMath>
      <w:r>
        <w:rPr>
          <w:rFonts w:hint="eastAsia" w:hAnsi="Cambria Math" w:cstheme="minorBidi"/>
          <w:i w:val="0"/>
          <w:iCs/>
          <w:kern w:val="2"/>
          <w:sz w:val="21"/>
          <w:szCs w:val="24"/>
          <w:lang w:val="en-US" w:eastAsia="zh-CN" w:bidi="ar-SA"/>
        </w:rPr>
        <w:t>………………………………………（2）</w:t>
      </w:r>
    </w:p>
    <w:p w14:paraId="33E4DC9C">
      <w:pPr>
        <w:keepNext w:val="0"/>
        <w:keepLines w:val="0"/>
        <w:pageBreakBefore w:val="0"/>
        <w:widowControl w:val="0"/>
        <w:kinsoku/>
        <w:wordWrap/>
        <w:overflowPunct/>
        <w:topLinePunct w:val="0"/>
        <w:autoSpaceDE/>
        <w:autoSpaceDN/>
        <w:bidi w:val="0"/>
        <w:adjustRightInd/>
        <w:snapToGrid/>
        <w:spacing w:line="240" w:lineRule="auto"/>
        <w:ind w:firstLine="420" w:firstLineChars="0"/>
        <w:textAlignment w:val="auto"/>
        <w:rPr>
          <w:rFonts w:hint="eastAsia"/>
        </w:rPr>
      </w:pPr>
      <w:r>
        <w:rPr>
          <w:rFonts w:hint="eastAsia"/>
        </w:rPr>
        <w:t>其中</w:t>
      </w:r>
      <w:r>
        <w:rPr>
          <w:rFonts w:hint="eastAsia"/>
          <w:i/>
          <w:iCs/>
          <w:lang w:val="en-US" w:eastAsia="zh-CN"/>
        </w:rPr>
        <w:t>H</w:t>
      </w:r>
      <w:r>
        <w:rPr>
          <w:rFonts w:hint="eastAsia"/>
        </w:rPr>
        <w:t>为最大水头（m），</w:t>
      </w:r>
      <m:oMath>
        <m:r>
          <m:rPr/>
          <w:rPr>
            <w:rFonts w:hint="default" w:ascii="Cambria Math" w:hAnsi="Cambria Math" w:cstheme="minorBidi"/>
            <w:kern w:val="2"/>
            <w:sz w:val="21"/>
            <w:szCs w:val="24"/>
            <w:lang w:val="en-US" w:bidi="ar-SA"/>
          </w:rPr>
          <m:t>α</m:t>
        </m:r>
      </m:oMath>
      <w:r>
        <w:rPr>
          <w:rFonts w:hint="eastAsia" w:hAnsi="Cambria Math" w:cstheme="minorBidi"/>
          <w:i w:val="0"/>
          <w:kern w:val="2"/>
          <w:sz w:val="21"/>
          <w:szCs w:val="24"/>
          <w:lang w:val="en-US" w:eastAsia="zh-CN" w:bidi="ar-SA"/>
        </w:rPr>
        <w:t>为安全系数（</w:t>
      </w:r>
      <w:r>
        <w:rPr>
          <w:rFonts w:hint="eastAsia"/>
        </w:rPr>
        <w:t>1.5~2.0</w:t>
      </w:r>
      <w:r>
        <w:rPr>
          <w:rFonts w:hint="eastAsia"/>
          <w:lang w:eastAsia="zh-CN"/>
        </w:rPr>
        <w:t>）</w:t>
      </w:r>
      <w:r>
        <w:rPr>
          <w:rFonts w:hint="eastAsia"/>
        </w:rPr>
        <w:t>，</w:t>
      </w:r>
      <w:r>
        <w:rPr>
          <w:rFonts w:hint="default" w:ascii="Times New Roman" w:hAnsi="Times New Roman" w:cs="Times New Roman"/>
          <w:i/>
          <w:iCs/>
          <w:lang w:val="en-US" w:eastAsia="zh-CN"/>
        </w:rPr>
        <w:t>J</w:t>
      </w:r>
      <w:r>
        <w:rPr>
          <w:rFonts w:hint="eastAsia"/>
          <w:lang w:val="en-US" w:eastAsia="zh-CN"/>
        </w:rPr>
        <w:t>为允许渗透坡度（</w:t>
      </w:r>
      <w:r>
        <w:rPr>
          <w:rFonts w:hint="eastAsia"/>
        </w:rPr>
        <w:t>40~60</w:t>
      </w:r>
      <w:r>
        <w:rPr>
          <w:rFonts w:hint="eastAsia"/>
          <w:lang w:eastAsia="zh-CN"/>
        </w:rPr>
        <w:t>）</w:t>
      </w:r>
      <w:r>
        <w:rPr>
          <w:rFonts w:hint="eastAsia"/>
        </w:rPr>
        <w:t>，厚度范围0.8~1.5m；</w:t>
      </w:r>
    </w:p>
    <w:p w14:paraId="636CEDA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抗渗等级：W</w:t>
      </w:r>
      <w:r>
        <w:rPr>
          <w:rFonts w:hint="eastAsia"/>
          <w:vertAlign w:val="baseline"/>
        </w:rPr>
        <w:t>8</w:t>
      </w:r>
      <w:r>
        <w:rPr>
          <w:rFonts w:hint="eastAsia"/>
        </w:rPr>
        <w:t>~W</w:t>
      </w:r>
      <w:r>
        <w:rPr>
          <w:rFonts w:hint="eastAsia"/>
          <w:vertAlign w:val="baseline"/>
        </w:rPr>
        <w:t>12</w:t>
      </w:r>
      <w:r>
        <w:rPr>
          <w:rFonts w:hint="eastAsia"/>
        </w:rPr>
        <w:t>，弹性模量15~25GPa。</w:t>
      </w:r>
    </w:p>
    <w:p w14:paraId="4E52A8C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2</w:t>
      </w:r>
      <w:r>
        <w:rPr>
          <w:rFonts w:hint="eastAsia"/>
          <w:lang w:eastAsia="zh-CN"/>
        </w:rPr>
        <w:t>）</w:t>
      </w:r>
      <w:r>
        <w:rPr>
          <w:rFonts w:hint="eastAsia"/>
        </w:rPr>
        <w:t>深水成槽工艺：</w:t>
      </w:r>
    </w:p>
    <w:p w14:paraId="5B95AAF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设备选型：双轮铣槽机（铣削功率200~400kW），泥浆密度1.15~1.25g/cm³，粘度30~50s；</w:t>
      </w:r>
    </w:p>
    <w:p w14:paraId="093ADC3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质量控制：孔斜率≤0.3%~0.5%，沉渣厚度≤10cm。</w:t>
      </w:r>
    </w:p>
    <w:p w14:paraId="1B7C35E8">
      <w:pPr>
        <w:pStyle w:val="25"/>
        <w:spacing w:before="156" w:after="156"/>
        <w:rPr>
          <w:rFonts w:hint="eastAsia" w:hAnsi="黑体" w:cs="黑体"/>
        </w:rPr>
      </w:pPr>
      <w:bookmarkStart w:id="41" w:name="_Toc15883"/>
      <w:r>
        <w:rPr>
          <w:rFonts w:hint="eastAsia" w:hAnsi="黑体" w:cs="黑体"/>
        </w:rPr>
        <w:t>深水帷幕灌浆设计</w:t>
      </w:r>
      <w:bookmarkEnd w:id="41"/>
    </w:p>
    <w:p w14:paraId="6DAF18D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1</w:t>
      </w:r>
      <w:r>
        <w:rPr>
          <w:rFonts w:hint="eastAsia"/>
          <w:lang w:eastAsia="zh-CN"/>
        </w:rPr>
        <w:t>）</w:t>
      </w:r>
      <w:r>
        <w:rPr>
          <w:rFonts w:hint="eastAsia"/>
        </w:rPr>
        <w:t>灌浆参数</w:t>
      </w:r>
    </w:p>
    <w:p w14:paraId="4B60BFF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lang w:val="en-US" w:eastAsia="zh-CN"/>
        </w:rPr>
      </w:pPr>
      <w:r>
        <w:rPr>
          <w:rFonts w:hint="default" w:ascii="Times New Roman" w:hAnsi="Times New Roman" w:cs="Times New Roman"/>
        </w:rPr>
        <w:t>压力计算</w:t>
      </w:r>
      <w:r>
        <w:rPr>
          <w:rFonts w:hint="eastAsia" w:ascii="Times New Roman" w:hAnsi="Times New Roman" w:cs="Times New Roman"/>
          <w:lang w:val="en-US" w:eastAsia="zh-CN"/>
        </w:rPr>
        <w:t>如公式（3）所示：</w:t>
      </w:r>
    </w:p>
    <w:p w14:paraId="68DB03B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right"/>
        <w:textAlignment w:val="auto"/>
        <w:rPr>
          <w:rFonts w:hint="default" w:ascii="Times New Roman" w:hAnsi="Times New Roman" w:cs="Times New Roman"/>
        </w:rPr>
      </w:pPr>
      <m:oMath>
        <m:sSub>
          <m:sSubPr>
            <m:ctrlPr>
              <w:rPr>
                <w:rFonts w:hint="default" w:ascii="Cambria Math" w:hAnsi="Cambria Math" w:cs="Times New Roman"/>
                <w:kern w:val="2"/>
                <w:sz w:val="21"/>
                <w:szCs w:val="24"/>
                <w:lang w:val="en-US" w:eastAsia="zh-CN" w:bidi="ar-SA"/>
              </w:rPr>
            </m:ctrlPr>
          </m:sSubPr>
          <m:e>
            <m:r>
              <m:rPr>
                <m:sty m:val="p"/>
              </m:rPr>
              <w:rPr>
                <w:rFonts w:hint="default" w:ascii="Cambria Math" w:hAnsi="Cambria Math" w:cs="Times New Roman"/>
                <w:kern w:val="2"/>
                <w:sz w:val="21"/>
                <w:szCs w:val="24"/>
                <w:lang w:val="en-US" w:eastAsia="zh-CN" w:bidi="ar-SA"/>
              </w:rPr>
              <m:t>P</m:t>
            </m:r>
            <m:ctrlPr>
              <w:rPr>
                <w:rFonts w:hint="default" w:ascii="Cambria Math" w:hAnsi="Cambria Math" w:cs="Times New Roman"/>
                <w:kern w:val="2"/>
                <w:sz w:val="21"/>
                <w:szCs w:val="24"/>
                <w:lang w:val="en-US" w:eastAsia="zh-CN" w:bidi="ar-SA"/>
              </w:rPr>
            </m:ctrlPr>
          </m:e>
          <m:sub>
            <m:r>
              <m:rPr>
                <m:sty m:val="p"/>
              </m:rPr>
              <w:rPr>
                <w:rFonts w:hint="default" w:ascii="Cambria Math" w:hAnsi="Cambria Math" w:cs="Times New Roman"/>
                <w:kern w:val="2"/>
                <w:sz w:val="21"/>
                <w:szCs w:val="24"/>
                <w:lang w:val="en-US" w:eastAsia="zh-CN" w:bidi="ar-SA"/>
              </w:rPr>
              <m:t>g</m:t>
            </m:r>
            <m:ctrlPr>
              <w:rPr>
                <w:rFonts w:hint="default" w:ascii="Cambria Math" w:hAnsi="Cambria Math" w:cs="Times New Roman"/>
                <w:kern w:val="2"/>
                <w:sz w:val="21"/>
                <w:szCs w:val="24"/>
                <w:lang w:val="en-US" w:eastAsia="zh-CN" w:bidi="ar-SA"/>
              </w:rPr>
            </m:ctrlPr>
          </m:sub>
        </m:sSub>
        <m:r>
          <m:rPr>
            <m:sty m:val="p"/>
          </m:rPr>
          <w:rPr>
            <w:rFonts w:hint="default" w:ascii="Cambria Math" w:hAnsi="Cambria Math" w:cs="Times New Roman"/>
            <w:kern w:val="2"/>
            <w:sz w:val="21"/>
            <w:szCs w:val="24"/>
            <w:lang w:val="en-US" w:eastAsia="zh-CN" w:bidi="ar-SA"/>
          </w:rPr>
          <m:t>=0.01H+0.3~0.5MPa</m:t>
        </m:r>
      </m:oMath>
      <w:r>
        <w:rPr>
          <w:rFonts w:hint="eastAsia" w:ascii="Times New Roman" w:hAnsi="Times New Roman" w:cs="Times New Roman"/>
          <w:i w:val="0"/>
          <w:kern w:val="2"/>
          <w:sz w:val="21"/>
          <w:szCs w:val="24"/>
          <w:lang w:val="en-US" w:eastAsia="zh-CN" w:bidi="ar-SA"/>
        </w:rPr>
        <w:t>………………………………</w:t>
      </w:r>
      <w:r>
        <w:rPr>
          <w:rFonts w:hint="default" w:ascii="Times New Roman" w:hAnsi="Times New Roman" w:cs="Times New Roman"/>
          <w:i w:val="0"/>
          <w:kern w:val="2"/>
          <w:sz w:val="21"/>
          <w:szCs w:val="24"/>
          <w:lang w:val="en-US" w:eastAsia="zh-CN" w:bidi="ar-SA"/>
        </w:rPr>
        <w:t>（3）</w:t>
      </w:r>
    </w:p>
    <w:p w14:paraId="5D13E0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eastAsia" w:ascii="Times New Roman" w:hAnsi="Times New Roman" w:cs="Times New Roman"/>
          <w:lang w:val="en-US" w:eastAsia="zh-CN"/>
        </w:rPr>
        <w:t>其中</w:t>
      </w:r>
      <w:r>
        <w:rPr>
          <w:rFonts w:hint="default" w:ascii="Times New Roman" w:hAnsi="Times New Roman" w:cs="Times New Roman"/>
          <w:lang w:val="en-US" w:eastAsia="zh-CN"/>
        </w:rPr>
        <w:t>H</w:t>
      </w:r>
      <w:r>
        <w:rPr>
          <w:rFonts w:hint="default" w:ascii="Times New Roman" w:hAnsi="Times New Roman" w:cs="Times New Roman"/>
        </w:rPr>
        <w:t>为水深（30~100m）；</w:t>
      </w:r>
    </w:p>
    <w:p w14:paraId="65D7BCF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浆液配比：超细水泥浆（水灰比0.6:1~1:1，粒径D</w:t>
      </w:r>
      <w:r>
        <w:rPr>
          <w:rFonts w:hint="default" w:ascii="Times New Roman" w:hAnsi="Times New Roman" w:cs="Times New Roman"/>
          <w:lang w:val="en-US" w:eastAsia="zh-CN"/>
        </w:rPr>
        <w:t xml:space="preserve"> </w:t>
      </w:r>
      <w:r>
        <w:rPr>
          <w:rFonts w:hint="default" w:ascii="Times New Roman" w:hAnsi="Times New Roman" w:cs="Times New Roman"/>
        </w:rPr>
        <w:t>95≤20~40μm）或环氧树脂浆（粘度150~300mPa·s）。</w:t>
      </w:r>
    </w:p>
    <w:p w14:paraId="5C055D3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2</w:t>
      </w:r>
      <w:r>
        <w:rPr>
          <w:rFonts w:hint="eastAsia" w:ascii="Times New Roman" w:hAnsi="Times New Roman" w:cs="Times New Roman"/>
          <w:lang w:eastAsia="zh-CN"/>
        </w:rPr>
        <w:t>）</w:t>
      </w:r>
      <w:r>
        <w:rPr>
          <w:rFonts w:hint="default" w:ascii="Times New Roman" w:hAnsi="Times New Roman" w:cs="Times New Roman"/>
        </w:rPr>
        <w:t>孔位布置：</w:t>
      </w:r>
    </w:p>
    <w:p w14:paraId="7770EC7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主帷幕孔距1.0~1.5m，排距0.8~1.2m；</w:t>
      </w:r>
    </w:p>
    <w:p w14:paraId="3C360DA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黑体" w:cs="Times New Roman"/>
          <w:b w:val="0"/>
          <w:kern w:val="2"/>
          <w:sz w:val="21"/>
          <w:szCs w:val="24"/>
          <w:lang w:val="en-US" w:eastAsia="zh-CN" w:bidi="ar-SA"/>
        </w:rPr>
      </w:pPr>
      <w:r>
        <w:rPr>
          <w:rFonts w:hint="default" w:ascii="Times New Roman" w:hAnsi="Times New Roman" w:cs="Times New Roman"/>
        </w:rPr>
        <w:t>副帷幕孔距1.5~2.0m，排距1.0~1.5m，孔深需深入基岩1.0~3.0m</w:t>
      </w:r>
      <w:r>
        <w:rPr>
          <w:rFonts w:hint="eastAsia"/>
        </w:rPr>
        <w:t>。</w:t>
      </w:r>
    </w:p>
    <w:p w14:paraId="7792D768">
      <w:pPr>
        <w:pStyle w:val="23"/>
        <w:spacing w:before="312" w:after="312"/>
        <w:rPr>
          <w:rFonts w:hint="eastAsia" w:ascii="Times New Roman" w:hAnsi="Times New Roman" w:cs="Times New Roman"/>
          <w:szCs w:val="22"/>
          <w:lang w:val="en-US" w:eastAsia="zh-CN"/>
        </w:rPr>
      </w:pPr>
      <w:bookmarkStart w:id="42" w:name="_Toc17920"/>
      <w:r>
        <w:rPr>
          <w:rFonts w:hint="eastAsia" w:ascii="Times New Roman" w:hAnsi="Times New Roman" w:cs="Times New Roman"/>
          <w:szCs w:val="22"/>
          <w:lang w:val="en-US" w:eastAsia="zh-CN"/>
        </w:rPr>
        <w:t>施工技术</w:t>
      </w:r>
      <w:bookmarkEnd w:id="42"/>
    </w:p>
    <w:p w14:paraId="39720B9E">
      <w:pPr>
        <w:pStyle w:val="25"/>
        <w:spacing w:before="156" w:after="156"/>
        <w:rPr>
          <w:rFonts w:hint="eastAsia" w:hAnsi="黑体" w:cs="黑体"/>
        </w:rPr>
      </w:pPr>
      <w:r>
        <w:rPr>
          <w:rFonts w:hint="eastAsia" w:hAnsi="黑体" w:cs="黑体"/>
        </w:rPr>
        <w:t>深水裂缝封堵</w:t>
      </w:r>
    </w:p>
    <w:p w14:paraId="619D00A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1.表面封堵（环氧砂浆）：</w:t>
      </w:r>
    </w:p>
    <w:p w14:paraId="5387015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材料性能：初凝时间20~40分钟，抗压强度≥35~45MPa，粘结强度≥2.0~3.0MPa（参见附录C材料指标）；</w:t>
      </w:r>
    </w:p>
    <w:p w14:paraId="01DCBD5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施工流程：ROV清理裂缝→涂抹环氧砂浆（厚度40~60mm）→加压0.1~0.3MPa维持20~30分钟。</w:t>
      </w:r>
    </w:p>
    <w:p w14:paraId="1DCCFDC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2.深水灌浆（超细水泥）：</w:t>
      </w:r>
    </w:p>
    <w:p w14:paraId="7FE0644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灌浆参数：浆液密度1.5~1.8g/cm³，压力0.3~0.8MPa，结束标准为注入率≤1~2L/min并持续10~15分钟；</w:t>
      </w:r>
    </w:p>
    <w:p w14:paraId="5C35FCF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设备要求：灌浆泵耐压≥2.0倍设计压力，ROV接口耐压≥10MPa。</w:t>
      </w:r>
    </w:p>
    <w:p w14:paraId="2F75AFDE">
      <w:pPr>
        <w:pStyle w:val="25"/>
        <w:spacing w:before="156" w:after="156"/>
        <w:rPr>
          <w:rFonts w:hint="eastAsia" w:hAnsi="黑体" w:cs="黑体"/>
        </w:rPr>
      </w:pPr>
      <w:r>
        <w:rPr>
          <w:rFonts w:hint="eastAsia" w:hAnsi="黑体" w:cs="黑体"/>
        </w:rPr>
        <w:t>深水防渗墙施工</w:t>
      </w:r>
    </w:p>
    <w:p w14:paraId="355EBB3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eastAsia="zh-CN"/>
        </w:rPr>
        <w:t>）</w:t>
      </w:r>
      <w:r>
        <w:rPr>
          <w:rFonts w:hint="default" w:ascii="Times New Roman" w:hAnsi="Times New Roman" w:cs="Times New Roman"/>
        </w:rPr>
        <w:t>槽孔开挖：</w:t>
      </w:r>
    </w:p>
    <w:p w14:paraId="133AB49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泥浆性能：密度1.15~1.25g/cm³，粘度30~50s，pH值8~10；</w:t>
      </w:r>
    </w:p>
    <w:p w14:paraId="3FE3D3C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混凝土浇筑：坍落度18~24cm，浇筑速度≥2.0~3.0m/h，导管埋深1.0~2.0m。</w:t>
      </w:r>
    </w:p>
    <w:p w14:paraId="0867D28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2</w:t>
      </w:r>
      <w:r>
        <w:rPr>
          <w:rFonts w:hint="default" w:ascii="Times New Roman" w:hAnsi="Times New Roman" w:cs="Times New Roman"/>
          <w:lang w:eastAsia="zh-CN"/>
        </w:rPr>
        <w:t>）</w:t>
      </w:r>
      <w:r>
        <w:rPr>
          <w:rFonts w:hint="default" w:ascii="Times New Roman" w:hAnsi="Times New Roman" w:cs="Times New Roman"/>
        </w:rPr>
        <w:t>质量控制：</w:t>
      </w:r>
    </w:p>
    <w:p w14:paraId="14748FF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超声波检测波速≥3500~4000m/s；</w:t>
      </w:r>
    </w:p>
    <w:p w14:paraId="69A47D0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rPr>
      </w:pPr>
      <w:r>
        <w:rPr>
          <w:rFonts w:hint="default" w:ascii="Times New Roman" w:hAnsi="Times New Roman" w:cs="Times New Roman"/>
        </w:rPr>
        <w:t>取芯率≥85%~90%，芯样完整无夹泥。</w:t>
      </w:r>
    </w:p>
    <w:p w14:paraId="54C87483">
      <w:pPr>
        <w:pStyle w:val="23"/>
        <w:spacing w:before="312" w:after="312"/>
        <w:rPr>
          <w:rFonts w:hint="eastAsia" w:ascii="Times New Roman" w:hAnsi="Times New Roman" w:cs="Times New Roman"/>
          <w:szCs w:val="22"/>
          <w:lang w:val="en-US" w:eastAsia="zh-CN"/>
        </w:rPr>
      </w:pPr>
      <w:bookmarkStart w:id="43" w:name="_Toc4205"/>
      <w:r>
        <w:rPr>
          <w:rFonts w:hint="eastAsia" w:ascii="Times New Roman" w:hAnsi="Times New Roman" w:cs="Times New Roman"/>
          <w:szCs w:val="22"/>
          <w:lang w:val="en-US" w:eastAsia="zh-CN"/>
        </w:rPr>
        <w:t>质量验收</w:t>
      </w:r>
      <w:bookmarkEnd w:id="43"/>
    </w:p>
    <w:p w14:paraId="11E271BF">
      <w:pPr>
        <w:pStyle w:val="25"/>
        <w:spacing w:before="156" w:after="156"/>
        <w:rPr>
          <w:rFonts w:hint="eastAsia" w:hAnsi="黑体" w:cs="黑体"/>
        </w:rPr>
      </w:pPr>
      <w:r>
        <w:rPr>
          <w:rFonts w:hint="eastAsia" w:hAnsi="黑体" w:cs="黑体"/>
        </w:rPr>
        <w:t>防渗墙验收</w:t>
      </w:r>
    </w:p>
    <w:p w14:paraId="1A78873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1</w:t>
      </w:r>
      <w:r>
        <w:rPr>
          <w:rFonts w:hint="default" w:ascii="Times New Roman" w:hAnsi="Times New Roman" w:eastAsia="宋体" w:cs="Times New Roman"/>
          <w:lang w:eastAsia="zh-CN"/>
        </w:rPr>
        <w:t>）</w:t>
      </w:r>
      <w:r>
        <w:rPr>
          <w:rFonts w:hint="default" w:ascii="Times New Roman" w:hAnsi="Times New Roman" w:eastAsia="宋体" w:cs="Times New Roman"/>
        </w:rPr>
        <w:t>墙体连续性：通过钻孔取芯与声波检测，要求无断层、夹泥；</w:t>
      </w:r>
    </w:p>
    <w:p w14:paraId="2A98420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2</w:t>
      </w:r>
      <w:r>
        <w:rPr>
          <w:rFonts w:hint="default" w:ascii="Times New Roman" w:hAnsi="Times New Roman" w:eastAsia="宋体" w:cs="Times New Roman"/>
          <w:lang w:eastAsia="zh-CN"/>
        </w:rPr>
        <w:t>）</w:t>
      </w:r>
      <w:r>
        <w:rPr>
          <w:rFonts w:hint="default" w:ascii="Times New Roman" w:hAnsi="Times New Roman" w:eastAsia="宋体" w:cs="Times New Roman"/>
        </w:rPr>
        <w:t>抗渗性能：渗透系数应控制在1×10⁻⁷ cm/s至5×10⁻⁷cm/s之间（现场压水试验压力0.3~0.5MPa）；</w:t>
      </w:r>
    </w:p>
    <w:p w14:paraId="3E7CA02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3</w:t>
      </w:r>
      <w:r>
        <w:rPr>
          <w:rFonts w:hint="default" w:ascii="Times New Roman" w:hAnsi="Times New Roman" w:eastAsia="宋体" w:cs="Times New Roman"/>
          <w:lang w:eastAsia="zh-CN"/>
        </w:rPr>
        <w:t>）</w:t>
      </w:r>
      <w:r>
        <w:rPr>
          <w:rFonts w:hint="default" w:ascii="Times New Roman" w:hAnsi="Times New Roman" w:eastAsia="宋体" w:cs="Times New Roman"/>
        </w:rPr>
        <w:t>墙体厚度：实测厚度≥设计值的90%~95%（超声波测厚仪精度±1cm）。</w:t>
      </w:r>
    </w:p>
    <w:p w14:paraId="158D97A5">
      <w:pPr>
        <w:pStyle w:val="25"/>
        <w:spacing w:before="156" w:after="156"/>
        <w:rPr>
          <w:rFonts w:hint="eastAsia" w:hAnsi="黑体" w:cs="黑体"/>
        </w:rPr>
      </w:pPr>
      <w:r>
        <w:rPr>
          <w:rFonts w:hint="eastAsia" w:hAnsi="黑体" w:cs="黑体"/>
        </w:rPr>
        <w:t>灌浆效果评估</w:t>
      </w:r>
    </w:p>
    <w:p w14:paraId="7A49BDD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1</w:t>
      </w:r>
      <w:r>
        <w:rPr>
          <w:rFonts w:hint="default" w:ascii="Times New Roman" w:hAnsi="Times New Roman" w:eastAsia="宋体" w:cs="Times New Roman"/>
          <w:lang w:val="en-US" w:eastAsia="zh-CN"/>
        </w:rPr>
        <w:t>）</w:t>
      </w:r>
      <w:r>
        <w:rPr>
          <w:rFonts w:hint="default" w:ascii="Times New Roman" w:hAnsi="Times New Roman" w:eastAsia="宋体" w:cs="Times New Roman"/>
        </w:rPr>
        <w:t>压水试验：单位吸水量ω≤0.5~1.0 Lu；</w:t>
      </w:r>
    </w:p>
    <w:p w14:paraId="38F9273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2</w:t>
      </w:r>
      <w:r>
        <w:rPr>
          <w:rFonts w:hint="default" w:ascii="Times New Roman" w:hAnsi="Times New Roman" w:eastAsia="宋体" w:cs="Times New Roman"/>
          <w:lang w:eastAsia="zh-CN"/>
        </w:rPr>
        <w:t>）</w:t>
      </w:r>
      <w:r>
        <w:rPr>
          <w:rFonts w:hint="default" w:ascii="Times New Roman" w:hAnsi="Times New Roman" w:eastAsia="宋体" w:cs="Times New Roman"/>
        </w:rPr>
        <w:t>示踪剂复测：下游示踪剂浓度较处理前下降≥80%~90%。</w:t>
      </w:r>
    </w:p>
    <w:p w14:paraId="67DCE7A4">
      <w:pPr>
        <w:pStyle w:val="23"/>
        <w:spacing w:before="312" w:after="312"/>
        <w:rPr>
          <w:rFonts w:hint="eastAsia" w:ascii="Times New Roman" w:hAnsi="Times New Roman" w:cs="Times New Roman"/>
          <w:szCs w:val="22"/>
          <w:lang w:val="en-US" w:eastAsia="zh-CN"/>
        </w:rPr>
      </w:pPr>
      <w:bookmarkStart w:id="44" w:name="_Toc4170"/>
      <w:r>
        <w:rPr>
          <w:rFonts w:hint="eastAsia" w:ascii="Times New Roman" w:hAnsi="Times New Roman" w:cs="Times New Roman"/>
          <w:szCs w:val="22"/>
          <w:lang w:val="en-US" w:eastAsia="zh-CN"/>
        </w:rPr>
        <w:t>安全与运行维护管理</w:t>
      </w:r>
      <w:bookmarkEnd w:id="44"/>
    </w:p>
    <w:p w14:paraId="6D839925">
      <w:pPr>
        <w:pStyle w:val="25"/>
        <w:spacing w:before="156" w:after="156"/>
        <w:rPr>
          <w:rFonts w:hint="eastAsia" w:hAnsi="黑体" w:cs="黑体"/>
        </w:rPr>
      </w:pPr>
      <w:r>
        <w:rPr>
          <w:rFonts w:hint="eastAsia" w:hAnsi="黑体" w:cs="黑体"/>
        </w:rPr>
        <w:t>安全管理要求</w:t>
      </w:r>
    </w:p>
    <w:p w14:paraId="6A455CE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1</w:t>
      </w:r>
      <w:r>
        <w:rPr>
          <w:rFonts w:hint="default" w:ascii="Times New Roman" w:hAnsi="Times New Roman" w:eastAsia="宋体" w:cs="Times New Roman"/>
          <w:lang w:eastAsia="zh-CN"/>
        </w:rPr>
        <w:t>）</w:t>
      </w:r>
      <w:r>
        <w:rPr>
          <w:rFonts w:hint="default" w:ascii="Times New Roman" w:hAnsi="Times New Roman" w:eastAsia="宋体" w:cs="Times New Roman"/>
        </w:rPr>
        <w:t>潜水员作业：</w:t>
      </w:r>
    </w:p>
    <w:p w14:paraId="2957B3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深度与时间限制：</w:t>
      </w:r>
    </w:p>
    <w:p w14:paraId="526E45C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水深30~50m时，单次作业时间60~120分钟，每日最多2次；</w:t>
      </w:r>
    </w:p>
    <w:p w14:paraId="4DCAD44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水深50~80m时，单次作业时间30~60分钟，每日最多1次；</w:t>
      </w:r>
    </w:p>
    <w:p w14:paraId="350490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健康监测：作业前心率≤100次/分钟，血氧饱和度≥95%。</w:t>
      </w:r>
    </w:p>
    <w:p w14:paraId="190832A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2</w:t>
      </w:r>
      <w:r>
        <w:rPr>
          <w:rFonts w:hint="default" w:ascii="Times New Roman" w:hAnsi="Times New Roman" w:eastAsia="宋体" w:cs="Times New Roman"/>
          <w:lang w:eastAsia="zh-CN"/>
        </w:rPr>
        <w:t>）</w:t>
      </w:r>
      <w:r>
        <w:rPr>
          <w:rFonts w:hint="default" w:ascii="Times New Roman" w:hAnsi="Times New Roman" w:eastAsia="宋体" w:cs="Times New Roman"/>
        </w:rPr>
        <w:t>设备安全：</w:t>
      </w:r>
    </w:p>
    <w:p w14:paraId="6EA6623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ROV耐压≥1.25倍最大工作水深，灌浆泵耐压≥2.0倍设计压力；</w:t>
      </w:r>
    </w:p>
    <w:p w14:paraId="682F310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应急措施：ROV自动上浮速度≥0.5~1.0m/s，潜水员应急气瓶供气时间≥10~15分钟。</w:t>
      </w:r>
    </w:p>
    <w:p w14:paraId="0D9875A7">
      <w:pPr>
        <w:pStyle w:val="25"/>
        <w:spacing w:before="156" w:after="156"/>
        <w:rPr>
          <w:rFonts w:hint="eastAsia" w:hAnsi="黑体" w:cs="黑体"/>
        </w:rPr>
      </w:pPr>
      <w:r>
        <w:rPr>
          <w:rFonts w:hint="eastAsia" w:hAnsi="黑体" w:cs="黑体"/>
        </w:rPr>
        <w:t>运行维护要求</w:t>
      </w:r>
    </w:p>
    <w:p w14:paraId="0B267F8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1</w:t>
      </w:r>
      <w:r>
        <w:rPr>
          <w:rFonts w:hint="default" w:ascii="Times New Roman" w:hAnsi="Times New Roman" w:eastAsia="宋体" w:cs="Times New Roman"/>
          <w:lang w:eastAsia="zh-CN"/>
        </w:rPr>
        <w:t>）</w:t>
      </w:r>
      <w:r>
        <w:rPr>
          <w:rFonts w:hint="default" w:ascii="Times New Roman" w:hAnsi="Times New Roman" w:eastAsia="宋体" w:cs="Times New Roman"/>
        </w:rPr>
        <w:t>定期检查：</w:t>
      </w:r>
    </w:p>
    <w:p w14:paraId="45DE84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ROV巡检频率：每季度1次，汛期增至每月1次，记录裂缝扩展与灌浆体完整性（记录表参见附录A）；</w:t>
      </w:r>
    </w:p>
    <w:p w14:paraId="39893BB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2</w:t>
      </w:r>
      <w:r>
        <w:rPr>
          <w:rFonts w:hint="default" w:ascii="Times New Roman" w:hAnsi="Times New Roman" w:eastAsia="宋体" w:cs="Times New Roman"/>
          <w:lang w:eastAsia="zh-CN"/>
        </w:rPr>
        <w:t>）</w:t>
      </w:r>
      <w:r>
        <w:rPr>
          <w:rFonts w:hint="default" w:ascii="Times New Roman" w:hAnsi="Times New Roman" w:eastAsia="宋体" w:cs="Times New Roman"/>
        </w:rPr>
        <w:t>文件存档：</w:t>
      </w:r>
    </w:p>
    <w:p w14:paraId="597C40D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必存文档：检测报告（含渗漏点坐标、渗流量、三维模型）、施工日志（记录灌浆压力、浆液配比）；</w:t>
      </w:r>
    </w:p>
    <w:p w14:paraId="09E9C30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rPr>
      </w:pPr>
      <w:r>
        <w:rPr>
          <w:rFonts w:hint="default" w:ascii="Times New Roman" w:hAnsi="Times New Roman" w:eastAsia="宋体" w:cs="Times New Roman"/>
        </w:rPr>
        <w:t>存档期限：核心资料≥10年，影像记录≥5年。</w:t>
      </w:r>
    </w:p>
    <w:p w14:paraId="143018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sectPr>
          <w:footerReference r:id="rId10" w:type="default"/>
          <w:footerReference r:id="rId11" w:type="even"/>
          <w:pgSz w:w="11906" w:h="16838"/>
          <w:pgMar w:top="1440" w:right="1800" w:bottom="1440" w:left="1800" w:header="851" w:footer="992" w:gutter="0"/>
          <w:pgNumType w:fmt="decimal" w:start="1"/>
          <w:cols w:space="425" w:num="1"/>
          <w:docGrid w:type="lines" w:linePitch="312" w:charSpace="0"/>
        </w:sectPr>
      </w:pPr>
    </w:p>
    <w:p w14:paraId="57336E4F">
      <w:pPr>
        <w:pStyle w:val="17"/>
        <w:keepNext/>
        <w:keepLines w:val="0"/>
        <w:pageBreakBefore w:val="0"/>
        <w:widowControl/>
        <w:numPr>
          <w:ilvl w:val="0"/>
          <w:numId w:val="3"/>
        </w:numPr>
        <w:shd w:val="clear" w:color="FFFFFF" w:fill="FFFFFF"/>
        <w:tabs>
          <w:tab w:val="left" w:pos="360"/>
          <w:tab w:val="left" w:pos="6405"/>
        </w:tabs>
        <w:kinsoku/>
        <w:wordWrap/>
        <w:overflowPunct/>
        <w:topLinePunct w:val="0"/>
        <w:autoSpaceDE/>
        <w:autoSpaceDN/>
        <w:bidi w:val="0"/>
        <w:adjustRightInd/>
        <w:snapToGrid/>
        <w:ind w:left="0"/>
        <w:textAlignment w:val="auto"/>
        <w:rPr>
          <w:rFonts w:hint="eastAsia"/>
        </w:rPr>
      </w:pPr>
      <w:bookmarkStart w:id="45" w:name="_Toc30264"/>
      <w:bookmarkEnd w:id="45"/>
    </w:p>
    <w:p w14:paraId="7FA2EA25">
      <w:pPr>
        <w:bidi w:val="0"/>
        <w:jc w:val="center"/>
        <w:rPr>
          <w:rFonts w:hint="eastAsia" w:ascii="黑体" w:hAnsi="Times New Roman" w:eastAsia="黑体" w:cs="Times New Roman"/>
          <w:kern w:val="0"/>
          <w:sz w:val="21"/>
          <w:szCs w:val="20"/>
          <w:lang w:val="en-US" w:eastAsia="zh-CN" w:bidi="ar-SA"/>
        </w:rPr>
      </w:pPr>
      <w:bookmarkStart w:id="46" w:name="_Toc962024"/>
      <w:bookmarkStart w:id="47" w:name="_Toc1661786"/>
      <w:bookmarkStart w:id="48" w:name="_Toc962431"/>
      <w:bookmarkStart w:id="49" w:name="_Toc962585"/>
      <w:bookmarkStart w:id="50" w:name="_Toc962482"/>
      <w:bookmarkStart w:id="51" w:name="_Toc961035"/>
      <w:bookmarkStart w:id="52" w:name="_Toc1661837"/>
      <w:bookmarkStart w:id="53" w:name="_Toc961081"/>
      <w:bookmarkStart w:id="54" w:name="_Toc962293"/>
      <w:bookmarkStart w:id="55" w:name="_Toc961889"/>
      <w:bookmarkStart w:id="56" w:name="_Toc962245"/>
      <w:bookmarkStart w:id="57" w:name="_Toc187827502"/>
      <w:r>
        <w:rPr>
          <w:rFonts w:hint="eastAsia" w:ascii="黑体" w:hAnsi="Times New Roman" w:eastAsia="黑体" w:cs="Times New Roman"/>
          <w:kern w:val="0"/>
          <w:sz w:val="21"/>
          <w:szCs w:val="20"/>
          <w:lang w:val="en-US" w:eastAsia="zh-CN" w:bidi="ar-SA"/>
        </w:rPr>
        <w:t>（规范性）</w:t>
      </w:r>
      <w:r>
        <w:rPr>
          <w:rFonts w:hint="eastAsia" w:ascii="黑体" w:hAnsi="Times New Roman" w:eastAsia="黑体" w:cs="Times New Roman"/>
          <w:kern w:val="0"/>
          <w:sz w:val="21"/>
          <w:szCs w:val="20"/>
          <w:lang w:val="en-US" w:eastAsia="zh-CN" w:bidi="ar-SA"/>
        </w:rPr>
        <w:br w:type="textWrapping"/>
      </w:r>
      <w:r>
        <w:rPr>
          <w:rFonts w:hint="eastAsia" w:ascii="黑体" w:hAnsi="Times New Roman" w:eastAsia="黑体" w:cs="Times New Roman"/>
          <w:kern w:val="0"/>
          <w:sz w:val="21"/>
          <w:szCs w:val="20"/>
          <w:lang w:val="en-US" w:eastAsia="zh-CN" w:bidi="ar-SA"/>
        </w:rPr>
        <w:t>深水水下灌浆施工记录表</w:t>
      </w:r>
      <w:bookmarkEnd w:id="46"/>
      <w:bookmarkEnd w:id="47"/>
      <w:bookmarkEnd w:id="48"/>
      <w:bookmarkEnd w:id="49"/>
      <w:bookmarkEnd w:id="50"/>
      <w:bookmarkEnd w:id="51"/>
      <w:bookmarkEnd w:id="52"/>
      <w:bookmarkEnd w:id="53"/>
      <w:bookmarkEnd w:id="54"/>
      <w:bookmarkEnd w:id="55"/>
      <w:bookmarkEnd w:id="56"/>
      <w:bookmarkEnd w:id="57"/>
    </w:p>
    <w:p w14:paraId="222D05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rPr>
      </w:pPr>
      <w:r>
        <w:rPr>
          <w:rFonts w:hint="eastAsia" w:ascii="黑体" w:hAnsi="黑体" w:eastAsia="黑体" w:cs="黑体"/>
          <w:lang w:val="en-US" w:eastAsia="zh-CN"/>
        </w:rPr>
        <w:t>A.1</w:t>
      </w:r>
      <w:r>
        <w:rPr>
          <w:rFonts w:hint="eastAsia" w:ascii="黑体" w:hAnsi="Times New Roman" w:eastAsia="黑体"/>
          <w:b w:val="0"/>
          <w:i w:val="0"/>
          <w:kern w:val="2"/>
          <w:sz w:val="21"/>
          <w:szCs w:val="21"/>
          <w:lang w:val="en-US" w:eastAsia="zh-CN" w:bidi="ar"/>
        </w:rPr>
        <w:t>　</w:t>
      </w:r>
      <w:r>
        <w:rPr>
          <w:rFonts w:hint="eastAsia" w:ascii="黑体" w:hAnsi="黑体" w:eastAsia="黑体" w:cs="黑体"/>
        </w:rPr>
        <w:t>记录参数包括：</w:t>
      </w:r>
    </w:p>
    <w:p w14:paraId="73C9512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灌浆压力：0.3~0.8MPa（数显压力表检测，精度0.1级）；</w:t>
      </w:r>
    </w:p>
    <w:p w14:paraId="704C65A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宋体" w:cs="Times New Roman"/>
        </w:rPr>
        <w:t>浆液密度：1.5~1.8g/cm³（比重计检测）。</w:t>
      </w:r>
    </w:p>
    <w:p w14:paraId="123D4C8B">
      <w:pPr>
        <w:pStyle w:val="17"/>
        <w:keepNext/>
        <w:keepLines w:val="0"/>
        <w:pageBreakBefore w:val="0"/>
        <w:widowControl/>
        <w:numPr>
          <w:ilvl w:val="0"/>
          <w:numId w:val="3"/>
        </w:numPr>
        <w:shd w:val="clear" w:color="FFFFFF" w:fill="FFFFFF"/>
        <w:tabs>
          <w:tab w:val="left" w:pos="360"/>
          <w:tab w:val="left" w:pos="6405"/>
        </w:tabs>
        <w:kinsoku/>
        <w:wordWrap/>
        <w:overflowPunct/>
        <w:topLinePunct w:val="0"/>
        <w:autoSpaceDE/>
        <w:autoSpaceDN/>
        <w:bidi w:val="0"/>
        <w:adjustRightInd/>
        <w:snapToGrid/>
        <w:ind w:left="0"/>
        <w:textAlignment w:val="auto"/>
        <w:rPr>
          <w:rFonts w:hint="eastAsia"/>
        </w:rPr>
      </w:pPr>
      <w:bookmarkStart w:id="58" w:name="_Toc19217"/>
      <w:bookmarkEnd w:id="58"/>
    </w:p>
    <w:p w14:paraId="62524B9F">
      <w:pPr>
        <w:bidi w:val="0"/>
        <w:jc w:val="center"/>
        <w:rPr>
          <w:rFonts w:hint="eastAsia" w:ascii="黑体" w:hAnsi="Times New Roman" w:eastAsia="黑体" w:cs="Times New Roman"/>
          <w:kern w:val="0"/>
          <w:sz w:val="21"/>
          <w:szCs w:val="20"/>
          <w:lang w:val="en-US" w:eastAsia="zh-CN" w:bidi="ar-SA"/>
        </w:rPr>
      </w:pPr>
      <w:r>
        <w:rPr>
          <w:rFonts w:hint="eastAsia" w:ascii="黑体" w:hAnsi="Times New Roman" w:eastAsia="黑体" w:cs="Times New Roman"/>
          <w:kern w:val="0"/>
          <w:sz w:val="21"/>
          <w:szCs w:val="20"/>
          <w:lang w:val="en-US" w:eastAsia="zh-CN" w:bidi="ar-SA"/>
        </w:rPr>
        <w:t>（资料性）</w:t>
      </w:r>
    </w:p>
    <w:p w14:paraId="662859B8">
      <w:pPr>
        <w:bidi w:val="0"/>
        <w:jc w:val="center"/>
        <w:rPr>
          <w:rFonts w:hint="eastAsia" w:ascii="黑体" w:hAnsi="Times New Roman" w:eastAsia="黑体" w:cs="Times New Roman"/>
          <w:kern w:val="0"/>
          <w:sz w:val="21"/>
          <w:szCs w:val="20"/>
          <w:lang w:val="en-US" w:eastAsia="zh-CN" w:bidi="ar-SA"/>
        </w:rPr>
      </w:pPr>
      <w:r>
        <w:rPr>
          <w:rFonts w:hint="eastAsia" w:ascii="黑体" w:hAnsi="Times New Roman" w:eastAsia="黑体" w:cs="Times New Roman"/>
          <w:kern w:val="0"/>
          <w:sz w:val="21"/>
          <w:szCs w:val="20"/>
          <w:lang w:val="en-US" w:eastAsia="zh-CN" w:bidi="ar-SA"/>
        </w:rPr>
        <w:t>典型案例</w:t>
      </w:r>
    </w:p>
    <w:p w14:paraId="34252F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rPr>
      </w:pPr>
      <w:r>
        <w:rPr>
          <w:rFonts w:hint="eastAsia" w:ascii="黑体" w:hAnsi="黑体" w:eastAsia="黑体" w:cs="黑体"/>
        </w:rPr>
        <w:t>B.1</w:t>
      </w:r>
      <w:r>
        <w:rPr>
          <w:rFonts w:hint="eastAsia" w:ascii="黑体" w:hAnsi="Times New Roman" w:eastAsia="黑体"/>
          <w:b w:val="0"/>
          <w:i w:val="0"/>
          <w:kern w:val="2"/>
          <w:sz w:val="21"/>
          <w:szCs w:val="21"/>
          <w:lang w:val="en-US" w:eastAsia="zh-CN" w:bidi="ar"/>
        </w:rPr>
        <w:t>　</w:t>
      </w:r>
      <w:r>
        <w:rPr>
          <w:rFonts w:hint="eastAsia" w:ascii="黑体" w:hAnsi="黑体" w:eastAsia="黑体" w:cs="黑体"/>
        </w:rPr>
        <w:t>国内典型案例</w:t>
      </w:r>
    </w:p>
    <w:p w14:paraId="62C54E2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案例1：溪洛渡大坝深水防渗墙施工（2023年）</w:t>
      </w:r>
    </w:p>
    <w:p w14:paraId="70CEA0C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水深70~85m，墙体厚度1.0~1.2m，抗渗系数≤3×10-7cm/s；</w:t>
      </w:r>
    </w:p>
    <w:p w14:paraId="2A78466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eastAsiaTheme="minorEastAsia"/>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cs="Times New Roman" w:eastAsiaTheme="minorEastAsia"/>
          <w:lang w:val="en-US" w:eastAsia="zh-CN"/>
        </w:rPr>
        <w:t>管理措施：每日安全例会，ROV巡检每4~6小时1次。</w:t>
      </w:r>
    </w:p>
    <w:p w14:paraId="30972B01">
      <w:pPr>
        <w:pStyle w:val="17"/>
        <w:keepNext/>
        <w:keepLines w:val="0"/>
        <w:pageBreakBefore w:val="0"/>
        <w:widowControl/>
        <w:numPr>
          <w:ilvl w:val="0"/>
          <w:numId w:val="3"/>
        </w:numPr>
        <w:shd w:val="clear" w:color="FFFFFF" w:fill="FFFFFF"/>
        <w:tabs>
          <w:tab w:val="left" w:pos="360"/>
          <w:tab w:val="left" w:pos="6405"/>
        </w:tabs>
        <w:kinsoku/>
        <w:wordWrap/>
        <w:overflowPunct/>
        <w:topLinePunct w:val="0"/>
        <w:autoSpaceDE/>
        <w:autoSpaceDN/>
        <w:bidi w:val="0"/>
        <w:adjustRightInd/>
        <w:snapToGrid/>
        <w:ind w:left="0"/>
        <w:textAlignment w:val="auto"/>
        <w:rPr>
          <w:rFonts w:hint="eastAsia"/>
        </w:rPr>
      </w:pPr>
      <w:bookmarkStart w:id="59" w:name="_Toc21258"/>
      <w:bookmarkEnd w:id="59"/>
    </w:p>
    <w:p w14:paraId="19BDE606">
      <w:pPr>
        <w:bidi w:val="0"/>
        <w:jc w:val="center"/>
        <w:rPr>
          <w:rFonts w:hint="eastAsia" w:ascii="黑体" w:hAnsi="Times New Roman" w:eastAsia="黑体" w:cs="Times New Roman"/>
          <w:kern w:val="0"/>
          <w:sz w:val="21"/>
          <w:szCs w:val="20"/>
          <w:lang w:val="en-US" w:eastAsia="zh-CN" w:bidi="ar-SA"/>
        </w:rPr>
      </w:pPr>
      <w:r>
        <w:rPr>
          <w:rFonts w:hint="eastAsia" w:ascii="黑体" w:hAnsi="Times New Roman" w:eastAsia="黑体" w:cs="Times New Roman"/>
          <w:kern w:val="0"/>
          <w:sz w:val="21"/>
          <w:szCs w:val="20"/>
          <w:lang w:val="en-US" w:eastAsia="zh-CN" w:bidi="ar-SA"/>
        </w:rPr>
        <w:t>（规范性）</w:t>
      </w:r>
    </w:p>
    <w:p w14:paraId="4FED0221">
      <w:pPr>
        <w:bidi w:val="0"/>
        <w:jc w:val="center"/>
        <w:rPr>
          <w:rFonts w:hint="eastAsia" w:ascii="黑体" w:hAnsi="Times New Roman" w:eastAsia="黑体" w:cs="Times New Roman"/>
          <w:kern w:val="0"/>
          <w:sz w:val="21"/>
          <w:szCs w:val="20"/>
          <w:lang w:val="en-US" w:eastAsia="zh-CN" w:bidi="ar-SA"/>
        </w:rPr>
      </w:pPr>
      <w:r>
        <w:rPr>
          <w:rFonts w:hint="eastAsia" w:ascii="黑体" w:hAnsi="Times New Roman" w:eastAsia="黑体" w:cs="Times New Roman"/>
          <w:kern w:val="0"/>
          <w:sz w:val="21"/>
          <w:szCs w:val="20"/>
          <w:lang w:val="en-US" w:eastAsia="zh-CN" w:bidi="ar-SA"/>
        </w:rPr>
        <w:t>水下防渗材料性能指标</w:t>
      </w:r>
    </w:p>
    <w:p w14:paraId="1E0E27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lang w:val="en-US" w:eastAsia="zh-CN"/>
        </w:rPr>
      </w:pPr>
      <w:r>
        <w:rPr>
          <w:rFonts w:hint="eastAsia" w:ascii="黑体" w:hAnsi="黑体" w:eastAsia="黑体" w:cs="黑体"/>
          <w:lang w:val="en-US" w:eastAsia="zh-CN"/>
        </w:rPr>
        <w:t>C.</w:t>
      </w:r>
      <w:r>
        <w:rPr>
          <w:rFonts w:hint="eastAsia" w:ascii="黑体" w:hAnsi="黑体" w:eastAsia="黑体" w:cs="黑体"/>
        </w:rPr>
        <w:t>1</w:t>
      </w:r>
      <w:r>
        <w:rPr>
          <w:rFonts w:hint="eastAsia" w:ascii="黑体" w:hAnsi="黑体" w:eastAsia="黑体" w:cs="黑体"/>
          <w:b w:val="0"/>
          <w:i w:val="0"/>
          <w:kern w:val="2"/>
          <w:sz w:val="21"/>
          <w:szCs w:val="21"/>
          <w:lang w:val="en-US" w:eastAsia="zh-CN" w:bidi="ar"/>
        </w:rPr>
        <w:t>　</w:t>
      </w:r>
      <w:r>
        <w:rPr>
          <w:rFonts w:hint="eastAsia" w:ascii="黑体" w:hAnsi="黑体" w:eastAsia="黑体" w:cs="黑体"/>
          <w:lang w:val="en-US" w:eastAsia="zh-CN"/>
        </w:rPr>
        <w:t>水下防渗材料指标要求如下：</w:t>
      </w:r>
    </w:p>
    <w:p w14:paraId="4DA36E6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1）水下环氧砂浆：抗压强度≥45MPa，适用水深≤80m，耐水压≥5MPa；</w:t>
      </w:r>
    </w:p>
    <w:p w14:paraId="382321E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cs="Times New Roman" w:eastAsiaTheme="minorEastAsia"/>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cs="Times New Roman" w:eastAsiaTheme="minorEastAsia"/>
          <w:lang w:val="en-US" w:eastAsia="zh-CN"/>
        </w:rPr>
        <w:t>2）纳米水泥基灌浆材料：抗压强度≥25MPa，适用水深≤100m，耐水压≥8MPa。</w:t>
      </w:r>
    </w:p>
    <w:p w14:paraId="5D3D07EC">
      <w:pPr>
        <w:pStyle w:val="17"/>
        <w:keepNext/>
        <w:keepLines w:val="0"/>
        <w:pageBreakBefore w:val="0"/>
        <w:widowControl/>
        <w:numPr>
          <w:ilvl w:val="0"/>
          <w:numId w:val="3"/>
        </w:numPr>
        <w:shd w:val="clear" w:color="FFFFFF" w:fill="FFFFFF"/>
        <w:tabs>
          <w:tab w:val="left" w:pos="360"/>
          <w:tab w:val="left" w:pos="6405"/>
        </w:tabs>
        <w:kinsoku/>
        <w:wordWrap/>
        <w:overflowPunct/>
        <w:topLinePunct w:val="0"/>
        <w:autoSpaceDE/>
        <w:autoSpaceDN/>
        <w:bidi w:val="0"/>
        <w:adjustRightInd/>
        <w:snapToGrid/>
        <w:ind w:left="0"/>
        <w:textAlignment w:val="auto"/>
        <w:rPr>
          <w:rFonts w:hint="eastAsia"/>
        </w:rPr>
      </w:pPr>
      <w:bookmarkStart w:id="60" w:name="_Toc6210"/>
      <w:bookmarkEnd w:id="60"/>
    </w:p>
    <w:p w14:paraId="6B62C520">
      <w:pPr>
        <w:bidi w:val="0"/>
        <w:jc w:val="center"/>
        <w:rPr>
          <w:rFonts w:hint="eastAsia" w:ascii="黑体" w:hAnsi="Times New Roman" w:eastAsia="黑体" w:cs="Times New Roman"/>
          <w:kern w:val="0"/>
          <w:sz w:val="21"/>
          <w:szCs w:val="20"/>
          <w:lang w:val="en-US" w:eastAsia="zh-CN" w:bidi="ar-SA"/>
        </w:rPr>
      </w:pPr>
      <w:r>
        <w:rPr>
          <w:rFonts w:hint="eastAsia" w:ascii="黑体" w:hAnsi="Times New Roman" w:eastAsia="黑体" w:cs="Times New Roman"/>
          <w:kern w:val="0"/>
          <w:sz w:val="21"/>
          <w:szCs w:val="20"/>
          <w:lang w:val="en-US" w:eastAsia="zh-CN" w:bidi="ar-SA"/>
        </w:rPr>
        <w:t>（规范性）</w:t>
      </w:r>
    </w:p>
    <w:p w14:paraId="52891E8F">
      <w:pPr>
        <w:bidi w:val="0"/>
        <w:jc w:val="center"/>
        <w:rPr>
          <w:rFonts w:hint="eastAsia" w:ascii="黑体" w:hAnsi="Times New Roman" w:eastAsia="黑体" w:cs="Times New Roman"/>
          <w:kern w:val="0"/>
          <w:sz w:val="21"/>
          <w:szCs w:val="20"/>
          <w:lang w:val="en-US" w:eastAsia="zh-CN" w:bidi="ar-SA"/>
        </w:rPr>
      </w:pPr>
      <w:r>
        <w:rPr>
          <w:rFonts w:hint="eastAsia" w:ascii="黑体" w:hAnsi="Times New Roman" w:eastAsia="黑体" w:cs="Times New Roman"/>
          <w:kern w:val="0"/>
          <w:sz w:val="21"/>
          <w:szCs w:val="20"/>
          <w:lang w:val="en-US" w:eastAsia="zh-CN" w:bidi="ar-SA"/>
        </w:rPr>
        <w:t>应急管理预案</w:t>
      </w:r>
    </w:p>
    <w:p w14:paraId="1A8AFBA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黑体" w:hAnsi="黑体" w:eastAsia="黑体" w:cs="黑体"/>
          <w:lang w:val="en-US" w:eastAsia="zh-CN"/>
        </w:rPr>
      </w:pPr>
      <w:r>
        <w:rPr>
          <w:rFonts w:hint="default" w:ascii="黑体" w:hAnsi="黑体" w:eastAsia="黑体" w:cs="黑体"/>
          <w:lang w:val="en-US" w:eastAsia="zh-CN"/>
        </w:rPr>
        <w:t>D.1</w:t>
      </w:r>
      <w:r>
        <w:rPr>
          <w:rFonts w:hint="eastAsia" w:ascii="黑体" w:hAnsi="黑体" w:eastAsia="黑体" w:cs="黑体"/>
          <w:lang w:val="en-US" w:eastAsia="zh-CN"/>
        </w:rPr>
        <w:t>　</w:t>
      </w:r>
      <w:r>
        <w:rPr>
          <w:rFonts w:hint="default" w:ascii="黑体" w:hAnsi="黑体" w:eastAsia="黑体" w:cs="黑体"/>
          <w:lang w:val="en-US" w:eastAsia="zh-CN"/>
        </w:rPr>
        <w:t>应急管理预案响应分级如下：</w:t>
      </w:r>
    </w:p>
    <w:p w14:paraId="7C6E4120">
      <w:pPr>
        <w:keepNext w:val="0"/>
        <w:keepLines w:val="0"/>
        <w:pageBreakBefore w:val="0"/>
        <w:widowControl w:val="0"/>
        <w:kinsoku/>
        <w:wordWrap/>
        <w:overflowPunct/>
        <w:topLinePunct w:val="0"/>
        <w:autoSpaceDE/>
        <w:autoSpaceDN/>
        <w:bidi w:val="0"/>
        <w:adjustRightInd/>
        <w:snapToGrid/>
        <w:spacing w:line="240" w:lineRule="auto"/>
        <w:ind w:left="420" w:leftChars="0" w:firstLine="420" w:firstLineChars="200"/>
        <w:textAlignment w:val="auto"/>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 xml:space="preserve">1）一级响应：潜水员受困或设备故障，响应时间≤10分钟；  </w:t>
      </w:r>
    </w:p>
    <w:p w14:paraId="0092A9B8">
      <w:pPr>
        <w:keepNext w:val="0"/>
        <w:keepLines w:val="0"/>
        <w:pageBreakBefore w:val="0"/>
        <w:widowControl w:val="0"/>
        <w:kinsoku/>
        <w:wordWrap/>
        <w:overflowPunct/>
        <w:topLinePunct w:val="0"/>
        <w:autoSpaceDE/>
        <w:autoSpaceDN/>
        <w:bidi w:val="0"/>
        <w:adjustRightInd/>
        <w:snapToGrid/>
        <w:spacing w:line="240" w:lineRule="auto"/>
        <w:ind w:left="420" w:leftChars="0" w:firstLine="420" w:firstLineChars="200"/>
        <w:textAlignment w:val="auto"/>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 xml:space="preserve">2）二级响应：渗漏量突增＞50%设计值，响应时间≤30分钟；  </w:t>
      </w:r>
    </w:p>
    <w:p w14:paraId="5EF7E288">
      <w:pPr>
        <w:keepNext w:val="0"/>
        <w:keepLines w:val="0"/>
        <w:pageBreakBefore w:val="0"/>
        <w:widowControl w:val="0"/>
        <w:kinsoku/>
        <w:wordWrap/>
        <w:overflowPunct/>
        <w:topLinePunct w:val="0"/>
        <w:autoSpaceDE/>
        <w:autoSpaceDN/>
        <w:bidi w:val="0"/>
        <w:adjustRightInd/>
        <w:snapToGrid/>
        <w:spacing w:line="240" w:lineRule="auto"/>
        <w:ind w:left="420" w:leftChars="0" w:firstLine="420" w:firstLineChars="200"/>
        <w:textAlignment w:val="auto"/>
        <w:rPr>
          <w:rFonts w:hint="eastAsia"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3）三级响应：局部设备通信中断，响应时间≤2小时</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C1AF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614BB1">
                          <w:pPr>
                            <w:pStyle w:val="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17614BB1">
                    <w:pPr>
                      <w:pStyle w:val="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69326">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423A4">
                          <w:pPr>
                            <w:pStyle w:val="7"/>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26E423A4">
                    <w:pPr>
                      <w:pStyle w:val="7"/>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A22E">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E64F0">
                          <w:pPr>
                            <w:pStyle w:val="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8FE64F0">
                    <w:pPr>
                      <w:pStyle w:val="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019D5">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9676BC">
                          <w:pPr>
                            <w:pStyle w:val="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89676BC">
                    <w:pPr>
                      <w:pStyle w:val="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616CD">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9E5CE">
                          <w:pPr>
                            <w:pStyle w:val="7"/>
                          </w:pPr>
                          <w:r>
                            <w:fldChar w:fldCharType="begin"/>
                          </w:r>
                          <w:r>
                            <w:instrText xml:space="preserve"> PAGE  \* MERGEFORMAT </w:instrText>
                          </w:r>
                          <w:r>
                            <w:fldChar w:fldCharType="separate"/>
                          </w:r>
                          <w:r>
                            <w:t>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00B9E5CE">
                    <w:pPr>
                      <w:pStyle w:val="7"/>
                    </w:pPr>
                    <w:r>
                      <w:fldChar w:fldCharType="begin"/>
                    </w:r>
                    <w:r>
                      <w:instrText xml:space="preserve"> PAGE  \* MERGEFORMAT </w:instrText>
                    </w:r>
                    <w:r>
                      <w:fldChar w:fldCharType="separate"/>
                    </w:r>
                    <w:r>
                      <w:t>III</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AC683">
    <w:pPr>
      <w:pStyle w:val="7"/>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EE3327">
                          <w:pPr>
                            <w:pStyle w:val="7"/>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77EE3327">
                    <w:pPr>
                      <w:pStyle w:val="7"/>
                    </w:pPr>
                    <w:r>
                      <w:fldChar w:fldCharType="begin"/>
                    </w:r>
                    <w:r>
                      <w:instrText xml:space="preserve"> PAGE  \* MERGEFORMAT </w:instrText>
                    </w:r>
                    <w:r>
                      <w:fldChar w:fldCharType="separate"/>
                    </w:r>
                    <w:r>
                      <w:t>V</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6DA70">
    <w:pPr>
      <w:pStyle w:val="7"/>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6A84F">
                          <w:pPr>
                            <w:pStyle w:val="7"/>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0446A84F">
                    <w:pPr>
                      <w:pStyle w:val="7"/>
                    </w:pPr>
                    <w:r>
                      <w:fldChar w:fldCharType="begin"/>
                    </w:r>
                    <w:r>
                      <w:instrText xml:space="preserve"> PAGE  \* MERGEFORMAT </w:instrText>
                    </w:r>
                    <w:r>
                      <w:fldChar w:fldCharType="separate"/>
                    </w:r>
                    <w:r>
                      <w:t>II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B3E9A">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B8064">
    <w:pPr>
      <w:pStyle w:val="8"/>
      <w:jc w:val="right"/>
      <w:rPr>
        <w:rFonts w:hint="default" w:eastAsia="宋体"/>
        <w:lang w:val="en-US" w:eastAsia="zh-CN"/>
      </w:rPr>
    </w:pPr>
    <w:r>
      <w:rPr>
        <w:rFonts w:hint="eastAsia" w:ascii="黑体" w:hAnsi="黑体" w:eastAsia="黑体" w:cs="黑体"/>
        <w:b/>
        <w:bCs/>
        <w:lang w:val="en-US" w:eastAsia="zh-CN"/>
      </w:rPr>
      <w:t xml:space="preserve">GB/T </w:t>
    </w:r>
    <w:r>
      <w:rPr>
        <w:rFonts w:hint="default" w:ascii="Times New Roman" w:hAnsi="Times New Roman" w:cs="Times New Roman"/>
        <w:lang w:val="en-US" w:eastAsia="zh-CN"/>
      </w:rPr>
      <w:t xml:space="preserve"> XXX-XXXX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pStyle w:val="23"/>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25"/>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39121823"/>
    <w:multiLevelType w:val="multilevel"/>
    <w:tmpl w:val="39121823"/>
    <w:lvl w:ilvl="0" w:tentative="0">
      <w:start w:val="1"/>
      <w:numFmt w:val="lowerLetter"/>
      <w:pStyle w:val="17"/>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
    <w:nsid w:val="657D3FBC"/>
    <w:multiLevelType w:val="multilevel"/>
    <w:tmpl w:val="657D3FBC"/>
    <w:lvl w:ilvl="0" w:tentative="0">
      <w:start w:val="1"/>
      <w:numFmt w:val="upperLetter"/>
      <w:suff w:val="nothing"/>
      <w:lvlText w:val="附　录　%1"/>
      <w:lvlJc w:val="left"/>
      <w:pPr>
        <w:ind w:left="828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9004C"/>
    <w:rsid w:val="07982DF3"/>
    <w:rsid w:val="07EC6ECA"/>
    <w:rsid w:val="22173DC0"/>
    <w:rsid w:val="22CB216A"/>
    <w:rsid w:val="245D5359"/>
    <w:rsid w:val="27194E78"/>
    <w:rsid w:val="29433B06"/>
    <w:rsid w:val="38F55AA2"/>
    <w:rsid w:val="46443240"/>
    <w:rsid w:val="47AB3A6D"/>
    <w:rsid w:val="4D135D42"/>
    <w:rsid w:val="4F6120D9"/>
    <w:rsid w:val="4FE57246"/>
    <w:rsid w:val="581F559B"/>
    <w:rsid w:val="58B71D9D"/>
    <w:rsid w:val="5BB10BFF"/>
    <w:rsid w:val="61395BFE"/>
    <w:rsid w:val="66AB1FDA"/>
    <w:rsid w:val="6C600544"/>
    <w:rsid w:val="6DE65664"/>
    <w:rsid w:val="724B40A0"/>
    <w:rsid w:val="7CF635B4"/>
    <w:rsid w:val="7EA335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Ascii" w:hAnsiTheme="minorAscii"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76" w:lineRule="auto"/>
      <w:outlineLvl w:val="0"/>
    </w:pPr>
    <w:rPr>
      <w:rFonts w:eastAsia="黑体" w:asciiTheme="minorAscii" w:hAnsiTheme="minorAscii"/>
      <w:kern w:val="44"/>
    </w:rPr>
  </w:style>
  <w:style w:type="paragraph" w:styleId="3">
    <w:name w:val="heading 2"/>
    <w:basedOn w:val="1"/>
    <w:next w:val="1"/>
    <w:unhideWhenUsed/>
    <w:qFormat/>
    <w:uiPriority w:val="0"/>
    <w:pPr>
      <w:keepNext/>
      <w:keepLines/>
      <w:spacing w:beforeLines="0" w:beforeAutospacing="0" w:afterLines="0" w:afterAutospacing="0" w:line="360" w:lineRule="auto"/>
      <w:outlineLvl w:val="1"/>
    </w:pPr>
    <w:rPr>
      <w:rFonts w:ascii="Arial" w:hAnsi="Arial" w:eastAsia="黑体"/>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Body Text"/>
    <w:basedOn w:val="1"/>
    <w:next w:val="1"/>
    <w:semiHidden/>
    <w:qFormat/>
    <w:uiPriority w:val="0"/>
    <w:rPr>
      <w:rFonts w:ascii="Arial" w:hAnsi="Arial" w:eastAsia="Arial" w:cs="Arial"/>
      <w:sz w:val="21"/>
      <w:szCs w:val="21"/>
      <w:lang w:val="en-US" w:eastAsia="en-US" w:bidi="ar-SA"/>
    </w:rPr>
  </w:style>
  <w:style w:type="paragraph" w:styleId="5">
    <w:name w:val="Body Text Indent"/>
    <w:basedOn w:val="1"/>
    <w:semiHidden/>
    <w:unhideWhenUsed/>
    <w:qFormat/>
    <w:uiPriority w:val="99"/>
    <w:pPr>
      <w:spacing w:after="120"/>
      <w:ind w:left="420" w:leftChars="200"/>
    </w:pPr>
  </w:style>
  <w:style w:type="paragraph" w:styleId="6">
    <w:name w:val="Plain Text"/>
    <w:basedOn w:val="1"/>
    <w:qFormat/>
    <w:uiPriority w:val="0"/>
    <w:rPr>
      <w:rFonts w:ascii="宋体" w:hAnsi="Courier New"/>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39"/>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unhideWhenUsed/>
    <w:qFormat/>
    <w:uiPriority w:val="99"/>
    <w:pPr>
      <w:ind w:firstLine="420" w:firstLineChars="200"/>
    </w:pPr>
    <w:rPr>
      <w:rFonts w:ascii="Times New Roman" w:hAnsi="Times New Roman" w:eastAsia="宋体" w:cs="Times New Roman"/>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customStyle="1" w:styleId="17">
    <w:name w:val="附录标识"/>
    <w:basedOn w:val="1"/>
    <w:next w:val="18"/>
    <w:qFormat/>
    <w:uiPriority w:val="0"/>
    <w:pPr>
      <w:keepNext/>
      <w:widowControl/>
      <w:numPr>
        <w:ilvl w:val="0"/>
        <w:numId w:val="1"/>
      </w:numPr>
      <w:shd w:val="clear" w:color="FFFFFF" w:fill="FFFFFF"/>
      <w:spacing w:before="640" w:after="280"/>
      <w:jc w:val="center"/>
      <w:outlineLvl w:val="0"/>
    </w:pPr>
    <w:rPr>
      <w:rFonts w:ascii="黑体" w:hAnsi="Times New Roman" w:eastAsia="黑体" w:cs="Times New Roman"/>
      <w:kern w:val="0"/>
      <w:szCs w:val="20"/>
    </w:rPr>
  </w:style>
  <w:style w:type="paragraph" w:customStyle="1" w:styleId="18">
    <w:name w:val="段"/>
    <w:qFormat/>
    <w:uiPriority w:val="0"/>
    <w:pPr>
      <w:autoSpaceDE w:val="0"/>
      <w:autoSpaceDN w:val="0"/>
      <w:ind w:firstLine="420" w:firstLineChars="200"/>
      <w:jc w:val="both"/>
    </w:pPr>
    <w:rPr>
      <w:rFonts w:ascii="宋体" w:hAnsiTheme="minorHAnsi" w:eastAsiaTheme="minorEastAsia" w:cstheme="minorBidi"/>
      <w:kern w:val="2"/>
      <w:sz w:val="21"/>
      <w:szCs w:val="22"/>
      <w:lang w:val="en-US" w:eastAsia="zh-CN" w:bidi="ar-SA"/>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 w:type="paragraph" w:customStyle="1" w:styleId="21">
    <w:name w:val="前言、引言标题"/>
    <w:next w:val="18"/>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
    <w:name w:val="章标题"/>
    <w:next w:val="18"/>
    <w:qFormat/>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24">
    <w:name w:val="章"/>
    <w:basedOn w:val="1"/>
    <w:next w:val="18"/>
    <w:qFormat/>
    <w:uiPriority w:val="0"/>
    <w:pPr>
      <w:adjustRightInd w:val="0"/>
      <w:spacing w:before="312" w:beforeLines="100" w:after="312" w:afterLines="100"/>
      <w:jc w:val="center"/>
      <w:outlineLvl w:val="0"/>
    </w:pPr>
    <w:rPr>
      <w:rFonts w:ascii="黑体" w:hAnsi="黑体" w:eastAsia="黑体" w:cs="Arial"/>
      <w:kern w:val="21"/>
      <w:szCs w:val="21"/>
    </w:rPr>
  </w:style>
  <w:style w:type="paragraph" w:customStyle="1" w:styleId="25">
    <w:name w:val="一级条标题"/>
    <w:next w:val="18"/>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26">
    <w:name w:val="术语名称"/>
    <w:qFormat/>
    <w:uiPriority w:val="0"/>
    <w:pPr>
      <w:ind w:firstLine="420" w:firstLineChars="200"/>
    </w:pPr>
    <w:rPr>
      <w:rFonts w:ascii="Times New Roman" w:hAnsi="Times New Roman" w:eastAsia="黑体" w:cs="Times New Roman"/>
      <w:snapToGrid w:val="0"/>
      <w:sz w:val="21"/>
      <w:szCs w:val="19"/>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152</Words>
  <Characters>273</Characters>
  <Lines>0</Lines>
  <Paragraphs>0</Paragraphs>
  <TotalTime>1</TotalTime>
  <ScaleCrop>false</ScaleCrop>
  <LinksUpToDate>false</LinksUpToDate>
  <CharactersWithSpaces>534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2025-02-18T01:35:00Z</dcterms:created>
  <dc:creator>TF</dc:creator>
  <cp:lastModifiedBy>陈静</cp:lastModifiedBy>
  <dcterms:modified xsi:type="dcterms:W3CDTF">2025-05-15T07:08:06Z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eyJoZGlkIjoiYmU0YmUzNzc3ZmVkNWNiMDhiYzI1MTI2MTQ2ZmNjMjciLCJ1c2VySWQiOiI0MTcxMDI0OTMifQ==</vt:lpwstr>
  </property>
  <property fmtid="{D5CDD505-2E9C-101B-9397-08002B2CF9AE}" pid="4" name="ICV">
    <vt:lpwstr>9312C6792E7C4F6195B42C3C7AC92FFA_12</vt:lpwstr>
  </property>
</Properties>
</file>