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pPr w:leftFromText="180" w:rightFromText="180" w:vertAnchor="text" w:tblpXSpec="center" w:tblpY="196"/>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39"/>
      </w:tblGrid>
      <w:tr w14:paraId="183AC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5" w:hRule="atLeast"/>
          <w:jc w:val="center"/>
        </w:trPr>
        <w:tc>
          <w:tcPr>
            <w:tcW w:w="8652" w:type="dxa"/>
            <w:vAlign w:val="center"/>
          </w:tcPr>
          <w:p w14:paraId="12291EE5">
            <w:pPr>
              <w:spacing w:line="360" w:lineRule="auto"/>
              <w:ind w:firstLine="241" w:firstLineChars="100"/>
              <w:jc w:val="left"/>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背景、意义及必要性</w:t>
            </w:r>
          </w:p>
          <w:p w14:paraId="415BF7DB">
            <w:pPr>
              <w:numPr>
                <w:ilvl w:val="0"/>
                <w:numId w:val="0"/>
              </w:numPr>
              <w:spacing w:line="360" w:lineRule="auto"/>
              <w:jc w:val="left"/>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kern w:val="2"/>
                <w:sz w:val="24"/>
                <w:szCs w:val="24"/>
                <w:lang w:val="en-US" w:eastAsia="zh-CN" w:bidi="ar-SA"/>
              </w:rPr>
              <w:t>一、</w:t>
            </w:r>
            <w:r>
              <w:rPr>
                <w:rFonts w:hint="eastAsia" w:ascii="Times New Roman" w:hAnsi="Times New Roman" w:eastAsia="宋体" w:cs="Times New Roman"/>
                <w:b/>
                <w:bCs/>
                <w:sz w:val="24"/>
                <w:szCs w:val="24"/>
                <w:lang w:val="en-US" w:eastAsia="zh-CN"/>
              </w:rPr>
              <w:t>背景</w:t>
            </w:r>
          </w:p>
          <w:p w14:paraId="427650C3">
            <w:pPr>
              <w:numPr>
                <w:ilvl w:val="0"/>
                <w:numId w:val="0"/>
              </w:numPr>
              <w:spacing w:line="360" w:lineRule="auto"/>
              <w:ind w:firstLine="420" w:firstLineChars="200"/>
              <w:jc w:val="left"/>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近年来，随着我国水利水电工程建设的快速推进，滑坡等地质灾害在水利水电工程项目中的危害逐渐引起了越来越多的关注。滑坡灾害不仅威胁着水利水电工程的结构安全和施工进度，还可能严重影响到周围地区的社会经济发展和人民群众的生命财产安全。因此，如何在滑坡发生前及时预警，确保项目建设的安全性，成为行业内亟待解决的重要问题。滑坡的发生往往与地质条件、气候变化、施工扰动等多种因素密切相关，而这些因素的复杂性和突发性使得滑坡灾害的预警工作具有较大的挑战性。因此，制定一套系统的滑坡预警技术</w:t>
            </w:r>
            <w:r>
              <w:rPr>
                <w:rFonts w:hint="eastAsia" w:ascii="Times New Roman" w:hAnsi="Times New Roman" w:eastAsia="宋体" w:cs="Times New Roman"/>
                <w:b w:val="0"/>
                <w:bCs w:val="0"/>
                <w:sz w:val="21"/>
                <w:szCs w:val="21"/>
                <w:lang w:val="en-US" w:eastAsia="zh-CN"/>
              </w:rPr>
              <w:t>规程</w:t>
            </w:r>
            <w:r>
              <w:rPr>
                <w:rFonts w:hint="default" w:ascii="Times New Roman" w:hAnsi="Times New Roman" w:eastAsia="宋体" w:cs="Times New Roman"/>
                <w:b w:val="0"/>
                <w:bCs w:val="0"/>
                <w:sz w:val="21"/>
                <w:szCs w:val="21"/>
                <w:lang w:val="en-US" w:eastAsia="zh-CN"/>
              </w:rPr>
              <w:t>，对于规范滑坡监测预警工作、提高工程抗灾能力、减少损失，具有重要的现实意义。</w:t>
            </w:r>
          </w:p>
          <w:p w14:paraId="282501F3">
            <w:pPr>
              <w:numPr>
                <w:ilvl w:val="0"/>
                <w:numId w:val="0"/>
              </w:numPr>
              <w:spacing w:line="360" w:lineRule="auto"/>
              <w:ind w:firstLine="420" w:firstLineChars="200"/>
              <w:jc w:val="left"/>
              <w:rPr>
                <w:rFonts w:hint="eastAsia"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随着水利水电工程建设的规模化、集约化和复杂化，滑坡灾害的防控工作需要依托先进的技术手段和科学的管理模式，才能有效实现。在这一背景下，滑坡预警技术的研究与应用成为了国内外水利水电工程行业的重要课题。现有的滑坡预警技术虽然在一定程度上得到了应用，但在工程实践中依然面临着监测数据不足、预警算法不成熟、预警信息传递不及时等问题。这些问题不仅影响了滑坡灾害的及时发现和应对，还加大了工程建设和运营中的安全风险。因此，为了填补现有技术和标准的空白，制定《水利水电工程滑坡预警技术</w:t>
            </w:r>
            <w:r>
              <w:rPr>
                <w:rFonts w:hint="eastAsia" w:ascii="Times New Roman" w:hAnsi="Times New Roman" w:eastAsia="宋体" w:cs="Times New Roman"/>
                <w:b w:val="0"/>
                <w:bCs w:val="0"/>
                <w:sz w:val="21"/>
                <w:szCs w:val="21"/>
                <w:lang w:val="en-US" w:eastAsia="zh-CN"/>
              </w:rPr>
              <w:t>规程</w:t>
            </w:r>
            <w:r>
              <w:rPr>
                <w:rFonts w:hint="default" w:ascii="Times New Roman" w:hAnsi="Times New Roman" w:eastAsia="宋体" w:cs="Times New Roman"/>
                <w:b w:val="0"/>
                <w:bCs w:val="0"/>
                <w:sz w:val="21"/>
                <w:szCs w:val="21"/>
                <w:lang w:val="en-US" w:eastAsia="zh-CN"/>
              </w:rPr>
              <w:t>》团体标准显得尤为迫切。通过科学的技术规范和标准的出台，可以有效指导工程实施单位建立完善的滑坡监测预警体系，提升滑坡灾害的早期识别与风险评估能力，确保水利水电工程在建设和运行过程中能够更好地应对滑坡灾害的挑战</w:t>
            </w:r>
            <w:r>
              <w:rPr>
                <w:rFonts w:hint="eastAsia" w:ascii="Times New Roman" w:hAnsi="Times New Roman" w:eastAsia="宋体" w:cs="Times New Roman"/>
                <w:b w:val="0"/>
                <w:bCs w:val="0"/>
                <w:sz w:val="21"/>
                <w:szCs w:val="21"/>
                <w:lang w:val="en-US" w:eastAsia="zh-CN"/>
              </w:rPr>
              <w:t>。</w:t>
            </w:r>
          </w:p>
          <w:p w14:paraId="61C4CFCC">
            <w:pPr>
              <w:numPr>
                <w:ilvl w:val="0"/>
                <w:numId w:val="0"/>
              </w:numPr>
              <w:spacing w:line="360" w:lineRule="auto"/>
              <w:jc w:val="left"/>
              <w:rPr>
                <w:rFonts w:hint="eastAsia" w:ascii="Times New Roman" w:hAnsi="Times New Roman" w:eastAsia="宋体" w:cs="Times New Roman"/>
                <w:b/>
                <w:bCs/>
                <w:kern w:val="2"/>
                <w:sz w:val="24"/>
                <w:szCs w:val="24"/>
                <w:lang w:val="en-US" w:eastAsia="zh-CN" w:bidi="ar-SA"/>
              </w:rPr>
            </w:pPr>
            <w:r>
              <w:rPr>
                <w:rFonts w:hint="eastAsia" w:ascii="Times New Roman" w:hAnsi="Times New Roman" w:eastAsia="宋体" w:cs="Times New Roman"/>
                <w:b/>
                <w:bCs/>
                <w:kern w:val="2"/>
                <w:sz w:val="24"/>
                <w:szCs w:val="24"/>
                <w:lang w:val="en-US" w:eastAsia="zh-CN" w:bidi="ar-SA"/>
              </w:rPr>
              <w:t>二、意义及必要性</w:t>
            </w:r>
          </w:p>
          <w:p w14:paraId="7274D261">
            <w:pPr>
              <w:numPr>
                <w:ilvl w:val="0"/>
                <w:numId w:val="0"/>
              </w:numPr>
              <w:spacing w:line="360" w:lineRule="auto"/>
              <w:jc w:val="left"/>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2.1 行业、技术及市场方面情况</w:t>
            </w:r>
          </w:p>
          <w:p w14:paraId="6B5F2E87">
            <w:pPr>
              <w:numPr>
                <w:ilvl w:val="0"/>
                <w:numId w:val="0"/>
              </w:numPr>
              <w:spacing w:line="360" w:lineRule="auto"/>
              <w:ind w:firstLine="420" w:firstLineChars="200"/>
              <w:jc w:val="left"/>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随着我国水利水电工程建设的快速发展，滑坡灾害逐渐成为影响工程安全与运行的重要因素。水利水电工程的特殊地理位置、复杂的地质结构、以及水流、气候等自然因素使得滑坡灾害发生的概率较高。尤其是在山区、丘陵地带，滑坡现象更为常见，且对水利水电工程带来的风险较大。根据近年来国内外滑坡灾害案例，滑坡发生对水库大坝、引水渠、输电线路等设施造成了严重的安全威胁，甚至在一些地区还导致了人员伤亡和财产损失。滑坡不仅直接威胁工程建设的安全，也会影响水资源的调度和供应，甚至危及下游的生命财产安全。</w:t>
            </w:r>
          </w:p>
          <w:p w14:paraId="633E149A">
            <w:pPr>
              <w:numPr>
                <w:ilvl w:val="0"/>
                <w:numId w:val="0"/>
              </w:numPr>
              <w:spacing w:line="360" w:lineRule="auto"/>
              <w:ind w:firstLine="420" w:firstLineChars="200"/>
              <w:jc w:val="left"/>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在当前的水利水电工程项目中，滑坡预警技术的应用尚不普遍，许多工程项目对滑坡灾害的预警和预防能力不足。滑坡的发生往往具有突发性，且在初期难以通过人工目视或常规手段发现，因此缺乏及时有效的预警体系，容易导致滑坡灾害造成较大损失。现有的滑坡监测技术、预警模型和数据分析方法大多处于实验室或局部项目应用阶段，尚未形成系统的、成熟的技术体系。市场上对滑坡灾害的管理需求急剧增加，特别是对于国家重点水利水电工程项目，如何提高工程安全性、降低滑坡灾害的损失，成为行业亟需解决的关键问题。</w:t>
            </w:r>
          </w:p>
          <w:p w14:paraId="4513E005">
            <w:pPr>
              <w:numPr>
                <w:ilvl w:val="0"/>
                <w:numId w:val="0"/>
              </w:numPr>
              <w:spacing w:line="360" w:lineRule="auto"/>
              <w:jc w:val="left"/>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2.2 国内外研究情况</w:t>
            </w:r>
          </w:p>
          <w:p w14:paraId="1C6E1687">
            <w:pPr>
              <w:numPr>
                <w:ilvl w:val="0"/>
                <w:numId w:val="0"/>
              </w:numPr>
              <w:spacing w:line="360" w:lineRule="auto"/>
              <w:ind w:firstLine="420" w:firstLineChars="200"/>
              <w:jc w:val="left"/>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在国内外，滑坡灾害的监测和预警技术的研究已经取得了许多成果，但整体水平仍存在较大差距。国际上，发达国家如美国、加拿大、日本和瑞士等，已经积累了丰富的滑坡监测经验和技术。以日本为例，该国针对滑坡灾害的监测体系非常完善，采用了多种监测手段，包括地面变形监测、遥感技术、气象监测等，建立了基于GIS平台的滑坡监控系统，并在多种气候和地质条件下取得了较好的预警效果。美国则主要依靠高精度地震仪器和地质雷达，结合人工智能算法对滑坡进行监测和分析。</w:t>
            </w:r>
          </w:p>
          <w:p w14:paraId="6F7A8B48">
            <w:pPr>
              <w:numPr>
                <w:ilvl w:val="0"/>
                <w:numId w:val="0"/>
              </w:numPr>
              <w:spacing w:line="360" w:lineRule="auto"/>
              <w:ind w:firstLine="420" w:firstLineChars="200"/>
              <w:jc w:val="left"/>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然而，尽管国外已有一定的滑坡预警技术积累，但许多技术无法直接适应我国的地质和水利水电工程建设特点。在我国，滑坡灾害的防治仍处于起步阶段，相关的技术标准和实施规范并不完备。国内的研究大多集中在滑坡灾害的地质成因分析、滑坡监测技术的选择以及滑坡稳定性评价等方面，但尚缺乏系统的预警技术指导。多数水利水电工程项目仍停留在传统的人工监测和基本的地质勘查阶段，缺乏有效的技术手段来进行滑坡灾害的早期预测和实时预警。</w:t>
            </w:r>
          </w:p>
          <w:p w14:paraId="6E70A3D5">
            <w:pPr>
              <w:numPr>
                <w:ilvl w:val="0"/>
                <w:numId w:val="0"/>
              </w:numPr>
              <w:spacing w:line="360" w:lineRule="auto"/>
              <w:jc w:val="left"/>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2.3 技术稳定性及未来发展趋势</w:t>
            </w:r>
          </w:p>
          <w:p w14:paraId="75CC2265">
            <w:pPr>
              <w:numPr>
                <w:ilvl w:val="0"/>
                <w:numId w:val="0"/>
              </w:numPr>
              <w:spacing w:line="360" w:lineRule="auto"/>
              <w:ind w:firstLine="420" w:firstLineChars="200"/>
              <w:jc w:val="left"/>
              <w:rPr>
                <w:rFonts w:hint="eastAsia"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滑坡预警技术的稳定性和持续发展是其广泛应用的关键。随着信息技术和传感技术的不断发展，滑坡预警技术将会经历从单一监测手段向多元化、综合化发展的趋势。现有的滑坡监测技术主要依靠地面变形监测、气象数据分析、遥感技术等手段，但这些技术在实践中仍面临诸多挑战，如设备成本高、监测数据精准度不足、实时性差等问题。因此，未来滑坡预警技术的发展方向将集中在以下几个方面：首先，传感器的精准度和数据采集技术将持续提高，结合现代物联网技术，实时获取和传输滑坡相关数据。其次，随着大数据和人工智能技术的成熟，预警模型将逐渐从基于传统算法向智能化、自动化发展，能够通过大数据分析提前识别滑坡的发生趋势，提高预警的准确性。第三，随着智能化和自动化技术的发展，未来滑坡预警系统将更加便于操作，并能与其他灾害预警系统如地震、洪水等相互配合，形成多灾种综合预警体系。最后，集成化的滑坡监测与预警平台将成为未来发展的趋势，为各类水利水电工程项目提供一站式的滑坡灾害预警服务</w:t>
            </w:r>
            <w:r>
              <w:rPr>
                <w:rFonts w:hint="eastAsia" w:ascii="Times New Roman" w:hAnsi="Times New Roman" w:eastAsia="宋体" w:cs="Times New Roman"/>
                <w:b w:val="0"/>
                <w:bCs w:val="0"/>
                <w:sz w:val="21"/>
                <w:szCs w:val="21"/>
                <w:lang w:val="en-US" w:eastAsia="zh-CN"/>
              </w:rPr>
              <w:t>。</w:t>
            </w:r>
          </w:p>
          <w:p w14:paraId="51C32190">
            <w:pPr>
              <w:numPr>
                <w:ilvl w:val="0"/>
                <w:numId w:val="0"/>
              </w:numPr>
              <w:spacing w:line="360" w:lineRule="auto"/>
              <w:jc w:val="left"/>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2.4 项目目的、意义及作用</w:t>
            </w:r>
          </w:p>
          <w:p w14:paraId="46F2FAD4">
            <w:pPr>
              <w:numPr>
                <w:ilvl w:val="0"/>
                <w:numId w:val="0"/>
              </w:numPr>
              <w:spacing w:line="360" w:lineRule="auto"/>
              <w:ind w:firstLine="420" w:firstLineChars="200"/>
              <w:jc w:val="left"/>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《水利水电工程滑坡预警技术</w:t>
            </w:r>
            <w:r>
              <w:rPr>
                <w:rFonts w:hint="eastAsia" w:ascii="Times New Roman" w:hAnsi="Times New Roman" w:eastAsia="宋体" w:cs="Times New Roman"/>
                <w:b w:val="0"/>
                <w:bCs w:val="0"/>
                <w:sz w:val="21"/>
                <w:szCs w:val="21"/>
                <w:lang w:val="en-US" w:eastAsia="zh-CN"/>
              </w:rPr>
              <w:t>规程</w:t>
            </w:r>
            <w:r>
              <w:rPr>
                <w:rFonts w:hint="default" w:ascii="Times New Roman" w:hAnsi="Times New Roman" w:eastAsia="宋体" w:cs="Times New Roman"/>
                <w:b w:val="0"/>
                <w:bCs w:val="0"/>
                <w:sz w:val="21"/>
                <w:szCs w:val="21"/>
                <w:lang w:val="en-US" w:eastAsia="zh-CN"/>
              </w:rPr>
              <w:t>》团体标准的制定，旨在规范和推动水利水电工程领域滑坡灾害预警技术的标准化建设。其主要目的是为水利水电工程项目提供一套系统化、科学化的滑坡预警技术指导，以确保在滑坡灾害发生之前能够及时进行预警，减少灾害带来的损失。</w:t>
            </w:r>
          </w:p>
          <w:p w14:paraId="546F9348">
            <w:pPr>
              <w:numPr>
                <w:ilvl w:val="0"/>
                <w:numId w:val="0"/>
              </w:numPr>
              <w:spacing w:line="360" w:lineRule="auto"/>
              <w:ind w:firstLine="420" w:firstLineChars="200"/>
              <w:jc w:val="left"/>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首先，制定这一标准能够规范滑坡灾害的监测与预警工作，提供统一的技术框架，明确各类技术手段和方法的使用规范，确保项目在滑坡灾害的风险评估和预警过程中，能够按照标准操作，避免技术操作中的随意性和盲目性。其次，该标准的出台将有助于提升水利水电工程项目的安全性，保障工程建设和运营的顺利进行，减少由滑坡引发的安全事故。再次，该标准有助于技术创新和技术转化的推动，进一步完善我国滑坡灾害防控体系。</w:t>
            </w:r>
          </w:p>
          <w:p w14:paraId="48378476">
            <w:pPr>
              <w:numPr>
                <w:ilvl w:val="0"/>
                <w:numId w:val="0"/>
              </w:numPr>
              <w:spacing w:line="360" w:lineRule="auto"/>
              <w:ind w:firstLine="420" w:firstLineChars="200"/>
              <w:jc w:val="left"/>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此外，制定《水利水电工程滑坡预警技术</w:t>
            </w:r>
            <w:r>
              <w:rPr>
                <w:rFonts w:hint="eastAsia" w:ascii="Times New Roman" w:hAnsi="Times New Roman" w:eastAsia="宋体" w:cs="Times New Roman"/>
                <w:b w:val="0"/>
                <w:bCs w:val="0"/>
                <w:sz w:val="21"/>
                <w:szCs w:val="21"/>
                <w:lang w:val="en-US" w:eastAsia="zh-CN"/>
              </w:rPr>
              <w:t>规程</w:t>
            </w:r>
            <w:r>
              <w:rPr>
                <w:rFonts w:hint="default" w:ascii="Times New Roman" w:hAnsi="Times New Roman" w:eastAsia="宋体" w:cs="Times New Roman"/>
                <w:b w:val="0"/>
                <w:bCs w:val="0"/>
                <w:sz w:val="21"/>
                <w:szCs w:val="21"/>
                <w:lang w:val="en-US" w:eastAsia="zh-CN"/>
              </w:rPr>
              <w:t>》还能够增强行业内从业人员的专业能力和技术水平，提高工程建设单位对滑坡灾害的防范意识，促使工程项目在规划、设计、施工和运营过程中更加注重灾害风险的管理与控制。这对提升我国水利水电工程的整体抗灾能力、保障人民生命财产安全具有重要的现实意义和长远的社会价值。</w:t>
            </w:r>
          </w:p>
          <w:p w14:paraId="7F1AF09B">
            <w:pPr>
              <w:numPr>
                <w:ilvl w:val="0"/>
                <w:numId w:val="0"/>
              </w:numPr>
              <w:spacing w:line="360" w:lineRule="auto"/>
              <w:jc w:val="left"/>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2.5 解决的问题</w:t>
            </w:r>
          </w:p>
          <w:p w14:paraId="0D6851A5">
            <w:pPr>
              <w:numPr>
                <w:ilvl w:val="0"/>
                <w:numId w:val="0"/>
              </w:numPr>
              <w:spacing w:line="360" w:lineRule="auto"/>
              <w:ind w:firstLine="420" w:firstLineChars="200"/>
              <w:jc w:val="left"/>
              <w:rPr>
                <w:rFonts w:hint="eastAsia"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《水利水电工程滑坡预警技术</w:t>
            </w:r>
            <w:r>
              <w:rPr>
                <w:rFonts w:hint="eastAsia" w:ascii="Times New Roman" w:hAnsi="Times New Roman" w:eastAsia="宋体" w:cs="Times New Roman"/>
                <w:b w:val="0"/>
                <w:bCs w:val="0"/>
                <w:sz w:val="21"/>
                <w:szCs w:val="21"/>
                <w:lang w:val="en-US" w:eastAsia="zh-CN"/>
              </w:rPr>
              <w:t>规程</w:t>
            </w:r>
            <w:r>
              <w:rPr>
                <w:rFonts w:hint="default" w:ascii="Times New Roman" w:hAnsi="Times New Roman" w:eastAsia="宋体" w:cs="Times New Roman"/>
                <w:b w:val="0"/>
                <w:bCs w:val="0"/>
                <w:sz w:val="21"/>
                <w:szCs w:val="21"/>
                <w:lang w:val="en-US" w:eastAsia="zh-CN"/>
              </w:rPr>
              <w:t>》团体标准的制定，主要解决了以下几个问题：首先，解决了滑坡灾害预警技术缺乏统一规范的问题。目前，国内水利水电工程中，滑坡预警技术并未形成统一的标准和规范，不同项目在预警技术应用上存在较大差异，往往依赖个人经验和传统手段，导致预警效果不佳。通过该标准的制定，能够明确不同类型工程中滑坡预警的技术要求和实施步骤，确保技术操作的统一性和科学性。其次，解决了滑坡灾害监测数据获取不及时、数据分析不精准的问题。该标准引入了现代信息技术，如大数据、物联网和云计算技术，为滑坡监测和预警提供了更为精准的数据支持，提升了预警系统的反应速度和预警准确度。再次，该标准通过优化滑坡监测和预警流程，解决了滑坡预警技术体系不完善的问题，促使滑坡灾害预警系统向智能化、自动化发展，增强了滑坡灾害的防控能力。最终，该标准的实施将促进滑坡灾害的早期预警和及时响应，为水利水电工程的安全运行提供技术保障</w:t>
            </w:r>
            <w:r>
              <w:rPr>
                <w:rFonts w:hint="eastAsia" w:ascii="Times New Roman" w:hAnsi="Times New Roman" w:eastAsia="宋体" w:cs="Times New Roman"/>
                <w:b w:val="0"/>
                <w:bCs w:val="0"/>
                <w:sz w:val="21"/>
                <w:szCs w:val="21"/>
                <w:lang w:val="en-US" w:eastAsia="zh-CN"/>
              </w:rPr>
              <w:t>。</w:t>
            </w:r>
          </w:p>
          <w:p w14:paraId="39F656CE">
            <w:pPr>
              <w:numPr>
                <w:ilvl w:val="0"/>
                <w:numId w:val="0"/>
              </w:numPr>
              <w:spacing w:line="360" w:lineRule="auto"/>
              <w:jc w:val="left"/>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2.6 经济效益、社会效益和生态效益</w:t>
            </w:r>
          </w:p>
          <w:p w14:paraId="30E019D9">
            <w:pPr>
              <w:numPr>
                <w:ilvl w:val="0"/>
                <w:numId w:val="0"/>
              </w:numPr>
              <w:spacing w:line="360" w:lineRule="auto"/>
              <w:ind w:firstLine="420" w:firstLineChars="200"/>
              <w:jc w:val="left"/>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制定《水利水电工程滑坡预警技术</w:t>
            </w:r>
            <w:r>
              <w:rPr>
                <w:rFonts w:hint="eastAsia" w:ascii="Times New Roman" w:hAnsi="Times New Roman" w:eastAsia="宋体" w:cs="Times New Roman"/>
                <w:b w:val="0"/>
                <w:bCs w:val="0"/>
                <w:sz w:val="21"/>
                <w:szCs w:val="21"/>
                <w:lang w:val="en-US" w:eastAsia="zh-CN"/>
              </w:rPr>
              <w:t>规程</w:t>
            </w:r>
            <w:r>
              <w:rPr>
                <w:rFonts w:hint="default" w:ascii="Times New Roman" w:hAnsi="Times New Roman" w:eastAsia="宋体" w:cs="Times New Roman"/>
                <w:b w:val="0"/>
                <w:bCs w:val="0"/>
                <w:sz w:val="21"/>
                <w:szCs w:val="21"/>
                <w:lang w:val="en-US" w:eastAsia="zh-CN"/>
              </w:rPr>
              <w:t>》团体标准，将带来显著的经济效益、社会效益和生态效益。从经济效益来看，通过规范滑坡预警技术的实施，可以有效减少滑坡灾害对水利水电工程的损害，减少因滑坡造成的维修和重建成本，进而节约大量的资金投入。同时，避免滑坡灾害引发的经济损失，特别是在水电站、水库和其他重要基础设施方面，确保工程正常运营带来稳定的经济收益。</w:t>
            </w:r>
          </w:p>
          <w:p w14:paraId="6DEF67E7">
            <w:pPr>
              <w:numPr>
                <w:ilvl w:val="0"/>
                <w:numId w:val="0"/>
              </w:numPr>
              <w:spacing w:line="360" w:lineRule="auto"/>
              <w:ind w:firstLine="420" w:firstLineChars="200"/>
              <w:jc w:val="left"/>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从社会效益角度看，标准的制定和实施有助于提高水利水电工程的安全性，减少由滑坡灾害带来的人员伤亡和财产损失，保护人民群众的生命安全。同时，通过规范化的技术指导，提升了行业的整体管理水平和技术能力，有助于提升工程项目的安全监管水平。通过提高滑坡预警能力，确保水利水电项目建设和运营的安全性，有助于推动我国绿色低碳发展的战略实施，确保社会可持续发展。</w:t>
            </w:r>
          </w:p>
          <w:p w14:paraId="1A1EA1F7">
            <w:pPr>
              <w:numPr>
                <w:ilvl w:val="0"/>
                <w:numId w:val="0"/>
              </w:numPr>
              <w:spacing w:line="360" w:lineRule="auto"/>
              <w:ind w:firstLine="420" w:firstLineChars="200"/>
              <w:jc w:val="left"/>
              <w:rPr>
                <w:rFonts w:hint="eastAsia"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从生态效益来看，滑坡灾害不仅影响工程设施，也可能造成生态环境的严重破坏，如土壤侵蚀、植被破坏等。通过有效的滑坡预警系统，提前进行灾害防控，能够减少滑坡灾害对自然生态环境的破坏，有助于维护生态平衡，促进生态环境的恢复和可持续发展。因此，滑坡预警技术的推广应用，不仅具有直接的经济和社会价值，还将为生态保护做出贡献</w:t>
            </w:r>
            <w:r>
              <w:rPr>
                <w:rFonts w:hint="eastAsia" w:ascii="Times New Roman" w:hAnsi="Times New Roman" w:eastAsia="宋体" w:cs="Times New Roman"/>
                <w:b w:val="0"/>
                <w:bCs w:val="0"/>
                <w:sz w:val="21"/>
                <w:szCs w:val="21"/>
                <w:lang w:val="en-US" w:eastAsia="zh-CN"/>
              </w:rPr>
              <w:t>。</w:t>
            </w:r>
          </w:p>
          <w:p w14:paraId="319AA46D">
            <w:pPr>
              <w:numPr>
                <w:ilvl w:val="0"/>
                <w:numId w:val="0"/>
              </w:numPr>
              <w:spacing w:line="360" w:lineRule="auto"/>
              <w:jc w:val="left"/>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bCs/>
                <w:sz w:val="21"/>
                <w:szCs w:val="21"/>
                <w:lang w:val="en-US" w:eastAsia="zh-CN"/>
              </w:rPr>
              <w:t>2.7 立项的必要性和可行性</w:t>
            </w:r>
          </w:p>
          <w:p w14:paraId="26631BC1">
            <w:pPr>
              <w:numPr>
                <w:ilvl w:val="0"/>
                <w:numId w:val="0"/>
              </w:numPr>
              <w:spacing w:line="360" w:lineRule="auto"/>
              <w:ind w:firstLine="422" w:firstLineChars="200"/>
              <w:jc w:val="left"/>
              <w:rPr>
                <w:rFonts w:hint="default"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必要性</w:t>
            </w:r>
          </w:p>
          <w:p w14:paraId="6ADB88DB">
            <w:pPr>
              <w:ind w:firstLine="420" w:firstLineChars="200"/>
              <w:jc w:val="left"/>
              <w:rPr>
                <w:rFonts w:hint="eastAsia" w:ascii="Times New Roman" w:hAnsi="Times New Roman" w:eastAsia="宋体" w:cs="Times New Roman"/>
                <w:szCs w:val="21"/>
                <w:lang w:eastAsia="zh-CN"/>
              </w:rPr>
            </w:pPr>
            <w:r>
              <w:rPr>
                <w:rFonts w:hint="eastAsia" w:ascii="Times New Roman" w:hAnsi="Times New Roman" w:eastAsia="宋体" w:cs="Times New Roman"/>
                <w:szCs w:val="21"/>
                <w:lang w:val="en-US" w:eastAsia="zh-CN"/>
              </w:rPr>
              <w:t>随</w:t>
            </w:r>
            <w:r>
              <w:rPr>
                <w:rFonts w:hint="eastAsia" w:ascii="Times New Roman" w:hAnsi="Times New Roman" w:eastAsia="宋体" w:cs="Times New Roman"/>
                <w:szCs w:val="21"/>
              </w:rPr>
              <w:t>着我国水利水电工程建设的规模和复杂性的不断提升，滑坡等地质灾害成为工程安全管理中的重要挑战。滑坡灾害不仅对工程本身带来严重威胁，还可能导致人员伤亡和巨大的财产损失，特别是在山区、丘陵等滑坡易发区域，水利水电工程面临的滑坡风险尤为突出。现有的滑坡监测和预警技术体系尚不完善，行业内缺乏统一的技术规范和标准，导致滑坡灾害预警难以及时、准确地实施，增加了防灾减灾的难度。因此，制定《水利水电工程滑坡预警技术</w:t>
            </w:r>
            <w:r>
              <w:rPr>
                <w:rFonts w:hint="eastAsia" w:ascii="Times New Roman" w:hAnsi="Times New Roman" w:eastAsia="宋体" w:cs="Times New Roman"/>
                <w:szCs w:val="21"/>
                <w:lang w:val="en-US" w:eastAsia="zh-CN"/>
              </w:rPr>
              <w:t>规程</w:t>
            </w:r>
            <w:r>
              <w:rPr>
                <w:rFonts w:hint="eastAsia" w:ascii="Times New Roman" w:hAnsi="Times New Roman" w:eastAsia="宋体" w:cs="Times New Roman"/>
                <w:szCs w:val="21"/>
              </w:rPr>
              <w:t>》团体标准，能够填补这一技术空白，为滑坡监测和预警提供统一规范，确保工程建设和运营中能够及时识别并有效应对滑坡灾害，减少潜在的损失，保障工程安全运行。此外，滑坡预警技术的标准化不仅有助于提升行业的技术水平，还能推动滑坡灾害防控技术的创新和应用，进一步加强水利水电工程领域的风险管理能力</w:t>
            </w:r>
            <w:r>
              <w:rPr>
                <w:rFonts w:hint="eastAsia" w:ascii="Times New Roman" w:hAnsi="Times New Roman" w:eastAsia="宋体" w:cs="Times New Roman"/>
                <w:szCs w:val="21"/>
                <w:lang w:eastAsia="zh-CN"/>
              </w:rPr>
              <w:t>。</w:t>
            </w:r>
          </w:p>
          <w:p w14:paraId="1F92B6E6">
            <w:pPr>
              <w:ind w:firstLine="422" w:firstLineChars="200"/>
              <w:jc w:val="left"/>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可行性</w:t>
            </w:r>
          </w:p>
          <w:p w14:paraId="5AB4BB39">
            <w:pPr>
              <w:ind w:firstLine="420" w:firstLineChars="200"/>
              <w:jc w:val="left"/>
              <w:rPr>
                <w:rFonts w:hint="eastAsia"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制定《水利水电工程滑坡预警技术</w:t>
            </w:r>
            <w:r>
              <w:rPr>
                <w:rFonts w:hint="eastAsia" w:ascii="Times New Roman" w:hAnsi="Times New Roman" w:eastAsia="宋体" w:cs="Times New Roman"/>
                <w:szCs w:val="21"/>
                <w:lang w:val="en-US" w:eastAsia="zh-CN"/>
              </w:rPr>
              <w:t>规程</w:t>
            </w:r>
            <w:r>
              <w:rPr>
                <w:rFonts w:hint="default" w:ascii="Times New Roman" w:hAnsi="Times New Roman" w:eastAsia="宋体" w:cs="Times New Roman"/>
                <w:szCs w:val="21"/>
                <w:lang w:val="en-US" w:eastAsia="zh-CN"/>
              </w:rPr>
              <w:t>》团体标准具有充分的可行性。首先，国内在滑坡监测、遥感技术、地质雷达、传感器等领域已有一定的技术积累，技术基础扎实，且随着信息技术和大数据应用的不断发展，滑坡监测的实时性和精准度显著提高，具备了制定标准的技术支撑。其次，国家和地方政府对滑坡灾害防控愈发重视，相关政策和法规逐步完善，为标准的制定提供了政策支持。同时，行业内对滑坡灾害预警技术的需求越来越迫切，水利水电工程项目对该技术的应用已逐步成为安全管理的重要环节。再者，国内外技术专家和相关团队积累了丰富的研究成果，能够为标准的编制提供科学依据，并确保其技术性和实践性。最后，结合国际经验和国内实际需求，可以制定出符合我国国情的滑坡预警技术标准，推动水利水电工程滑坡灾害的有效防控，提升整体行业技术水平</w:t>
            </w:r>
            <w:r>
              <w:rPr>
                <w:rFonts w:hint="eastAsia" w:ascii="Times New Roman" w:hAnsi="Times New Roman" w:eastAsia="宋体" w:cs="Times New Roman"/>
                <w:szCs w:val="21"/>
                <w:lang w:val="en-US" w:eastAsia="zh-CN"/>
              </w:rPr>
              <w:t>。</w:t>
            </w:r>
          </w:p>
          <w:p w14:paraId="284BD746">
            <w:pPr>
              <w:numPr>
                <w:ilvl w:val="0"/>
                <w:numId w:val="0"/>
              </w:numPr>
              <w:jc w:val="left"/>
              <w:rPr>
                <w:rFonts w:hint="default" w:ascii="Times New Roman" w:hAnsi="Times New Roman" w:eastAsia="宋体" w:cs="Times New Roman"/>
                <w:b/>
                <w:bCs/>
                <w:kern w:val="2"/>
                <w:sz w:val="24"/>
                <w:szCs w:val="24"/>
                <w:lang w:val="en-US" w:eastAsia="zh-CN" w:bidi="ar-SA"/>
              </w:rPr>
            </w:pPr>
            <w:r>
              <w:rPr>
                <w:rFonts w:hint="eastAsia" w:ascii="Times New Roman" w:hAnsi="Times New Roman" w:eastAsia="宋体" w:cs="Times New Roman"/>
                <w:b/>
                <w:bCs/>
                <w:kern w:val="2"/>
                <w:sz w:val="24"/>
                <w:szCs w:val="24"/>
                <w:lang w:val="en-US" w:eastAsia="zh-CN" w:bidi="ar-SA"/>
              </w:rPr>
              <w:t>三、</w:t>
            </w:r>
            <w:r>
              <w:rPr>
                <w:rFonts w:hint="default" w:ascii="Times New Roman" w:hAnsi="Times New Roman" w:eastAsia="宋体" w:cs="Times New Roman"/>
                <w:b/>
                <w:bCs/>
                <w:kern w:val="2"/>
                <w:sz w:val="24"/>
                <w:szCs w:val="24"/>
                <w:lang w:val="en-US" w:eastAsia="zh-CN" w:bidi="ar-SA"/>
              </w:rPr>
              <w:t>项目与国际标准或国外先进标准采用程度的说明</w:t>
            </w:r>
          </w:p>
          <w:p w14:paraId="5DCC5DE4">
            <w:pPr>
              <w:numPr>
                <w:ilvl w:val="0"/>
                <w:numId w:val="0"/>
              </w:numPr>
              <w:spacing w:line="360" w:lineRule="auto"/>
              <w:jc w:val="left"/>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3.1 是否有对应的国际/国外先进标准</w:t>
            </w:r>
          </w:p>
          <w:p w14:paraId="2E252F72">
            <w:pPr>
              <w:numPr>
                <w:ilvl w:val="0"/>
                <w:numId w:val="0"/>
              </w:numPr>
              <w:ind w:firstLine="420" w:firstLineChars="200"/>
              <w:jc w:val="left"/>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szCs w:val="21"/>
                <w:lang w:val="en-US" w:eastAsia="zh-CN"/>
              </w:rPr>
              <w:t>在水利水电工程滑坡预警技术领域，虽然具体的国际标准或国外先进标准可能未形成统一的体系化文件，但国际上对于滑坡预警技术有着广泛的研究和实践。一些发达国家如美国、欧洲等，在其水利工程和</w:t>
            </w:r>
            <w:r>
              <w:rPr>
                <w:rFonts w:hint="eastAsia" w:ascii="Times New Roman" w:hAnsi="Times New Roman" w:eastAsia="宋体" w:cs="Times New Roman"/>
                <w:szCs w:val="21"/>
                <w:lang w:val="en-US" w:eastAsia="zh-CN"/>
              </w:rPr>
              <w:t>水电</w:t>
            </w:r>
            <w:r>
              <w:rPr>
                <w:rFonts w:hint="default" w:ascii="Times New Roman" w:hAnsi="Times New Roman" w:eastAsia="宋体" w:cs="Times New Roman"/>
                <w:szCs w:val="21"/>
                <w:lang w:val="en-US" w:eastAsia="zh-CN"/>
              </w:rPr>
              <w:t>工程领域，对于滑坡预警技术等方面提供了详细的要求和建议。</w:t>
            </w:r>
            <w:r>
              <w:rPr>
                <w:rFonts w:hint="default" w:ascii="Times New Roman" w:hAnsi="Times New Roman" w:eastAsia="宋体" w:cs="Times New Roman"/>
                <w:b/>
                <w:bCs/>
                <w:sz w:val="21"/>
                <w:szCs w:val="21"/>
                <w:lang w:val="en-US" w:eastAsia="zh-CN"/>
              </w:rPr>
              <w:t>3.2 项目与之对比情况及采标问题考虑</w:t>
            </w:r>
          </w:p>
          <w:p w14:paraId="7DC77052">
            <w:pPr>
              <w:ind w:firstLine="420" w:firstLineChars="200"/>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水利水电工程特定要求：该标准将专门针对水利水电工程在滑坡灾害防控中的特殊需求，提供专门的技术指导和预警模型，确保水利水电项目能够应对其特有的风险。</w:t>
            </w:r>
          </w:p>
          <w:p w14:paraId="0A410345">
            <w:pPr>
              <w:ind w:firstLine="420" w:firstLineChars="200"/>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智能化和实时性：当前大多数标准依赖传统的监测技术和人工分析方法，缺乏实时监测和智能分析功能。《水利水电工程滑坡预警技术</w:t>
            </w:r>
            <w:r>
              <w:rPr>
                <w:rFonts w:hint="eastAsia" w:ascii="Times New Roman" w:hAnsi="Times New Roman" w:eastAsia="宋体" w:cs="Times New Roman"/>
                <w:szCs w:val="21"/>
                <w:lang w:val="en-US" w:eastAsia="zh-CN"/>
              </w:rPr>
              <w:t>规程</w:t>
            </w:r>
            <w:r>
              <w:rPr>
                <w:rFonts w:hint="default" w:ascii="Times New Roman" w:hAnsi="Times New Roman" w:eastAsia="宋体" w:cs="Times New Roman"/>
                <w:szCs w:val="21"/>
                <w:lang w:val="en-US" w:eastAsia="zh-CN"/>
              </w:rPr>
              <w:t>》将融入现代信息技术，如物联网、大数据、人工智能等，提升监测数据的实时性和精度，并通过智能分析模型进行预警。</w:t>
            </w:r>
          </w:p>
          <w:p w14:paraId="60F18499">
            <w:pPr>
              <w:ind w:firstLine="420" w:firstLineChars="200"/>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系统化与综合性：现有的标准大多局限于单一的监测技术或应急响应机制，而该标准将综合地质勘查、滑坡监测、数据采集、分析算法、预警机制等多个方面，形成一个系统化的滑坡预警体系。</w:t>
            </w:r>
          </w:p>
          <w:p w14:paraId="263D5ABD">
            <w:pPr>
              <w:ind w:firstLine="420" w:firstLineChars="200"/>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在采标问题上，本项目在充分借鉴国际标准或国外先进标准的基础上，结合国内水利水</w:t>
            </w:r>
          </w:p>
          <w:p w14:paraId="107AAF82">
            <w:pPr>
              <w:ind w:firstLine="0" w:firstLineChars="0"/>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电工程的实际情况，进行了适当的修改和完善，以确保标准的适用性和可操作性。</w:t>
            </w:r>
          </w:p>
          <w:p w14:paraId="4A9E6DFB">
            <w:pPr>
              <w:numPr>
                <w:ilvl w:val="0"/>
                <w:numId w:val="0"/>
              </w:numPr>
              <w:jc w:val="left"/>
              <w:rPr>
                <w:rFonts w:hint="default" w:ascii="Times New Roman" w:hAnsi="Times New Roman" w:eastAsia="宋体" w:cs="Times New Roman"/>
                <w:b/>
                <w:bCs/>
                <w:kern w:val="2"/>
                <w:sz w:val="24"/>
                <w:szCs w:val="24"/>
                <w:lang w:val="en-US" w:eastAsia="zh-CN" w:bidi="ar-SA"/>
              </w:rPr>
            </w:pPr>
            <w:r>
              <w:rPr>
                <w:rFonts w:hint="eastAsia" w:ascii="Times New Roman" w:hAnsi="Times New Roman" w:eastAsia="宋体" w:cs="Times New Roman"/>
                <w:b/>
                <w:bCs/>
                <w:kern w:val="2"/>
                <w:sz w:val="24"/>
                <w:szCs w:val="24"/>
                <w:lang w:val="en-US" w:eastAsia="zh-CN" w:bidi="ar-SA"/>
              </w:rPr>
              <w:t>四、</w:t>
            </w:r>
            <w:r>
              <w:rPr>
                <w:rFonts w:hint="default" w:ascii="Times New Roman" w:hAnsi="Times New Roman" w:eastAsia="宋体" w:cs="Times New Roman"/>
                <w:b/>
                <w:bCs/>
                <w:kern w:val="2"/>
                <w:sz w:val="24"/>
                <w:szCs w:val="24"/>
                <w:lang w:val="en-US" w:eastAsia="zh-CN" w:bidi="ar-SA"/>
              </w:rPr>
              <w:t>与国内现行法律法规和国家标准、行业标准的关系</w:t>
            </w:r>
          </w:p>
          <w:p w14:paraId="373F068F">
            <w:pPr>
              <w:numPr>
                <w:ilvl w:val="0"/>
                <w:numId w:val="0"/>
              </w:numPr>
              <w:jc w:val="left"/>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4.1 与国内现行法律法规的关系</w:t>
            </w:r>
          </w:p>
          <w:p w14:paraId="4AECA916">
            <w:pPr>
              <w:numPr>
                <w:ilvl w:val="0"/>
                <w:numId w:val="0"/>
              </w:numPr>
              <w:ind w:firstLine="420" w:firstLineChars="200"/>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本项目《水利水电工程滑坡预警技术</w:t>
            </w:r>
            <w:r>
              <w:rPr>
                <w:rFonts w:hint="eastAsia" w:ascii="Times New Roman" w:hAnsi="Times New Roman" w:eastAsia="宋体" w:cs="Times New Roman"/>
                <w:szCs w:val="21"/>
                <w:lang w:val="en-US" w:eastAsia="zh-CN"/>
              </w:rPr>
              <w:t>规程</w:t>
            </w:r>
            <w:r>
              <w:rPr>
                <w:rFonts w:hint="default" w:ascii="Times New Roman" w:hAnsi="Times New Roman" w:eastAsia="宋体" w:cs="Times New Roman"/>
                <w:szCs w:val="21"/>
                <w:lang w:val="en-US" w:eastAsia="zh-CN"/>
              </w:rPr>
              <w:t>》的编制，严格遵循了国家相关的法律法规，如《中华人民共和国安全生产法》等，确保了标准的合法性和合规性。</w:t>
            </w:r>
          </w:p>
          <w:p w14:paraId="59F61E23">
            <w:pPr>
              <w:numPr>
                <w:ilvl w:val="0"/>
                <w:numId w:val="0"/>
              </w:numPr>
              <w:jc w:val="left"/>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4.2 与国家标准、行业标准的关系</w:t>
            </w:r>
          </w:p>
          <w:p w14:paraId="772166AD">
            <w:pPr>
              <w:numPr>
                <w:ilvl w:val="0"/>
                <w:numId w:val="0"/>
              </w:numPr>
              <w:ind w:firstLine="420" w:firstLineChars="200"/>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本项目与以下国家标准和行业标准密切相关：</w:t>
            </w:r>
          </w:p>
          <w:p w14:paraId="3D546CB8">
            <w:pPr>
              <w:numPr>
                <w:ilvl w:val="0"/>
                <w:numId w:val="0"/>
              </w:numPr>
              <w:ind w:firstLine="420" w:firstLineChars="200"/>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国家标准：《水利水电工程结构可靠性设计统一标准</w:t>
            </w:r>
            <w:r>
              <w:rPr>
                <w:rFonts w:hint="eastAsia" w:ascii="Times New Roman" w:hAnsi="Times New Roman" w:eastAsia="宋体" w:cs="Times New Roman"/>
                <w:szCs w:val="21"/>
                <w:lang w:val="en-US" w:eastAsia="zh-CN"/>
              </w:rPr>
              <w:t>（</w:t>
            </w:r>
            <w:r>
              <w:rPr>
                <w:rFonts w:hint="default" w:ascii="Times New Roman" w:hAnsi="Times New Roman" w:eastAsia="宋体" w:cs="Times New Roman"/>
                <w:szCs w:val="21"/>
                <w:lang w:val="en-US" w:eastAsia="zh-CN"/>
              </w:rPr>
              <w:t>附条文说明</w:t>
            </w:r>
            <w:r>
              <w:rPr>
                <w:rFonts w:hint="eastAsia" w:ascii="Times New Roman" w:hAnsi="Times New Roman" w:eastAsia="宋体" w:cs="Times New Roman"/>
                <w:szCs w:val="21"/>
                <w:lang w:val="en-US" w:eastAsia="zh-CN"/>
              </w:rPr>
              <w:t>）</w:t>
            </w:r>
            <w:r>
              <w:rPr>
                <w:rFonts w:hint="default" w:ascii="Times New Roman" w:hAnsi="Times New Roman" w:eastAsia="宋体" w:cs="Times New Roman"/>
                <w:szCs w:val="21"/>
                <w:lang w:val="en-US" w:eastAsia="zh-CN"/>
              </w:rPr>
              <w:t>》（GB 50199-2013）。该标准为水利水电工程</w:t>
            </w:r>
            <w:r>
              <w:rPr>
                <w:rFonts w:hint="eastAsia" w:ascii="Times New Roman" w:hAnsi="Times New Roman" w:eastAsia="宋体" w:cs="Times New Roman"/>
                <w:szCs w:val="21"/>
                <w:lang w:val="en-US" w:eastAsia="zh-CN"/>
              </w:rPr>
              <w:t>的结构</w:t>
            </w:r>
            <w:r>
              <w:rPr>
                <w:rFonts w:hint="default" w:ascii="Times New Roman" w:hAnsi="Times New Roman" w:eastAsia="宋体" w:cs="Times New Roman"/>
                <w:szCs w:val="21"/>
                <w:lang w:val="en-US" w:eastAsia="zh-CN"/>
              </w:rPr>
              <w:t>提供了全面的指导和要求，包括</w:t>
            </w:r>
            <w:r>
              <w:rPr>
                <w:rFonts w:hint="eastAsia" w:ascii="Times New Roman" w:hAnsi="Times New Roman" w:eastAsia="宋体" w:cs="Times New Roman"/>
                <w:szCs w:val="21"/>
                <w:lang w:val="en-US" w:eastAsia="zh-CN"/>
              </w:rPr>
              <w:t>混凝土选择</w:t>
            </w:r>
            <w:r>
              <w:rPr>
                <w:rFonts w:hint="default" w:ascii="Times New Roman" w:hAnsi="Times New Roman" w:eastAsia="宋体" w:cs="Times New Roman"/>
                <w:szCs w:val="21"/>
                <w:lang w:val="en-US" w:eastAsia="zh-CN"/>
              </w:rPr>
              <w:t>、浇筑方法、养护措施等方面。本项目在编制过程中，充分参考了该标准，并在其基础上进行了细化和补充</w:t>
            </w:r>
            <w:r>
              <w:rPr>
                <w:rFonts w:hint="eastAsia" w:ascii="Times New Roman" w:hAnsi="Times New Roman" w:eastAsia="宋体" w:cs="Times New Roman"/>
                <w:szCs w:val="21"/>
                <w:lang w:val="en-US" w:eastAsia="zh-CN"/>
              </w:rPr>
              <w:t>。</w:t>
            </w:r>
          </w:p>
          <w:p w14:paraId="317D5935">
            <w:pPr>
              <w:numPr>
                <w:ilvl w:val="0"/>
                <w:numId w:val="0"/>
              </w:numPr>
              <w:ind w:firstLine="420" w:firstLineChars="200"/>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行业标准：水利水电行业相关的技术标准和规范，如《水利水电工程施工组织设计规范》</w:t>
            </w:r>
          </w:p>
          <w:p w14:paraId="42198015">
            <w:pPr>
              <w:numPr>
                <w:ilvl w:val="0"/>
                <w:numId w:val="0"/>
              </w:numPr>
              <w:ind w:firstLine="0" w:firstLineChars="0"/>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（SL 303-2017）、《水利水电工程土建施工安全技术规程》</w:t>
            </w:r>
            <w:r>
              <w:rPr>
                <w:rFonts w:hint="eastAsia" w:ascii="Times New Roman" w:hAnsi="Times New Roman" w:eastAsia="宋体" w:cs="Times New Roman"/>
                <w:szCs w:val="21"/>
                <w:lang w:val="en-US" w:eastAsia="zh-CN"/>
              </w:rPr>
              <w:t>（</w:t>
            </w:r>
            <w:r>
              <w:rPr>
                <w:rFonts w:hint="default" w:ascii="Times New Roman" w:hAnsi="Times New Roman" w:eastAsia="宋体" w:cs="Times New Roman"/>
                <w:szCs w:val="21"/>
                <w:lang w:val="en-US" w:eastAsia="zh-CN"/>
              </w:rPr>
              <w:t>SL 399-2007</w:t>
            </w:r>
            <w:r>
              <w:rPr>
                <w:rFonts w:hint="eastAsia" w:ascii="Times New Roman" w:hAnsi="Times New Roman" w:eastAsia="宋体" w:cs="Times New Roman"/>
                <w:szCs w:val="21"/>
                <w:lang w:val="en-US" w:eastAsia="zh-CN"/>
              </w:rPr>
              <w:t>）</w:t>
            </w:r>
            <w:r>
              <w:rPr>
                <w:rFonts w:hint="default" w:ascii="Times New Roman" w:hAnsi="Times New Roman" w:eastAsia="宋体" w:cs="Times New Roman"/>
                <w:szCs w:val="21"/>
                <w:lang w:val="en-US" w:eastAsia="zh-CN"/>
              </w:rPr>
              <w:t>等。这些标准和规范为水利水电工程的施工提供了具体的指导和要求。本项目在编制过程中，也充分参考了这些标准和规范，以确保标准的协调性和一致性。</w:t>
            </w:r>
          </w:p>
          <w:p w14:paraId="356D7784">
            <w:pPr>
              <w:numPr>
                <w:ilvl w:val="0"/>
                <w:numId w:val="0"/>
              </w:numPr>
              <w:ind w:firstLine="420" w:firstLineChars="200"/>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《DL/T 5246-2010 水电水利工程滑坡涌浪模拟技术规程》《SL/T 165-2019 滑坡涌浪模拟技术规程》《GB/T 41695-2022 安全与韧性 应急管理 滑坡灾害社区预警体系实施</w:t>
            </w:r>
            <w:bookmarkStart w:id="1" w:name="_GoBack"/>
            <w:bookmarkEnd w:id="1"/>
            <w:r>
              <w:rPr>
                <w:rFonts w:hint="default" w:ascii="Times New Roman" w:hAnsi="Times New Roman" w:eastAsia="宋体" w:cs="Times New Roman"/>
                <w:szCs w:val="21"/>
                <w:lang w:val="en-US" w:eastAsia="zh-CN"/>
              </w:rPr>
              <w:t>指南》《SL/T 794-2020 堤防工程安全监测技术规程》《SL/T 725-2016 水利水电工程安全监测设计规范》标准与这次新提出的团体标准《水利水电工程滑坡预警技术</w:t>
            </w:r>
            <w:r>
              <w:rPr>
                <w:rFonts w:hint="eastAsia" w:ascii="Times New Roman" w:hAnsi="Times New Roman" w:eastAsia="宋体" w:cs="Times New Roman"/>
                <w:szCs w:val="21"/>
                <w:lang w:val="en-US" w:eastAsia="zh-CN"/>
              </w:rPr>
              <w:t>规程</w:t>
            </w:r>
            <w:r>
              <w:rPr>
                <w:rFonts w:hint="default" w:ascii="Times New Roman" w:hAnsi="Times New Roman" w:eastAsia="宋体" w:cs="Times New Roman"/>
                <w:szCs w:val="21"/>
                <w:lang w:val="en-US" w:eastAsia="zh-CN"/>
              </w:rPr>
              <w:t>》区别和不同</w:t>
            </w:r>
            <w:r>
              <w:rPr>
                <w:rFonts w:hint="eastAsia" w:ascii="Times New Roman" w:hAnsi="Times New Roman" w:eastAsia="宋体" w:cs="Times New Roman"/>
                <w:szCs w:val="21"/>
                <w:lang w:val="en-US" w:eastAsia="zh-CN"/>
              </w:rPr>
              <w:t>如下：</w:t>
            </w:r>
          </w:p>
          <w:p w14:paraId="1BA06248">
            <w:pPr>
              <w:numPr>
                <w:ilvl w:val="0"/>
                <w:numId w:val="0"/>
              </w:numPr>
              <w:ind w:firstLine="420" w:firstLineChars="200"/>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《DL/T 5246-2010》和《SL/T 165-2019》主要关注滑坡引发的涌浪模拟技术，提供滑坡涌浪的计算和模拟方法；《SL/T 794-2020》和《SL/T 725-2016》则针对堤防工程及水利水电工程的安全监测，涉及更广泛的地质灾害防范和结构安全监测。与此同时，《GB/T 41695-2022》强调滑坡灾害社区预警体系的实施，面向社会与社区层面的应急响应，而不专注于水利水电领域。</w:t>
            </w:r>
          </w:p>
          <w:p w14:paraId="4FEE8513">
            <w:pPr>
              <w:numPr>
                <w:ilvl w:val="0"/>
                <w:numId w:val="0"/>
              </w:numPr>
              <w:ind w:firstLine="420" w:firstLineChars="200"/>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与之相比，《水利水电工程滑坡预警技术</w:t>
            </w:r>
            <w:r>
              <w:rPr>
                <w:rFonts w:hint="eastAsia" w:ascii="Times New Roman" w:hAnsi="Times New Roman" w:eastAsia="宋体" w:cs="Times New Roman"/>
                <w:szCs w:val="21"/>
                <w:lang w:val="en-US" w:eastAsia="zh-CN"/>
              </w:rPr>
              <w:t>规程</w:t>
            </w:r>
            <w:r>
              <w:rPr>
                <w:rFonts w:hint="default" w:ascii="Times New Roman" w:hAnsi="Times New Roman" w:eastAsia="宋体" w:cs="Times New Roman"/>
                <w:szCs w:val="21"/>
                <w:lang w:val="en-US" w:eastAsia="zh-CN"/>
              </w:rPr>
              <w:t>》专注于水利水电工程中的滑坡灾害预警，涵盖了滑坡监测、数据采集、风险评估及预警模型等技术内容。它通过制定具体的预警技术方案，为滑坡灾害的早期预警提供支持，强调基于监测数据的预警系统与风险预测模型的设计，具有较强的行业应用性。其他标准则侧重于更广泛的安全监测、模拟技术和社会层面的灾害应急管理，覆盖范围较广。</w:t>
            </w:r>
          </w:p>
          <w:p w14:paraId="1A67955D">
            <w:pPr>
              <w:numPr>
                <w:ilvl w:val="0"/>
                <w:numId w:val="0"/>
              </w:numPr>
              <w:jc w:val="left"/>
              <w:rPr>
                <w:rFonts w:hint="eastAsia" w:ascii="Times New Roman" w:hAnsi="Times New Roman" w:eastAsia="宋体" w:cs="Times New Roman"/>
                <w:b/>
                <w:bCs/>
                <w:kern w:val="2"/>
                <w:sz w:val="24"/>
                <w:szCs w:val="24"/>
                <w:lang w:val="en-US" w:eastAsia="zh-CN" w:bidi="ar-SA"/>
              </w:rPr>
            </w:pPr>
            <w:r>
              <w:rPr>
                <w:rFonts w:hint="eastAsia" w:ascii="Times New Roman" w:hAnsi="Times New Roman" w:eastAsia="宋体" w:cs="Times New Roman"/>
                <w:b/>
                <w:bCs/>
                <w:kern w:val="2"/>
                <w:sz w:val="24"/>
                <w:szCs w:val="24"/>
                <w:lang w:val="en-US" w:eastAsia="zh-CN" w:bidi="ar-SA"/>
              </w:rPr>
              <w:t>五、知识产权说明</w:t>
            </w:r>
          </w:p>
          <w:p w14:paraId="3B52E40F">
            <w:pPr>
              <w:numPr>
                <w:ilvl w:val="0"/>
                <w:numId w:val="0"/>
              </w:numPr>
              <w:ind w:firstLine="420" w:firstLineChars="200"/>
              <w:jc w:val="left"/>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本标准不涉及相关知识产权。</w:t>
            </w:r>
          </w:p>
        </w:tc>
      </w:tr>
      <w:tr w14:paraId="4696B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7" w:hRule="atLeast"/>
          <w:jc w:val="center"/>
        </w:trPr>
        <w:tc>
          <w:tcPr>
            <w:tcW w:w="8652" w:type="dxa"/>
            <w:vAlign w:val="top"/>
          </w:tcPr>
          <w:p w14:paraId="6F67F3D6">
            <w:pPr>
              <w:spacing w:line="360" w:lineRule="auto"/>
              <w:jc w:val="left"/>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主要内容</w:t>
            </w:r>
          </w:p>
          <w:p w14:paraId="2992148D">
            <w:pPr>
              <w:numPr>
                <w:ilvl w:val="0"/>
                <w:numId w:val="0"/>
              </w:numPr>
              <w:jc w:val="left"/>
              <w:rPr>
                <w:rFonts w:hint="eastAsia" w:ascii="Times New Roman" w:hAnsi="Times New Roman" w:eastAsia="宋体" w:cs="Times New Roman"/>
                <w:b/>
                <w:bCs/>
                <w:kern w:val="2"/>
                <w:sz w:val="24"/>
                <w:szCs w:val="24"/>
                <w:lang w:val="en-US" w:eastAsia="zh-CN" w:bidi="ar-SA"/>
              </w:rPr>
            </w:pPr>
            <w:r>
              <w:rPr>
                <w:rFonts w:hint="eastAsia" w:ascii="Times New Roman" w:hAnsi="Times New Roman" w:eastAsia="宋体" w:cs="Times New Roman"/>
                <w:b/>
                <w:bCs/>
                <w:kern w:val="2"/>
                <w:sz w:val="24"/>
                <w:szCs w:val="24"/>
                <w:lang w:val="en-US" w:eastAsia="zh-CN" w:bidi="ar-SA"/>
              </w:rPr>
              <w:t>一、该标准适用范围</w:t>
            </w:r>
          </w:p>
          <w:p w14:paraId="02720DF2">
            <w:pPr>
              <w:numPr>
                <w:ilvl w:val="0"/>
                <w:numId w:val="0"/>
              </w:numPr>
              <w:ind w:firstLine="420" w:firstLineChars="200"/>
              <w:jc w:val="left"/>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本文件规定了</w:t>
            </w:r>
            <w:r>
              <w:rPr>
                <w:rFonts w:hint="default" w:ascii="Times New Roman" w:hAnsi="Times New Roman" w:eastAsia="宋体" w:cs="Times New Roman"/>
                <w:szCs w:val="21"/>
                <w:lang w:val="en-US" w:eastAsia="zh-CN"/>
              </w:rPr>
              <w:t>水利水电工程滑坡预警技术</w:t>
            </w:r>
            <w:r>
              <w:rPr>
                <w:rFonts w:hint="eastAsia" w:ascii="Times New Roman" w:hAnsi="Times New Roman" w:eastAsia="宋体" w:cs="Times New Roman"/>
                <w:szCs w:val="21"/>
                <w:lang w:val="en-US" w:eastAsia="zh-CN"/>
              </w:rPr>
              <w:t>规程的</w:t>
            </w:r>
            <w:r>
              <w:rPr>
                <w:rFonts w:hint="default" w:ascii="Times New Roman" w:hAnsi="Times New Roman" w:eastAsia="宋体" w:cs="Times New Roman"/>
                <w:szCs w:val="21"/>
                <w:lang w:val="en-US" w:eastAsia="zh-CN"/>
              </w:rPr>
              <w:t>滑坡监测、数据采集、风险评估及预警模型等</w:t>
            </w:r>
            <w:r>
              <w:rPr>
                <w:rFonts w:hint="eastAsia" w:ascii="Times New Roman" w:hAnsi="Times New Roman" w:eastAsia="宋体" w:cs="Times New Roman"/>
                <w:szCs w:val="21"/>
                <w:lang w:val="en-US" w:eastAsia="zh-CN"/>
              </w:rPr>
              <w:t>内容。</w:t>
            </w:r>
          </w:p>
          <w:p w14:paraId="40935617">
            <w:pPr>
              <w:numPr>
                <w:ilvl w:val="0"/>
                <w:numId w:val="0"/>
              </w:numPr>
              <w:ind w:firstLine="420" w:firstLineChars="200"/>
              <w:jc w:val="left"/>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本文件</w:t>
            </w:r>
            <w:r>
              <w:rPr>
                <w:rFonts w:hint="default" w:ascii="Times New Roman" w:hAnsi="Times New Roman" w:eastAsia="宋体" w:cs="Times New Roman"/>
                <w:szCs w:val="21"/>
                <w:lang w:val="en-US" w:eastAsia="zh-CN"/>
              </w:rPr>
              <w:t>适用于水利水电工程中的滑坡灾害监测、预警、分析和应急处置等工作，适用于所有在建和运营的水利水电工程项目。</w:t>
            </w:r>
          </w:p>
          <w:p w14:paraId="18414DBF">
            <w:pPr>
              <w:numPr>
                <w:ilvl w:val="0"/>
                <w:numId w:val="0"/>
              </w:numPr>
              <w:jc w:val="left"/>
              <w:rPr>
                <w:rFonts w:hint="eastAsia" w:ascii="Times New Roman" w:hAnsi="Times New Roman" w:eastAsia="宋体" w:cs="Times New Roman"/>
                <w:b/>
                <w:bCs/>
                <w:kern w:val="2"/>
                <w:sz w:val="24"/>
                <w:szCs w:val="24"/>
                <w:lang w:val="en-US" w:eastAsia="zh-CN" w:bidi="ar-SA"/>
              </w:rPr>
            </w:pPr>
            <w:r>
              <w:rPr>
                <w:rFonts w:hint="eastAsia" w:ascii="Times New Roman" w:hAnsi="Times New Roman" w:eastAsia="宋体" w:cs="Times New Roman"/>
                <w:b/>
                <w:bCs/>
                <w:kern w:val="2"/>
                <w:sz w:val="24"/>
                <w:szCs w:val="24"/>
                <w:lang w:val="en-US" w:eastAsia="zh-CN" w:bidi="ar-SA"/>
              </w:rPr>
              <w:t>二、主要架构</w:t>
            </w:r>
          </w:p>
          <w:tbl>
            <w:tblPr>
              <w:tblStyle w:val="5"/>
              <w:tblW w:w="46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7" w:type="dxa"/>
                <w:left w:w="17" w:type="dxa"/>
                <w:bottom w:w="17" w:type="dxa"/>
                <w:right w:w="17" w:type="dxa"/>
              </w:tblCellMar>
            </w:tblPr>
            <w:tblGrid>
              <w:gridCol w:w="647"/>
              <w:gridCol w:w="1608"/>
              <w:gridCol w:w="5814"/>
            </w:tblGrid>
            <w:tr w14:paraId="056CB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jc w:val="center"/>
              </w:trPr>
              <w:tc>
                <w:tcPr>
                  <w:tcW w:w="401" w:type="pct"/>
                  <w:tcBorders>
                    <w:tl2br w:val="nil"/>
                    <w:tr2bl w:val="nil"/>
                  </w:tcBorders>
                  <w:shd w:val="clear" w:color="auto" w:fill="auto"/>
                  <w:vAlign w:val="center"/>
                </w:tcPr>
                <w:p w14:paraId="431D7596">
                  <w:pPr>
                    <w:widowControl w:val="0"/>
                    <w:numPr>
                      <w:ilvl w:val="0"/>
                      <w:numId w:val="0"/>
                    </w:numPr>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章节</w:t>
                  </w:r>
                </w:p>
              </w:tc>
              <w:tc>
                <w:tcPr>
                  <w:tcW w:w="996" w:type="pct"/>
                  <w:tcBorders>
                    <w:tl2br w:val="nil"/>
                    <w:tr2bl w:val="nil"/>
                  </w:tcBorders>
                  <w:shd w:val="clear" w:color="auto" w:fill="auto"/>
                  <w:vAlign w:val="center"/>
                </w:tcPr>
                <w:p w14:paraId="2AD05D2C">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标题</w:t>
                  </w:r>
                </w:p>
              </w:tc>
              <w:tc>
                <w:tcPr>
                  <w:tcW w:w="3601" w:type="pct"/>
                  <w:tcBorders>
                    <w:tl2br w:val="nil"/>
                    <w:tr2bl w:val="nil"/>
                  </w:tcBorders>
                  <w:shd w:val="clear" w:color="auto" w:fill="auto"/>
                  <w:vAlign w:val="center"/>
                </w:tcPr>
                <w:p w14:paraId="593FF566">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简化内容</w:t>
                  </w:r>
                </w:p>
              </w:tc>
            </w:tr>
            <w:tr w14:paraId="122F9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jc w:val="center"/>
              </w:trPr>
              <w:tc>
                <w:tcPr>
                  <w:tcW w:w="401" w:type="pct"/>
                  <w:tcBorders>
                    <w:tl2br w:val="nil"/>
                    <w:tr2bl w:val="nil"/>
                  </w:tcBorders>
                  <w:shd w:val="clear" w:color="auto" w:fill="auto"/>
                  <w:vAlign w:val="center"/>
                </w:tcPr>
                <w:p w14:paraId="72945923">
                  <w:pPr>
                    <w:widowControl w:val="0"/>
                    <w:numPr>
                      <w:ilvl w:val="0"/>
                      <w:numId w:val="0"/>
                    </w:numPr>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996" w:type="pct"/>
                  <w:tcBorders>
                    <w:tl2br w:val="nil"/>
                    <w:tr2bl w:val="nil"/>
                  </w:tcBorders>
                  <w:shd w:val="clear" w:color="auto" w:fill="auto"/>
                  <w:vAlign w:val="center"/>
                </w:tcPr>
                <w:p w14:paraId="17FC2C46">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范围</w:t>
                  </w:r>
                </w:p>
              </w:tc>
              <w:tc>
                <w:tcPr>
                  <w:tcW w:w="3601" w:type="pct"/>
                  <w:tcBorders>
                    <w:tl2br w:val="nil"/>
                    <w:tr2bl w:val="nil"/>
                  </w:tcBorders>
                  <w:shd w:val="clear" w:color="auto" w:fill="auto"/>
                  <w:vAlign w:val="center"/>
                </w:tcPr>
                <w:p w14:paraId="2C84E5EB">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本文件规定了水利水电工程滑坡预警技术</w:t>
                  </w:r>
                  <w:r>
                    <w:rPr>
                      <w:rFonts w:hint="eastAsia" w:ascii="Times New Roman" w:hAnsi="Times New Roman" w:eastAsia="宋体" w:cs="Times New Roman"/>
                      <w:szCs w:val="21"/>
                      <w:lang w:val="en-US" w:eastAsia="zh-CN"/>
                    </w:rPr>
                    <w:t>规程</w:t>
                  </w:r>
                  <w:r>
                    <w:rPr>
                      <w:rFonts w:hint="default" w:ascii="Times New Roman" w:hAnsi="Times New Roman" w:eastAsia="宋体" w:cs="Times New Roman"/>
                      <w:szCs w:val="21"/>
                      <w:lang w:val="en-US" w:eastAsia="zh-CN"/>
                    </w:rPr>
                    <w:t>的滑坡监测、数据采集、风险评估及预警模型等内容。</w:t>
                  </w:r>
                </w:p>
                <w:p w14:paraId="594AE88C">
                  <w:pPr>
                    <w:widowControl w:val="0"/>
                    <w:numPr>
                      <w:ilvl w:val="0"/>
                      <w:numId w:val="0"/>
                    </w:numPr>
                    <w:jc w:val="left"/>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本文件</w:t>
                  </w:r>
                  <w:r>
                    <w:rPr>
                      <w:rFonts w:hint="default" w:ascii="Times New Roman" w:hAnsi="Times New Roman" w:eastAsia="宋体" w:cs="Times New Roman"/>
                      <w:szCs w:val="21"/>
                      <w:lang w:val="en-US" w:eastAsia="zh-CN"/>
                    </w:rPr>
                    <w:t>适用于水利水电工程项目中的滑坡监测、预警、应急响应等工作，涵盖在建及运营阶段的滑坡防控。</w:t>
                  </w:r>
                </w:p>
              </w:tc>
            </w:tr>
            <w:tr w14:paraId="334F9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jc w:val="center"/>
              </w:trPr>
              <w:tc>
                <w:tcPr>
                  <w:tcW w:w="401" w:type="pct"/>
                  <w:tcBorders>
                    <w:tl2br w:val="nil"/>
                    <w:tr2bl w:val="nil"/>
                  </w:tcBorders>
                  <w:shd w:val="clear" w:color="auto" w:fill="auto"/>
                  <w:vAlign w:val="center"/>
                </w:tcPr>
                <w:p w14:paraId="33FBB76C">
                  <w:pPr>
                    <w:widowControl w:val="0"/>
                    <w:numPr>
                      <w:ilvl w:val="0"/>
                      <w:numId w:val="0"/>
                    </w:numPr>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w:t>
                  </w:r>
                </w:p>
              </w:tc>
              <w:tc>
                <w:tcPr>
                  <w:tcW w:w="996" w:type="pct"/>
                  <w:tcBorders>
                    <w:tl2br w:val="nil"/>
                    <w:tr2bl w:val="nil"/>
                  </w:tcBorders>
                  <w:shd w:val="clear" w:color="auto" w:fill="auto"/>
                  <w:vAlign w:val="center"/>
                </w:tcPr>
                <w:p w14:paraId="20A94588">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规范性引用文件</w:t>
                  </w:r>
                </w:p>
              </w:tc>
              <w:tc>
                <w:tcPr>
                  <w:tcW w:w="3601" w:type="pct"/>
                  <w:tcBorders>
                    <w:tl2br w:val="nil"/>
                    <w:tr2bl w:val="nil"/>
                  </w:tcBorders>
                  <w:shd w:val="clear" w:color="auto" w:fill="auto"/>
                  <w:vAlign w:val="center"/>
                </w:tcPr>
                <w:p w14:paraId="4B3254AB">
                  <w:pPr>
                    <w:widowControl w:val="0"/>
                    <w:numPr>
                      <w:ilvl w:val="0"/>
                      <w:numId w:val="0"/>
                    </w:numPr>
                    <w:jc w:val="left"/>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引用文件</w:t>
                  </w:r>
                  <w:r>
                    <w:rPr>
                      <w:rFonts w:hint="default" w:ascii="Times New Roman" w:hAnsi="Times New Roman" w:eastAsia="宋体" w:cs="Times New Roman"/>
                      <w:szCs w:val="21"/>
                      <w:lang w:val="en-US" w:eastAsia="zh-CN"/>
                    </w:rPr>
                    <w:t>。</w:t>
                  </w:r>
                </w:p>
              </w:tc>
            </w:tr>
            <w:tr w14:paraId="01AE6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jc w:val="center"/>
              </w:trPr>
              <w:tc>
                <w:tcPr>
                  <w:tcW w:w="401" w:type="pct"/>
                  <w:tcBorders>
                    <w:tl2br w:val="nil"/>
                    <w:tr2bl w:val="nil"/>
                  </w:tcBorders>
                  <w:shd w:val="clear" w:color="auto" w:fill="auto"/>
                  <w:vAlign w:val="center"/>
                </w:tcPr>
                <w:p w14:paraId="06D33ECB">
                  <w:pPr>
                    <w:widowControl w:val="0"/>
                    <w:numPr>
                      <w:ilvl w:val="0"/>
                      <w:numId w:val="0"/>
                    </w:numPr>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3</w:t>
                  </w:r>
                </w:p>
              </w:tc>
              <w:tc>
                <w:tcPr>
                  <w:tcW w:w="996" w:type="pct"/>
                  <w:tcBorders>
                    <w:tl2br w:val="nil"/>
                    <w:tr2bl w:val="nil"/>
                  </w:tcBorders>
                  <w:shd w:val="clear" w:color="auto" w:fill="auto"/>
                  <w:vAlign w:val="center"/>
                </w:tcPr>
                <w:p w14:paraId="70218FA8">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术语和定义</w:t>
                  </w:r>
                </w:p>
              </w:tc>
              <w:tc>
                <w:tcPr>
                  <w:tcW w:w="3601" w:type="pct"/>
                  <w:tcBorders>
                    <w:tl2br w:val="nil"/>
                    <w:tr2bl w:val="nil"/>
                  </w:tcBorders>
                  <w:shd w:val="clear" w:color="auto" w:fill="auto"/>
                  <w:vAlign w:val="center"/>
                </w:tcPr>
                <w:p w14:paraId="7EBBBDE9">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定义了“滑坡预警</w:t>
                  </w:r>
                  <w:r>
                    <w:rPr>
                      <w:rFonts w:hint="eastAsia" w:ascii="Times New Roman" w:hAnsi="Times New Roman" w:eastAsia="宋体" w:cs="Times New Roman"/>
                      <w:szCs w:val="21"/>
                      <w:lang w:val="en-US" w:eastAsia="zh-CN"/>
                    </w:rPr>
                    <w:t>”“</w:t>
                  </w:r>
                  <w:r>
                    <w:rPr>
                      <w:rFonts w:hint="default" w:ascii="Times New Roman" w:hAnsi="Times New Roman" w:eastAsia="宋体" w:cs="Times New Roman"/>
                      <w:szCs w:val="21"/>
                      <w:lang w:val="en-US" w:eastAsia="zh-CN"/>
                    </w:rPr>
                    <w:t>监测</w:t>
                  </w:r>
                  <w:r>
                    <w:rPr>
                      <w:rFonts w:hint="eastAsia" w:ascii="Times New Roman" w:hAnsi="Times New Roman" w:eastAsia="宋体" w:cs="Times New Roman"/>
                      <w:szCs w:val="21"/>
                      <w:lang w:val="en-US" w:eastAsia="zh-CN"/>
                    </w:rPr>
                    <w:t>”“</w:t>
                  </w:r>
                  <w:r>
                    <w:rPr>
                      <w:rFonts w:hint="default" w:ascii="Times New Roman" w:hAnsi="Times New Roman" w:eastAsia="宋体" w:cs="Times New Roman"/>
                      <w:szCs w:val="21"/>
                      <w:lang w:val="en-US" w:eastAsia="zh-CN"/>
                    </w:rPr>
                    <w:t>预警模型”等关键术语。</w:t>
                  </w:r>
                </w:p>
              </w:tc>
            </w:tr>
            <w:tr w14:paraId="1F4D8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jc w:val="center"/>
              </w:trPr>
              <w:tc>
                <w:tcPr>
                  <w:tcW w:w="401" w:type="pct"/>
                  <w:tcBorders>
                    <w:tl2br w:val="nil"/>
                    <w:tr2bl w:val="nil"/>
                  </w:tcBorders>
                  <w:shd w:val="clear" w:color="auto" w:fill="auto"/>
                  <w:vAlign w:val="center"/>
                </w:tcPr>
                <w:p w14:paraId="15BA126C">
                  <w:pPr>
                    <w:widowControl w:val="0"/>
                    <w:numPr>
                      <w:ilvl w:val="0"/>
                      <w:numId w:val="0"/>
                    </w:numPr>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4</w:t>
                  </w:r>
                </w:p>
              </w:tc>
              <w:tc>
                <w:tcPr>
                  <w:tcW w:w="996" w:type="pct"/>
                  <w:tcBorders>
                    <w:tl2br w:val="nil"/>
                    <w:tr2bl w:val="nil"/>
                  </w:tcBorders>
                  <w:shd w:val="clear" w:color="auto" w:fill="auto"/>
                  <w:vAlign w:val="center"/>
                </w:tcPr>
                <w:p w14:paraId="5D3FE700">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滑坡预警技术要求</w:t>
                  </w:r>
                </w:p>
              </w:tc>
              <w:tc>
                <w:tcPr>
                  <w:tcW w:w="3601" w:type="pct"/>
                  <w:tcBorders>
                    <w:tl2br w:val="nil"/>
                    <w:tr2bl w:val="nil"/>
                  </w:tcBorders>
                  <w:shd w:val="clear" w:color="auto" w:fill="auto"/>
                  <w:vAlign w:val="center"/>
                </w:tcPr>
                <w:p w14:paraId="6B2834C1">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规定了监测技术、数据采集与处理要求、预警模型的建立、预警级别划分等。</w:t>
                  </w:r>
                </w:p>
              </w:tc>
            </w:tr>
            <w:tr w14:paraId="65CFA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jc w:val="center"/>
              </w:trPr>
              <w:tc>
                <w:tcPr>
                  <w:tcW w:w="401" w:type="pct"/>
                  <w:tcBorders>
                    <w:tl2br w:val="nil"/>
                    <w:tr2bl w:val="nil"/>
                  </w:tcBorders>
                  <w:shd w:val="clear" w:color="auto" w:fill="auto"/>
                  <w:vAlign w:val="center"/>
                </w:tcPr>
                <w:p w14:paraId="3570F570">
                  <w:pPr>
                    <w:widowControl w:val="0"/>
                    <w:numPr>
                      <w:ilvl w:val="0"/>
                      <w:numId w:val="0"/>
                    </w:numPr>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4.1</w:t>
                  </w:r>
                </w:p>
              </w:tc>
              <w:tc>
                <w:tcPr>
                  <w:tcW w:w="996" w:type="pct"/>
                  <w:tcBorders>
                    <w:tl2br w:val="nil"/>
                    <w:tr2bl w:val="nil"/>
                  </w:tcBorders>
                  <w:shd w:val="clear" w:color="auto" w:fill="auto"/>
                  <w:vAlign w:val="center"/>
                </w:tcPr>
                <w:p w14:paraId="1D0BAB0C">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监测技术要求</w:t>
                  </w:r>
                </w:p>
              </w:tc>
              <w:tc>
                <w:tcPr>
                  <w:tcW w:w="3601" w:type="pct"/>
                  <w:tcBorders>
                    <w:tl2br w:val="nil"/>
                    <w:tr2bl w:val="nil"/>
                  </w:tcBorders>
                  <w:shd w:val="clear" w:color="auto" w:fill="auto"/>
                  <w:vAlign w:val="center"/>
                </w:tcPr>
                <w:p w14:paraId="1EE50745">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采用地质雷达、遥感、地下水等多种监测手段，实时采集滑坡相关数据。</w:t>
                  </w:r>
                </w:p>
              </w:tc>
            </w:tr>
            <w:tr w14:paraId="21923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jc w:val="center"/>
              </w:trPr>
              <w:tc>
                <w:tcPr>
                  <w:tcW w:w="401" w:type="pct"/>
                  <w:tcBorders>
                    <w:tl2br w:val="nil"/>
                    <w:tr2bl w:val="nil"/>
                  </w:tcBorders>
                  <w:shd w:val="clear" w:color="auto" w:fill="auto"/>
                  <w:vAlign w:val="center"/>
                </w:tcPr>
                <w:p w14:paraId="073D7649">
                  <w:pPr>
                    <w:widowControl w:val="0"/>
                    <w:numPr>
                      <w:ilvl w:val="0"/>
                      <w:numId w:val="0"/>
                    </w:numPr>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4.2</w:t>
                  </w:r>
                </w:p>
              </w:tc>
              <w:tc>
                <w:tcPr>
                  <w:tcW w:w="996" w:type="pct"/>
                  <w:tcBorders>
                    <w:tl2br w:val="nil"/>
                    <w:tr2bl w:val="nil"/>
                  </w:tcBorders>
                  <w:shd w:val="clear" w:color="auto" w:fill="auto"/>
                  <w:vAlign w:val="center"/>
                </w:tcPr>
                <w:p w14:paraId="5DD7F410">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数据采集与处理</w:t>
                  </w:r>
                </w:p>
              </w:tc>
              <w:tc>
                <w:tcPr>
                  <w:tcW w:w="3601" w:type="pct"/>
                  <w:tcBorders>
                    <w:tl2br w:val="nil"/>
                    <w:tr2bl w:val="nil"/>
                  </w:tcBorders>
                  <w:shd w:val="clear" w:color="auto" w:fill="auto"/>
                  <w:vAlign w:val="center"/>
                </w:tcPr>
                <w:p w14:paraId="4EA63D3C">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数据采集频率不低于1次/小时，所有数据应存储在中央数据库中，进行实时处理。</w:t>
                  </w:r>
                </w:p>
              </w:tc>
            </w:tr>
            <w:tr w14:paraId="2E5E6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jc w:val="center"/>
              </w:trPr>
              <w:tc>
                <w:tcPr>
                  <w:tcW w:w="401" w:type="pct"/>
                  <w:tcBorders>
                    <w:tl2br w:val="nil"/>
                    <w:tr2bl w:val="nil"/>
                  </w:tcBorders>
                  <w:shd w:val="clear" w:color="auto" w:fill="auto"/>
                  <w:vAlign w:val="center"/>
                </w:tcPr>
                <w:p w14:paraId="4781C713">
                  <w:pPr>
                    <w:widowControl w:val="0"/>
                    <w:numPr>
                      <w:ilvl w:val="0"/>
                      <w:numId w:val="0"/>
                    </w:numPr>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4.3</w:t>
                  </w:r>
                </w:p>
              </w:tc>
              <w:tc>
                <w:tcPr>
                  <w:tcW w:w="996" w:type="pct"/>
                  <w:tcBorders>
                    <w:tl2br w:val="nil"/>
                    <w:tr2bl w:val="nil"/>
                  </w:tcBorders>
                  <w:shd w:val="clear" w:color="auto" w:fill="auto"/>
                  <w:vAlign w:val="center"/>
                </w:tcPr>
                <w:p w14:paraId="064A02F7">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预警模型</w:t>
                  </w:r>
                </w:p>
              </w:tc>
              <w:tc>
                <w:tcPr>
                  <w:tcW w:w="3601" w:type="pct"/>
                  <w:tcBorders>
                    <w:tl2br w:val="nil"/>
                    <w:tr2bl w:val="nil"/>
                  </w:tcBorders>
                  <w:shd w:val="clear" w:color="auto" w:fill="auto"/>
                  <w:vAlign w:val="center"/>
                </w:tcPr>
                <w:p w14:paraId="61E16255">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预警模型应能实时评估滑坡风险，并根据历史和气象数据进行预测。</w:t>
                  </w:r>
                </w:p>
              </w:tc>
            </w:tr>
            <w:tr w14:paraId="399F3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jc w:val="center"/>
              </w:trPr>
              <w:tc>
                <w:tcPr>
                  <w:tcW w:w="401" w:type="pct"/>
                  <w:tcBorders>
                    <w:tl2br w:val="nil"/>
                    <w:tr2bl w:val="nil"/>
                  </w:tcBorders>
                  <w:shd w:val="clear" w:color="auto" w:fill="auto"/>
                  <w:vAlign w:val="center"/>
                </w:tcPr>
                <w:p w14:paraId="6F2A4F3D">
                  <w:pPr>
                    <w:widowControl w:val="0"/>
                    <w:numPr>
                      <w:ilvl w:val="0"/>
                      <w:numId w:val="0"/>
                    </w:numPr>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4.4</w:t>
                  </w:r>
                </w:p>
              </w:tc>
              <w:tc>
                <w:tcPr>
                  <w:tcW w:w="996" w:type="pct"/>
                  <w:tcBorders>
                    <w:tl2br w:val="nil"/>
                    <w:tr2bl w:val="nil"/>
                  </w:tcBorders>
                  <w:shd w:val="clear" w:color="auto" w:fill="auto"/>
                  <w:vAlign w:val="center"/>
                </w:tcPr>
                <w:p w14:paraId="65316962">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预警级别</w:t>
                  </w:r>
                </w:p>
              </w:tc>
              <w:tc>
                <w:tcPr>
                  <w:tcW w:w="3601" w:type="pct"/>
                  <w:tcBorders>
                    <w:tl2br w:val="nil"/>
                    <w:tr2bl w:val="nil"/>
                  </w:tcBorders>
                  <w:shd w:val="clear" w:color="auto" w:fill="auto"/>
                  <w:vAlign w:val="center"/>
                </w:tcPr>
                <w:p w14:paraId="29091D1B">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滑坡预警分为红色、橙色、黄色、蓝色四级，分别对应不同风险等级和响应措施。</w:t>
                  </w:r>
                </w:p>
              </w:tc>
            </w:tr>
            <w:tr w14:paraId="76DD2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jc w:val="center"/>
              </w:trPr>
              <w:tc>
                <w:tcPr>
                  <w:tcW w:w="401" w:type="pct"/>
                  <w:tcBorders>
                    <w:tl2br w:val="nil"/>
                    <w:tr2bl w:val="nil"/>
                  </w:tcBorders>
                  <w:shd w:val="clear" w:color="auto" w:fill="auto"/>
                  <w:vAlign w:val="center"/>
                </w:tcPr>
                <w:p w14:paraId="0C348DF9">
                  <w:pPr>
                    <w:widowControl w:val="0"/>
                    <w:numPr>
                      <w:ilvl w:val="0"/>
                      <w:numId w:val="0"/>
                    </w:numPr>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5</w:t>
                  </w:r>
                </w:p>
              </w:tc>
              <w:tc>
                <w:tcPr>
                  <w:tcW w:w="996" w:type="pct"/>
                  <w:tcBorders>
                    <w:tl2br w:val="nil"/>
                    <w:tr2bl w:val="nil"/>
                  </w:tcBorders>
                  <w:shd w:val="clear" w:color="auto" w:fill="auto"/>
                  <w:vAlign w:val="center"/>
                </w:tcPr>
                <w:p w14:paraId="3A964336">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应急响应要求</w:t>
                  </w:r>
                </w:p>
              </w:tc>
              <w:tc>
                <w:tcPr>
                  <w:tcW w:w="3601" w:type="pct"/>
                  <w:tcBorders>
                    <w:tl2br w:val="nil"/>
                    <w:tr2bl w:val="nil"/>
                  </w:tcBorders>
                  <w:shd w:val="clear" w:color="auto" w:fill="auto"/>
                  <w:vAlign w:val="center"/>
                </w:tcPr>
                <w:p w14:paraId="77FD83E1">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根据预警级别启动应急预案，包括人员撤离、工程加固、设备保护等。</w:t>
                  </w:r>
                </w:p>
              </w:tc>
            </w:tr>
            <w:tr w14:paraId="5CC6B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jc w:val="center"/>
              </w:trPr>
              <w:tc>
                <w:tcPr>
                  <w:tcW w:w="401" w:type="pct"/>
                  <w:tcBorders>
                    <w:tl2br w:val="nil"/>
                    <w:tr2bl w:val="nil"/>
                  </w:tcBorders>
                  <w:shd w:val="clear" w:color="auto" w:fill="auto"/>
                  <w:vAlign w:val="center"/>
                </w:tcPr>
                <w:p w14:paraId="5F261DAC">
                  <w:pPr>
                    <w:widowControl w:val="0"/>
                    <w:numPr>
                      <w:ilvl w:val="0"/>
                      <w:numId w:val="0"/>
                    </w:numPr>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5.1</w:t>
                  </w:r>
                </w:p>
              </w:tc>
              <w:tc>
                <w:tcPr>
                  <w:tcW w:w="996" w:type="pct"/>
                  <w:tcBorders>
                    <w:tl2br w:val="nil"/>
                    <w:tr2bl w:val="nil"/>
                  </w:tcBorders>
                  <w:shd w:val="clear" w:color="auto" w:fill="auto"/>
                  <w:vAlign w:val="center"/>
                </w:tcPr>
                <w:p w14:paraId="236354A4">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应急预案</w:t>
                  </w:r>
                </w:p>
              </w:tc>
              <w:tc>
                <w:tcPr>
                  <w:tcW w:w="3601" w:type="pct"/>
                  <w:tcBorders>
                    <w:tl2br w:val="nil"/>
                    <w:tr2bl w:val="nil"/>
                  </w:tcBorders>
                  <w:shd w:val="clear" w:color="auto" w:fill="auto"/>
                  <w:vAlign w:val="center"/>
                </w:tcPr>
                <w:p w14:paraId="5996ACC9">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详细描述了预警发布后的应急处理措施，确保人员和设施安全。</w:t>
                  </w:r>
                </w:p>
              </w:tc>
            </w:tr>
            <w:tr w14:paraId="7DD09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jc w:val="center"/>
              </w:trPr>
              <w:tc>
                <w:tcPr>
                  <w:tcW w:w="401" w:type="pct"/>
                  <w:tcBorders>
                    <w:tl2br w:val="nil"/>
                    <w:tr2bl w:val="nil"/>
                  </w:tcBorders>
                  <w:shd w:val="clear" w:color="auto" w:fill="auto"/>
                  <w:vAlign w:val="center"/>
                </w:tcPr>
                <w:p w14:paraId="2C434261">
                  <w:pPr>
                    <w:widowControl w:val="0"/>
                    <w:numPr>
                      <w:ilvl w:val="0"/>
                      <w:numId w:val="0"/>
                    </w:numPr>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5.2</w:t>
                  </w:r>
                </w:p>
              </w:tc>
              <w:tc>
                <w:tcPr>
                  <w:tcW w:w="996" w:type="pct"/>
                  <w:tcBorders>
                    <w:tl2br w:val="nil"/>
                    <w:tr2bl w:val="nil"/>
                  </w:tcBorders>
                  <w:shd w:val="clear" w:color="auto" w:fill="auto"/>
                  <w:vAlign w:val="center"/>
                </w:tcPr>
                <w:p w14:paraId="550E06CF">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应急响应流程</w:t>
                  </w:r>
                </w:p>
              </w:tc>
              <w:tc>
                <w:tcPr>
                  <w:tcW w:w="3601" w:type="pct"/>
                  <w:tcBorders>
                    <w:tl2br w:val="nil"/>
                    <w:tr2bl w:val="nil"/>
                  </w:tcBorders>
                  <w:shd w:val="clear" w:color="auto" w:fill="auto"/>
                  <w:vAlign w:val="center"/>
                </w:tcPr>
                <w:p w14:paraId="2D70493E">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包括预警发布、应急响应、后续调查和恢复。</w:t>
                  </w:r>
                </w:p>
              </w:tc>
            </w:tr>
            <w:tr w14:paraId="48CAD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jc w:val="center"/>
              </w:trPr>
              <w:tc>
                <w:tcPr>
                  <w:tcW w:w="401" w:type="pct"/>
                  <w:tcBorders>
                    <w:tl2br w:val="nil"/>
                    <w:tr2bl w:val="nil"/>
                  </w:tcBorders>
                  <w:shd w:val="clear" w:color="auto" w:fill="auto"/>
                  <w:vAlign w:val="center"/>
                </w:tcPr>
                <w:p w14:paraId="6EB8A851">
                  <w:pPr>
                    <w:widowControl w:val="0"/>
                    <w:numPr>
                      <w:ilvl w:val="0"/>
                      <w:numId w:val="0"/>
                    </w:numPr>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6</w:t>
                  </w:r>
                </w:p>
              </w:tc>
              <w:tc>
                <w:tcPr>
                  <w:tcW w:w="996" w:type="pct"/>
                  <w:tcBorders>
                    <w:tl2br w:val="nil"/>
                    <w:tr2bl w:val="nil"/>
                  </w:tcBorders>
                  <w:shd w:val="clear" w:color="auto" w:fill="auto"/>
                  <w:vAlign w:val="center"/>
                </w:tcPr>
                <w:p w14:paraId="1113C0E0">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滑坡预警系统的建设与维护</w:t>
                  </w:r>
                </w:p>
              </w:tc>
              <w:tc>
                <w:tcPr>
                  <w:tcW w:w="3601" w:type="pct"/>
                  <w:tcBorders>
                    <w:tl2br w:val="nil"/>
                    <w:tr2bl w:val="nil"/>
                  </w:tcBorders>
                  <w:shd w:val="clear" w:color="auto" w:fill="auto"/>
                  <w:vAlign w:val="center"/>
                </w:tcPr>
                <w:p w14:paraId="3B798584">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规定预警系统的建设要求，确保系统的实时监测和及时预警。系统应定期更新与维护。</w:t>
                  </w:r>
                </w:p>
              </w:tc>
            </w:tr>
            <w:tr w14:paraId="4F6AF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jc w:val="center"/>
              </w:trPr>
              <w:tc>
                <w:tcPr>
                  <w:tcW w:w="401" w:type="pct"/>
                  <w:tcBorders>
                    <w:tl2br w:val="nil"/>
                    <w:tr2bl w:val="nil"/>
                  </w:tcBorders>
                  <w:shd w:val="clear" w:color="auto" w:fill="auto"/>
                  <w:vAlign w:val="center"/>
                </w:tcPr>
                <w:p w14:paraId="263D0BB4">
                  <w:pPr>
                    <w:widowControl w:val="0"/>
                    <w:numPr>
                      <w:ilvl w:val="0"/>
                      <w:numId w:val="0"/>
                    </w:numPr>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6.1</w:t>
                  </w:r>
                </w:p>
              </w:tc>
              <w:tc>
                <w:tcPr>
                  <w:tcW w:w="996" w:type="pct"/>
                  <w:tcBorders>
                    <w:tl2br w:val="nil"/>
                    <w:tr2bl w:val="nil"/>
                  </w:tcBorders>
                  <w:shd w:val="clear" w:color="auto" w:fill="auto"/>
                  <w:vAlign w:val="center"/>
                </w:tcPr>
                <w:p w14:paraId="4EEC008A">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系统建设要求</w:t>
                  </w:r>
                </w:p>
              </w:tc>
              <w:tc>
                <w:tcPr>
                  <w:tcW w:w="3601" w:type="pct"/>
                  <w:tcBorders>
                    <w:tl2br w:val="nil"/>
                    <w:tr2bl w:val="nil"/>
                  </w:tcBorders>
                  <w:shd w:val="clear" w:color="auto" w:fill="auto"/>
                  <w:vAlign w:val="center"/>
                </w:tcPr>
                <w:p w14:paraId="47F5E25E">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系统应具备数据采集、处理、分析和预警发布四个功能模块。</w:t>
                  </w:r>
                </w:p>
              </w:tc>
            </w:tr>
            <w:tr w14:paraId="7313F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jc w:val="center"/>
              </w:trPr>
              <w:tc>
                <w:tcPr>
                  <w:tcW w:w="401" w:type="pct"/>
                  <w:tcBorders>
                    <w:tl2br w:val="nil"/>
                    <w:tr2bl w:val="nil"/>
                  </w:tcBorders>
                  <w:shd w:val="clear" w:color="auto" w:fill="auto"/>
                  <w:vAlign w:val="center"/>
                </w:tcPr>
                <w:p w14:paraId="4A1DA092">
                  <w:pPr>
                    <w:widowControl w:val="0"/>
                    <w:numPr>
                      <w:ilvl w:val="0"/>
                      <w:numId w:val="0"/>
                    </w:numPr>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6.2</w:t>
                  </w:r>
                </w:p>
              </w:tc>
              <w:tc>
                <w:tcPr>
                  <w:tcW w:w="996" w:type="pct"/>
                  <w:tcBorders>
                    <w:tl2br w:val="nil"/>
                    <w:tr2bl w:val="nil"/>
                  </w:tcBorders>
                  <w:shd w:val="clear" w:color="auto" w:fill="auto"/>
                  <w:vAlign w:val="center"/>
                </w:tcPr>
                <w:p w14:paraId="158CC32B">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系统维护与更新</w:t>
                  </w:r>
                </w:p>
              </w:tc>
              <w:tc>
                <w:tcPr>
                  <w:tcW w:w="3601" w:type="pct"/>
                  <w:tcBorders>
                    <w:tl2br w:val="nil"/>
                    <w:tr2bl w:val="nil"/>
                  </w:tcBorders>
                  <w:shd w:val="clear" w:color="auto" w:fill="auto"/>
                  <w:vAlign w:val="center"/>
                </w:tcPr>
                <w:p w14:paraId="1EF6E1AE">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定期检测和优化预警模型，确保系统在技术进步和数据更新时具备灵活性。</w:t>
                  </w:r>
                </w:p>
              </w:tc>
            </w:tr>
            <w:tr w14:paraId="5CA62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jc w:val="center"/>
              </w:trPr>
              <w:tc>
                <w:tcPr>
                  <w:tcW w:w="401" w:type="pct"/>
                  <w:tcBorders>
                    <w:tl2br w:val="nil"/>
                    <w:tr2bl w:val="nil"/>
                  </w:tcBorders>
                  <w:shd w:val="clear" w:color="auto" w:fill="auto"/>
                  <w:vAlign w:val="center"/>
                </w:tcPr>
                <w:p w14:paraId="409C0671">
                  <w:pPr>
                    <w:widowControl w:val="0"/>
                    <w:numPr>
                      <w:ilvl w:val="0"/>
                      <w:numId w:val="0"/>
                    </w:numPr>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7</w:t>
                  </w:r>
                </w:p>
              </w:tc>
              <w:tc>
                <w:tcPr>
                  <w:tcW w:w="996" w:type="pct"/>
                  <w:tcBorders>
                    <w:tl2br w:val="nil"/>
                    <w:tr2bl w:val="nil"/>
                  </w:tcBorders>
                  <w:shd w:val="clear" w:color="auto" w:fill="auto"/>
                  <w:vAlign w:val="center"/>
                </w:tcPr>
                <w:p w14:paraId="2A6B247D">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标准实施与监督</w:t>
                  </w:r>
                </w:p>
              </w:tc>
              <w:tc>
                <w:tcPr>
                  <w:tcW w:w="3601" w:type="pct"/>
                  <w:tcBorders>
                    <w:tl2br w:val="nil"/>
                    <w:tr2bl w:val="nil"/>
                  </w:tcBorders>
                  <w:shd w:val="clear" w:color="auto" w:fill="auto"/>
                  <w:vAlign w:val="center"/>
                </w:tcPr>
                <w:p w14:paraId="583C19F3">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各水利水电工程项目应按照本标准实施预警技术，并由监管部门进行监督与检查。</w:t>
                  </w:r>
                </w:p>
              </w:tc>
            </w:tr>
            <w:tr w14:paraId="0B98C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jc w:val="center"/>
              </w:trPr>
              <w:tc>
                <w:tcPr>
                  <w:tcW w:w="401" w:type="pct"/>
                  <w:tcBorders>
                    <w:tl2br w:val="nil"/>
                    <w:tr2bl w:val="nil"/>
                  </w:tcBorders>
                  <w:shd w:val="clear" w:color="auto" w:fill="auto"/>
                  <w:vAlign w:val="center"/>
                </w:tcPr>
                <w:p w14:paraId="6BCE21FB">
                  <w:pPr>
                    <w:widowControl w:val="0"/>
                    <w:numPr>
                      <w:ilvl w:val="0"/>
                      <w:numId w:val="0"/>
                    </w:numPr>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7.1</w:t>
                  </w:r>
                </w:p>
              </w:tc>
              <w:tc>
                <w:tcPr>
                  <w:tcW w:w="996" w:type="pct"/>
                  <w:tcBorders>
                    <w:tl2br w:val="nil"/>
                    <w:tr2bl w:val="nil"/>
                  </w:tcBorders>
                  <w:shd w:val="clear" w:color="auto" w:fill="auto"/>
                  <w:vAlign w:val="center"/>
                </w:tcPr>
                <w:p w14:paraId="01E62046">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实施要求</w:t>
                  </w:r>
                </w:p>
              </w:tc>
              <w:tc>
                <w:tcPr>
                  <w:tcW w:w="3601" w:type="pct"/>
                  <w:tcBorders>
                    <w:tl2br w:val="nil"/>
                    <w:tr2bl w:val="nil"/>
                  </w:tcBorders>
                  <w:shd w:val="clear" w:color="auto" w:fill="auto"/>
                  <w:vAlign w:val="center"/>
                </w:tcPr>
                <w:p w14:paraId="3B5CBE51">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确保项目按标准开展滑坡预警工作，落实技术要求。</w:t>
                  </w:r>
                </w:p>
              </w:tc>
            </w:tr>
            <w:tr w14:paraId="2F629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jc w:val="center"/>
              </w:trPr>
              <w:tc>
                <w:tcPr>
                  <w:tcW w:w="401" w:type="pct"/>
                  <w:tcBorders>
                    <w:tl2br w:val="nil"/>
                    <w:tr2bl w:val="nil"/>
                  </w:tcBorders>
                  <w:shd w:val="clear" w:color="auto" w:fill="auto"/>
                  <w:vAlign w:val="center"/>
                </w:tcPr>
                <w:p w14:paraId="3F203FB7">
                  <w:pPr>
                    <w:widowControl w:val="0"/>
                    <w:numPr>
                      <w:ilvl w:val="0"/>
                      <w:numId w:val="0"/>
                    </w:numPr>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7.2</w:t>
                  </w:r>
                </w:p>
              </w:tc>
              <w:tc>
                <w:tcPr>
                  <w:tcW w:w="996" w:type="pct"/>
                  <w:tcBorders>
                    <w:tl2br w:val="nil"/>
                    <w:tr2bl w:val="nil"/>
                  </w:tcBorders>
                  <w:shd w:val="clear" w:color="auto" w:fill="auto"/>
                  <w:vAlign w:val="center"/>
                </w:tcPr>
                <w:p w14:paraId="7C474219">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监督与检查</w:t>
                  </w:r>
                </w:p>
              </w:tc>
              <w:tc>
                <w:tcPr>
                  <w:tcW w:w="3601" w:type="pct"/>
                  <w:tcBorders>
                    <w:tl2br w:val="nil"/>
                    <w:tr2bl w:val="nil"/>
                  </w:tcBorders>
                  <w:shd w:val="clear" w:color="auto" w:fill="auto"/>
                  <w:vAlign w:val="center"/>
                </w:tcPr>
                <w:p w14:paraId="2EF1094A">
                  <w:pPr>
                    <w:widowControl w:val="0"/>
                    <w:numPr>
                      <w:ilvl w:val="0"/>
                      <w:numId w:val="0"/>
                    </w:numPr>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对标准实施效果进行监督检查，确保标准的执行和改进。</w:t>
                  </w:r>
                </w:p>
              </w:tc>
            </w:tr>
          </w:tbl>
          <w:p w14:paraId="633CFA1D">
            <w:pPr>
              <w:numPr>
                <w:ilvl w:val="0"/>
                <w:numId w:val="0"/>
              </w:numPr>
              <w:jc w:val="left"/>
              <w:rPr>
                <w:rFonts w:hint="default" w:ascii="Times New Roman" w:hAnsi="Times New Roman" w:eastAsia="宋体" w:cs="Times New Roman"/>
                <w:b/>
                <w:bCs/>
                <w:kern w:val="2"/>
                <w:sz w:val="24"/>
                <w:szCs w:val="24"/>
                <w:lang w:val="en-US" w:eastAsia="zh-CN" w:bidi="ar-SA"/>
              </w:rPr>
            </w:pPr>
            <w:r>
              <w:rPr>
                <w:rFonts w:hint="default" w:ascii="Times New Roman" w:hAnsi="Times New Roman" w:eastAsia="宋体" w:cs="Times New Roman"/>
                <w:b/>
                <w:bCs/>
                <w:kern w:val="2"/>
                <w:sz w:val="24"/>
                <w:szCs w:val="24"/>
                <w:lang w:val="en-US" w:eastAsia="zh-CN" w:bidi="ar-SA"/>
              </w:rPr>
              <w:t>三、主要技术内容</w:t>
            </w:r>
          </w:p>
          <w:p w14:paraId="053A9495">
            <w:pPr>
              <w:widowControl w:val="0"/>
              <w:numPr>
                <w:ilvl w:val="0"/>
                <w:numId w:val="0"/>
              </w:numPr>
              <w:jc w:val="left"/>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w:t>
            </w:r>
            <w:r>
              <w:rPr>
                <w:rFonts w:hint="default" w:ascii="Times New Roman" w:hAnsi="Times New Roman" w:eastAsia="宋体" w:cs="Times New Roman"/>
                <w:szCs w:val="21"/>
                <w:lang w:val="en-US" w:eastAsia="zh-CN"/>
              </w:rPr>
              <w:t>滑坡预警技术要求</w:t>
            </w:r>
            <w:r>
              <w:rPr>
                <w:rFonts w:hint="eastAsia" w:ascii="Times New Roman" w:hAnsi="Times New Roman" w:eastAsia="宋体" w:cs="Times New Roman"/>
                <w:szCs w:val="21"/>
                <w:lang w:val="en-US" w:eastAsia="zh-CN"/>
              </w:rPr>
              <w:t>：首先，滑坡监测应采用多种技术手段，如地质雷达、遥感、地下水监测等，确保数据的全面性与准确性。其次，数据采集的频率应不低于1次/小时，所有数据应实时上传并存储在中央数据库中，确保数据处理的及时性和可靠性。预警模型需要结合地质、气象、历史数据等信息，实时评估滑坡风险，并划分红色、橙色、黄色、蓝色四个预警级别，以便及时响应。</w:t>
            </w:r>
          </w:p>
          <w:p w14:paraId="2A473E9D">
            <w:pPr>
              <w:widowControl w:val="0"/>
              <w:numPr>
                <w:ilvl w:val="0"/>
                <w:numId w:val="0"/>
              </w:numPr>
              <w:jc w:val="left"/>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（2）应急响应要求：</w:t>
            </w:r>
            <w:r>
              <w:rPr>
                <w:rFonts w:hint="default" w:ascii="Times New Roman" w:hAnsi="Times New Roman" w:eastAsia="宋体" w:cs="Times New Roman"/>
                <w:szCs w:val="21"/>
                <w:lang w:val="en-US" w:eastAsia="zh-CN"/>
              </w:rPr>
              <w:t>滑坡预警发布后，应根据不同的预警级别启动相应的应急预案。预警级别为红色和橙色时，应立即启动人员撤离和工程加固等应急措施；黄色和蓝色预警时，重点加强监测与防范。应急响应流程包括预警发布、现场应急处理、灾后恢复等，确保人员安全和设施保护。所有应急措施需提前预案，确保高效应对滑坡灾害。</w:t>
            </w:r>
          </w:p>
          <w:p w14:paraId="2FD66F75">
            <w:pPr>
              <w:widowControl w:val="0"/>
              <w:numPr>
                <w:ilvl w:val="0"/>
                <w:numId w:val="1"/>
              </w:numPr>
              <w:jc w:val="left"/>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滑坡预警系统的建设与维护：</w:t>
            </w:r>
            <w:r>
              <w:rPr>
                <w:rFonts w:hint="default" w:ascii="Times New Roman" w:hAnsi="Times New Roman" w:eastAsia="宋体" w:cs="Times New Roman"/>
                <w:szCs w:val="21"/>
                <w:lang w:val="en-US" w:eastAsia="zh-CN"/>
              </w:rPr>
              <w:t>滑坡预警系统的建设应包含数据采集、数据处理、预警分析和信息发布四个基本功能模块。系统应确保能够实时监控滑坡动态，并及时发布预警信息。此外，监测设备应具备足够的灵敏度和稳定性，确保在各种环境条件下正常运行。系统建设完成后，应定期进行检测和维护，及时更新预警模型，确保技术水平与数据准确性不断提升</w:t>
            </w:r>
            <w:r>
              <w:rPr>
                <w:rFonts w:hint="eastAsia" w:ascii="Times New Roman" w:hAnsi="Times New Roman" w:eastAsia="宋体" w:cs="Times New Roman"/>
                <w:szCs w:val="21"/>
                <w:lang w:val="en-US" w:eastAsia="zh-CN"/>
              </w:rPr>
              <w:t>。</w:t>
            </w:r>
          </w:p>
          <w:p w14:paraId="3CB10E4E">
            <w:pPr>
              <w:widowControl w:val="0"/>
              <w:numPr>
                <w:ilvl w:val="0"/>
                <w:numId w:val="1"/>
              </w:numPr>
              <w:ind w:left="0" w:leftChars="0" w:firstLine="0" w:firstLineChars="0"/>
              <w:jc w:val="left"/>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标准实施与监督：</w:t>
            </w:r>
            <w:r>
              <w:rPr>
                <w:rFonts w:hint="default" w:ascii="Times New Roman" w:hAnsi="Times New Roman" w:eastAsia="宋体" w:cs="Times New Roman"/>
                <w:szCs w:val="21"/>
                <w:lang w:val="en-US" w:eastAsia="zh-CN"/>
              </w:rPr>
              <w:t>水利水电工程项目应依据本标准实施滑坡预警技术，确保技术要求得到有效落实。项目方需定期进行预警系统的测试与演练，确保其可靠性与准确性。相关监管部门应对标准的实施情况进行监督检查，评估预警系统的运行效果，提出改进意见。定期评估与检查能够确保标准的有效执行和技术的持续优化。</w:t>
            </w:r>
          </w:p>
        </w:tc>
      </w:tr>
      <w:tr w14:paraId="6D667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5" w:hRule="atLeast"/>
          <w:jc w:val="center"/>
        </w:trPr>
        <w:tc>
          <w:tcPr>
            <w:tcW w:w="8652" w:type="dxa"/>
            <w:vAlign w:val="center"/>
          </w:tcPr>
          <w:p w14:paraId="4F49BFBC">
            <w:pPr>
              <w:jc w:val="lef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起草单位及相关业绩简介</w:t>
            </w:r>
          </w:p>
          <w:p w14:paraId="3C23F5E8">
            <w:pPr>
              <w:jc w:val="lef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标准依托的主要技术、产品情况及（或）工程应用情况简介</w:t>
            </w:r>
          </w:p>
          <w:p w14:paraId="62EBE211">
            <w:pPr>
              <w:jc w:val="left"/>
              <w:rPr>
                <w:rFonts w:ascii="Times New Roman" w:hAnsi="Times New Roman" w:eastAsia="宋体" w:cs="Times New Roman"/>
                <w:color w:val="FF0000"/>
                <w:szCs w:val="21"/>
              </w:rPr>
            </w:pPr>
            <w:r>
              <w:rPr>
                <w:rFonts w:hint="eastAsia" w:ascii="Times New Roman" w:hAnsi="Times New Roman" w:eastAsia="宋体" w:cs="Times New Roman"/>
                <w:color w:val="FF0000"/>
                <w:szCs w:val="21"/>
              </w:rPr>
              <w:t>重点介绍与标准内容相关的业绩</w:t>
            </w:r>
          </w:p>
          <w:p w14:paraId="737DF9EA">
            <w:pPr>
              <w:jc w:val="left"/>
              <w:rPr>
                <w:rFonts w:ascii="Times New Roman" w:hAnsi="Times New Roman" w:eastAsia="宋体" w:cs="Times New Roman"/>
                <w:b/>
                <w:bCs/>
                <w:color w:val="FF0000"/>
                <w:sz w:val="24"/>
                <w:szCs w:val="24"/>
              </w:rPr>
            </w:pPr>
            <w:r>
              <w:rPr>
                <w:rFonts w:hint="eastAsia" w:ascii="Times New Roman" w:hAnsi="Times New Roman" w:eastAsia="宋体" w:cs="Times New Roman"/>
                <w:color w:val="FF0000"/>
                <w:szCs w:val="21"/>
              </w:rPr>
              <w:t>包括技术、产品的要点，成果评价、专利及获奖情况，工程应用情况等</w:t>
            </w:r>
          </w:p>
          <w:p w14:paraId="31DC86F7">
            <w:pPr>
              <w:jc w:val="left"/>
              <w:rPr>
                <w:rFonts w:ascii="Times New Roman" w:hAnsi="Times New Roman" w:eastAsia="宋体" w:cs="Times New Roman"/>
                <w:color w:val="FF0000"/>
                <w:szCs w:val="21"/>
              </w:rPr>
            </w:pPr>
            <w:r>
              <w:rPr>
                <w:rFonts w:hint="eastAsia" w:ascii="Times New Roman" w:hAnsi="Times New Roman" w:eastAsia="宋体" w:cs="Times New Roman"/>
                <w:color w:val="FF0000"/>
                <w:szCs w:val="21"/>
              </w:rPr>
              <w:t>（本段文字编写后删掉）</w:t>
            </w:r>
          </w:p>
          <w:p w14:paraId="32DCF7A3">
            <w:pPr>
              <w:jc w:val="left"/>
              <w:rPr>
                <w:rFonts w:ascii="Times New Roman" w:hAnsi="Times New Roman" w:eastAsia="宋体" w:cs="Times New Roman"/>
                <w:b/>
                <w:bCs/>
                <w:sz w:val="24"/>
                <w:szCs w:val="24"/>
              </w:rPr>
            </w:pPr>
          </w:p>
          <w:p w14:paraId="7A1B8A00">
            <w:pPr>
              <w:jc w:val="left"/>
              <w:rPr>
                <w:rFonts w:ascii="Times New Roman" w:hAnsi="Times New Roman" w:eastAsia="宋体" w:cs="Times New Roman"/>
                <w:b/>
                <w:bCs/>
                <w:sz w:val="24"/>
                <w:szCs w:val="24"/>
              </w:rPr>
            </w:pPr>
          </w:p>
          <w:p w14:paraId="09EB94C9">
            <w:pPr>
              <w:jc w:val="left"/>
              <w:rPr>
                <w:rFonts w:ascii="Times New Roman" w:hAnsi="Times New Roman" w:eastAsia="宋体" w:cs="Times New Roman"/>
                <w:b/>
                <w:bCs/>
                <w:sz w:val="24"/>
                <w:szCs w:val="24"/>
              </w:rPr>
            </w:pPr>
          </w:p>
          <w:p w14:paraId="061390DE">
            <w:pPr>
              <w:jc w:val="left"/>
              <w:rPr>
                <w:rFonts w:ascii="Times New Roman" w:hAnsi="Times New Roman" w:eastAsia="宋体" w:cs="Times New Roman"/>
                <w:b/>
                <w:bCs/>
                <w:sz w:val="24"/>
                <w:szCs w:val="24"/>
              </w:rPr>
            </w:pPr>
          </w:p>
          <w:p w14:paraId="34069E04">
            <w:pPr>
              <w:jc w:val="left"/>
              <w:rPr>
                <w:rFonts w:ascii="Times New Roman" w:hAnsi="Times New Roman" w:eastAsia="宋体" w:cs="Times New Roman"/>
                <w:b/>
                <w:bCs/>
                <w:sz w:val="24"/>
                <w:szCs w:val="24"/>
              </w:rPr>
            </w:pPr>
          </w:p>
          <w:p w14:paraId="3A109AC5">
            <w:pPr>
              <w:jc w:val="left"/>
              <w:rPr>
                <w:rFonts w:ascii="Times New Roman" w:hAnsi="Times New Roman" w:eastAsia="宋体" w:cs="Times New Roman"/>
                <w:b/>
                <w:bCs/>
                <w:sz w:val="24"/>
                <w:szCs w:val="24"/>
              </w:rPr>
            </w:pPr>
          </w:p>
          <w:p w14:paraId="0AAD03CD">
            <w:pPr>
              <w:ind w:firstLine="482" w:firstLineChars="200"/>
              <w:jc w:val="left"/>
              <w:rPr>
                <w:rFonts w:ascii="Times New Roman" w:hAnsi="Times New Roman" w:eastAsia="宋体" w:cs="Times New Roman"/>
                <w:b/>
                <w:bCs/>
                <w:sz w:val="24"/>
                <w:szCs w:val="24"/>
              </w:rPr>
            </w:pPr>
          </w:p>
        </w:tc>
      </w:tr>
      <w:tr w14:paraId="479E2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0" w:hRule="atLeast"/>
          <w:jc w:val="center"/>
        </w:trPr>
        <w:tc>
          <w:tcPr>
            <w:tcW w:w="8652" w:type="dxa"/>
            <w:vAlign w:val="center"/>
          </w:tcPr>
          <w:p w14:paraId="503EEA49">
            <w:pPr>
              <w:jc w:val="lef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标准贯宣、推广计划</w:t>
            </w:r>
          </w:p>
          <w:p w14:paraId="7CDA0525">
            <w:pPr>
              <w:jc w:val="left"/>
              <w:rPr>
                <w:rFonts w:ascii="Times New Roman" w:hAnsi="Times New Roman" w:eastAsia="宋体" w:cs="Times New Roman"/>
                <w:b/>
                <w:bCs/>
                <w:sz w:val="24"/>
                <w:szCs w:val="24"/>
              </w:rPr>
            </w:pPr>
          </w:p>
          <w:p w14:paraId="0835D5A4">
            <w:pPr>
              <w:jc w:val="left"/>
              <w:rPr>
                <w:rFonts w:ascii="Times New Roman" w:hAnsi="Times New Roman" w:eastAsia="宋体" w:cs="Times New Roman"/>
                <w:b/>
                <w:bCs/>
                <w:sz w:val="24"/>
                <w:szCs w:val="24"/>
              </w:rPr>
            </w:pPr>
          </w:p>
          <w:p w14:paraId="177808FD">
            <w:pPr>
              <w:jc w:val="left"/>
              <w:rPr>
                <w:rFonts w:ascii="Times New Roman" w:hAnsi="Times New Roman" w:eastAsia="宋体" w:cs="Times New Roman"/>
                <w:b/>
                <w:bCs/>
                <w:sz w:val="24"/>
                <w:szCs w:val="24"/>
              </w:rPr>
            </w:pPr>
          </w:p>
          <w:p w14:paraId="27D02141">
            <w:pPr>
              <w:jc w:val="left"/>
              <w:rPr>
                <w:rFonts w:ascii="Times New Roman" w:hAnsi="Times New Roman" w:eastAsia="宋体" w:cs="Times New Roman"/>
                <w:b/>
                <w:bCs/>
                <w:sz w:val="24"/>
                <w:szCs w:val="24"/>
              </w:rPr>
            </w:pPr>
          </w:p>
          <w:p w14:paraId="331AE4A5">
            <w:pPr>
              <w:jc w:val="left"/>
              <w:rPr>
                <w:rFonts w:ascii="Times New Roman" w:hAnsi="Times New Roman" w:eastAsia="宋体" w:cs="Times New Roman"/>
                <w:b/>
                <w:bCs/>
                <w:sz w:val="24"/>
                <w:szCs w:val="24"/>
              </w:rPr>
            </w:pPr>
          </w:p>
        </w:tc>
      </w:tr>
      <w:tr w14:paraId="0F6F3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50" w:hRule="atLeast"/>
          <w:jc w:val="center"/>
        </w:trPr>
        <w:tc>
          <w:tcPr>
            <w:tcW w:w="8652" w:type="dxa"/>
            <w:vAlign w:val="center"/>
          </w:tcPr>
          <w:p w14:paraId="5AA94EF0">
            <w:pPr>
              <w:spacing w:line="360" w:lineRule="auto"/>
              <w:jc w:val="lef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八、申报单位意见</w:t>
            </w:r>
          </w:p>
          <w:p w14:paraId="73476BC2">
            <w:pPr>
              <w:spacing w:line="480" w:lineRule="auto"/>
              <w:ind w:firstLine="2880" w:firstLineChars="1200"/>
              <w:rPr>
                <w:rFonts w:ascii="Times New Roman" w:hAnsi="Times New Roman" w:eastAsia="宋体" w:cs="Times New Roman"/>
                <w:sz w:val="24"/>
                <w:szCs w:val="24"/>
              </w:rPr>
            </w:pPr>
            <w:r>
              <w:rPr>
                <w:rFonts w:hint="eastAsia" w:ascii="Times New Roman" w:hAnsi="Times New Roman" w:eastAsia="宋体" w:cs="Times New Roman"/>
                <w:sz w:val="24"/>
                <w:szCs w:val="24"/>
              </w:rPr>
              <w:t>申报单位负责人签字：</w:t>
            </w:r>
          </w:p>
          <w:p w14:paraId="37B59FFE">
            <w:pPr>
              <w:spacing w:line="480" w:lineRule="auto"/>
              <w:ind w:firstLine="6240" w:firstLineChars="2600"/>
              <w:rPr>
                <w:rFonts w:ascii="Times New Roman" w:hAnsi="Times New Roman" w:eastAsia="宋体" w:cs="Times New Roman"/>
                <w:sz w:val="24"/>
                <w:szCs w:val="24"/>
              </w:rPr>
            </w:pPr>
            <w:r>
              <w:rPr>
                <w:rFonts w:hint="eastAsia" w:ascii="Times New Roman" w:hAnsi="Times New Roman" w:eastAsia="宋体" w:cs="Times New Roman"/>
                <w:sz w:val="24"/>
                <w:szCs w:val="24"/>
              </w:rPr>
              <w:t>（公章）</w:t>
            </w:r>
          </w:p>
          <w:p w14:paraId="611B19D0">
            <w:pPr>
              <w:jc w:val="right"/>
              <w:rPr>
                <w:rFonts w:ascii="Times New Roman" w:hAnsi="Times New Roman" w:eastAsia="宋体" w:cs="Times New Roman"/>
                <w:sz w:val="24"/>
                <w:szCs w:val="24"/>
              </w:rPr>
            </w:pPr>
            <w:r>
              <w:rPr>
                <w:rFonts w:hint="eastAsia" w:ascii="Times New Roman" w:hAnsi="Times New Roman" w:eastAsia="宋体" w:cs="Times New Roman"/>
                <w:sz w:val="24"/>
                <w:szCs w:val="24"/>
              </w:rPr>
              <w:t>年    月    日</w:t>
            </w:r>
          </w:p>
          <w:p w14:paraId="2380C3A8">
            <w:pPr>
              <w:jc w:val="right"/>
              <w:rPr>
                <w:rFonts w:ascii="Times New Roman" w:hAnsi="Times New Roman" w:eastAsia="宋体" w:cs="Times New Roman"/>
                <w:sz w:val="24"/>
                <w:szCs w:val="24"/>
              </w:rPr>
            </w:pPr>
          </w:p>
          <w:p w14:paraId="2B03DE33">
            <w:pPr>
              <w:ind w:right="1320"/>
              <w:rPr>
                <w:rFonts w:ascii="Times New Roman" w:hAnsi="Times New Roman" w:eastAsia="宋体" w:cs="Times New Roman"/>
                <w:b/>
                <w:bCs/>
                <w:sz w:val="24"/>
                <w:szCs w:val="24"/>
              </w:rPr>
            </w:pPr>
          </w:p>
        </w:tc>
      </w:tr>
    </w:tbl>
    <w:p w14:paraId="5FC6DD1C"/>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宋体" w:hAnsi="宋体" w:eastAsia="宋体" w:cs="Times New Roman"/>
        <w:kern w:val="2"/>
        <w:sz w:val="21"/>
        <w:szCs w:val="22"/>
        <w:lang w:val="en-US" w:eastAsia="zh-CN" w:bidi="ar-SA"/>
      </w:rPr>
      <w:id w:val="-1671170622"/>
      <w:docPartObj>
        <w:docPartGallery w:val="autotext"/>
      </w:docPartObj>
    </w:sdtPr>
    <w:sdtEndPr>
      <w:rPr>
        <w:rFonts w:ascii="宋体" w:hAnsi="宋体" w:eastAsia="宋体" w:cs="Times New Roman"/>
        <w:kern w:val="2"/>
        <w:sz w:val="18"/>
        <w:szCs w:val="18"/>
        <w:lang w:val="en-US" w:eastAsia="zh-CN" w:bidi="ar-SA"/>
      </w:rPr>
    </w:sdtEndPr>
    <w:sdtContent>
      <w:p w14:paraId="48C505F9">
        <w:pPr>
          <w:framePr w:wrap="auto" w:vAnchor="text" w:hAnchor="margin" w:xAlign="center" w:y="1"/>
          <w:widowControl w:val="0"/>
          <w:tabs>
            <w:tab w:val="center" w:pos="4153"/>
            <w:tab w:val="right" w:pos="8306"/>
          </w:tabs>
          <w:snapToGrid w:val="0"/>
          <w:jc w:val="left"/>
          <w:rPr>
            <w:rFonts w:ascii="宋体" w:hAnsi="宋体" w:eastAsia="宋体" w:cs="Times New Roman"/>
            <w:kern w:val="2"/>
            <w:sz w:val="18"/>
            <w:szCs w:val="18"/>
            <w:lang w:val="en-US" w:eastAsia="zh-CN" w:bidi="ar-SA"/>
          </w:rPr>
        </w:pPr>
        <w:bookmarkStart w:id="0" w:name="_Toc44261735"/>
        <w:r>
          <w:rPr>
            <w:rFonts w:ascii="宋体" w:hAnsi="宋体" w:eastAsia="宋体" w:cs="Times New Roman"/>
            <w:kern w:val="2"/>
            <w:sz w:val="21"/>
            <w:szCs w:val="22"/>
            <w:lang w:val="en-US" w:eastAsia="zh-CN" w:bidi="ar-SA"/>
          </w:rPr>
          <w:fldChar w:fldCharType="begin"/>
        </w:r>
        <w:r>
          <w:rPr>
            <w:rFonts w:ascii="宋体" w:hAnsi="宋体" w:eastAsia="宋体" w:cs="Times New Roman"/>
            <w:kern w:val="2"/>
            <w:sz w:val="21"/>
            <w:szCs w:val="22"/>
            <w:lang w:val="en-US" w:eastAsia="zh-CN" w:bidi="ar-SA"/>
          </w:rPr>
          <w:instrText xml:space="preserve"> PAGE </w:instrText>
        </w:r>
        <w:r>
          <w:rPr>
            <w:rFonts w:ascii="宋体" w:hAnsi="宋体" w:eastAsia="宋体" w:cs="Times New Roman"/>
            <w:kern w:val="2"/>
            <w:sz w:val="21"/>
            <w:szCs w:val="22"/>
            <w:lang w:val="en-US" w:eastAsia="zh-CN" w:bidi="ar-SA"/>
          </w:rPr>
          <w:fldChar w:fldCharType="separate"/>
        </w:r>
        <w:r>
          <w:rPr>
            <w:rFonts w:ascii="宋体" w:hAnsi="宋体" w:eastAsia="宋体" w:cs="Times New Roman"/>
            <w:kern w:val="2"/>
            <w:sz w:val="21"/>
            <w:szCs w:val="22"/>
            <w:lang w:val="en-US" w:eastAsia="zh-CN" w:bidi="ar-SA"/>
          </w:rPr>
          <w:t>1</w:t>
        </w:r>
        <w:r>
          <w:rPr>
            <w:rFonts w:ascii="宋体" w:hAnsi="宋体" w:eastAsia="宋体" w:cs="Times New Roman"/>
            <w:kern w:val="2"/>
            <w:sz w:val="21"/>
            <w:szCs w:val="22"/>
            <w:lang w:val="en-US" w:eastAsia="zh-CN" w:bidi="ar-SA"/>
          </w:rPr>
          <w:fldChar w:fldCharType="end"/>
        </w:r>
      </w:p>
    </w:sdtContent>
  </w:sdt>
  <w:bookmarkEnd w:id="0"/>
  <w:p w14:paraId="627DECB2">
    <w:pPr>
      <w:widowControl w:val="0"/>
      <w:tabs>
        <w:tab w:val="center" w:pos="4153"/>
        <w:tab w:val="right" w:pos="8306"/>
      </w:tabs>
      <w:snapToGrid w:val="0"/>
      <w:jc w:val="left"/>
      <w:rPr>
        <w:rFonts w:ascii="等线" w:hAnsi="等线" w:eastAsia="等线" w:cs="Times New Roman"/>
        <w:kern w:val="2"/>
        <w:sz w:val="18"/>
        <w:szCs w:val="18"/>
        <w:lang w:val="en-US" w:eastAsia="zh-CN" w:bidi="ar-S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A233CB5"/>
    <w:multiLevelType w:val="singleLevel"/>
    <w:tmpl w:val="FA233CB5"/>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3ZDBjNTg0YTU0MjQ0NTAxNmZmYWRkNjRhMjUyNzIifQ=="/>
  </w:docVars>
  <w:rsids>
    <w:rsidRoot w:val="5A4F6C8C"/>
    <w:rsid w:val="06412A76"/>
    <w:rsid w:val="094B66CA"/>
    <w:rsid w:val="13D70B10"/>
    <w:rsid w:val="2BCF241B"/>
    <w:rsid w:val="2C15164F"/>
    <w:rsid w:val="37AE27D0"/>
    <w:rsid w:val="3A1038BC"/>
    <w:rsid w:val="3E4258BF"/>
    <w:rsid w:val="569A3852"/>
    <w:rsid w:val="5A4F6C8C"/>
    <w:rsid w:val="79C42B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7020</Words>
  <Characters>7196</Characters>
  <Lines>0</Lines>
  <Paragraphs>0</Paragraphs>
  <TotalTime>39</TotalTime>
  <ScaleCrop>false</ScaleCrop>
  <LinksUpToDate>false</LinksUpToDate>
  <CharactersWithSpaces>7235</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2024-01-30T23:09:00Z</dcterms:created>
  <dc:creator>郑华林</dc:creator>
  <cp:lastModifiedBy>陈静</cp:lastModifiedBy>
  <dcterms:modified xsi:type="dcterms:W3CDTF">2025-05-15T03:44:31Z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115B3591814B4F089D898182A71ACF87_11</vt:lpwstr>
  </property>
  <property fmtid="{D5CDD505-2E9C-101B-9397-08002B2CF9AE}" pid="4" name="KSOTemplateDocerSaveRecord">
    <vt:lpwstr>eyJoZGlkIjoiYmU0YmUzNzc3ZmVkNWNiMDhiYzI1MTI2MTQ2ZmNjMjciLCJ1c2VySWQiOiI0MTcxMDI0OTMifQ==</vt:lpwstr>
  </property>
</Properties>
</file>