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pPr w:leftFromText="180" w:rightFromText="180" w:vertAnchor="text" w:tblpXSpec="center" w:tblpY="196"/>
        <w:tblW w:w="885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6"/>
      </w:tblGrid>
      <w:tr w14:paraId="096CE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8766" w:type="dxa"/>
            <w:vAlign w:val="center"/>
          </w:tcPr>
          <w:p w14:paraId="62802EE5">
            <w:pPr>
              <w:spacing w:line="360" w:lineRule="auto"/>
              <w:jc w:val="lef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背景、意义及必要性</w:t>
            </w:r>
          </w:p>
          <w:p w14:paraId="261FEC2E">
            <w:pPr>
              <w:rPr>
                <w:rFonts w:ascii="宋体" w:hAnsi="宋体" w:eastAsia="宋体" w:cs="Times New Roman"/>
                <w:b/>
                <w:sz w:val="24"/>
                <w:szCs w:val="24"/>
              </w:rPr>
            </w:pPr>
            <w:r>
              <w:rPr>
                <w:rFonts w:hint="eastAsia" w:ascii="宋体" w:hAnsi="宋体" w:eastAsia="宋体" w:cs="Times New Roman"/>
                <w:b/>
                <w:sz w:val="24"/>
                <w:szCs w:val="24"/>
              </w:rPr>
              <w:t>1.</w:t>
            </w:r>
            <w:r>
              <w:rPr>
                <w:rFonts w:ascii="宋体" w:hAnsi="宋体" w:eastAsia="宋体" w:cs="Times New Roman"/>
                <w:b/>
                <w:sz w:val="24"/>
                <w:szCs w:val="24"/>
              </w:rPr>
              <w:t>背景：</w:t>
            </w:r>
          </w:p>
          <w:p w14:paraId="7B2290A6">
            <w:pPr>
              <w:spacing w:line="360" w:lineRule="auto"/>
              <w:ind w:firstLine="480" w:firstLineChars="20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从国家背景分析，我国高度重视水库大坝的安全性问题，并通过制定严格的安全技术规范、加强行业管理和推动技术进步来确保水库大坝的安全性能，从而保护人民群众的生命财产安全并促进行业的健康发展。因此，水库大坝除险加固技术</w:t>
            </w:r>
            <w:bookmarkStart w:id="1" w:name="_GoBack"/>
            <w:bookmarkEnd w:id="1"/>
            <w:r>
              <w:rPr>
                <w:rFonts w:hint="eastAsia" w:ascii="宋体" w:hAnsi="宋体" w:eastAsia="宋体" w:cs="宋体"/>
                <w:color w:val="000000" w:themeColor="text1"/>
                <w:sz w:val="24"/>
                <w:lang w:val="en-US" w:eastAsia="zh-CN"/>
                <w14:textFill>
                  <w14:solidFill>
                    <w14:schemeClr w14:val="tx1"/>
                  </w14:solidFill>
                </w14:textFill>
              </w:rPr>
              <w:t>规程的制定势在必行。首先，水库大坝因其在防洪、发电、灌溉等方面的重要作用而被广泛应用于全国各地。随着这些应用领域的快速发展，对水库大坝的安全性能要求也越来越高。</w:t>
            </w:r>
          </w:p>
          <w:p w14:paraId="266F3056">
            <w:pPr>
              <w:spacing w:line="360" w:lineRule="auto"/>
              <w:ind w:firstLine="480" w:firstLineChars="20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其次，水库大坝在极端天气、老化、施工质量问题等情况下可能发生溃坝，导致严重的洪水灾害，严重威胁人民群众的生命财产安全。因此，确保水库大坝的安全性是行业发展的重要前提。</w:t>
            </w:r>
          </w:p>
          <w:p w14:paraId="245C4071">
            <w:pPr>
              <w:spacing w:line="360" w:lineRule="auto"/>
              <w:ind w:firstLine="480" w:firstLineChars="20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然后，随着水库大坝数量的不断增加，市场监管也需要相应的标准来规范产品的质量和安全性，以保护人民群众的利益并促进行业的健康发展。国际大坝委员会（ICOLD）下属的多个技术委员会，负责制定和修订与水库大坝相关的性能和安全标准。这些国际标准的制定为各国制定自己的国家标准提供了重要参考。</w:t>
            </w:r>
          </w:p>
          <w:p w14:paraId="70A7231E">
            <w:pPr>
              <w:spacing w:line="360" w:lineRule="auto"/>
              <w:ind w:firstLine="480" w:firstLineChars="20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最后，水库大坝在建设和使用过程中可能对环境造成影响。制定严格的安全检测标准有助于减少环境污染，符合可持续发展的要求。</w:t>
            </w:r>
          </w:p>
          <w:p w14:paraId="61E37A80">
            <w:pPr>
              <w:spacing w:line="360" w:lineRule="auto"/>
              <w:ind w:firstLine="480" w:firstLineChars="200"/>
              <w:rPr>
                <w:rFonts w:hint="eastAsia" w:ascii="宋体" w:hAnsi="宋体" w:eastAsia="宋体" w:cs="宋体"/>
                <w:color w:val="000000" w:themeColor="text1"/>
                <w:sz w:val="24"/>
                <w:lang w:val="en-US" w:eastAsia="zh-CN"/>
                <w14:textFill>
                  <w14:solidFill>
                    <w14:schemeClr w14:val="tx1"/>
                  </w14:solidFill>
                </w14:textFill>
              </w:rPr>
            </w:pPr>
          </w:p>
          <w:p w14:paraId="6363BCCB">
            <w:pPr>
              <w:spacing w:line="360" w:lineRule="auto"/>
              <w:ind w:firstLine="482" w:firstLineChars="200"/>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从标准角度分析：</w:t>
            </w:r>
          </w:p>
          <w:p w14:paraId="6161E5C9">
            <w:pPr>
              <w:spacing w:line="360" w:lineRule="auto"/>
              <w:ind w:firstLine="480" w:firstLineChars="200"/>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当前国内存在《T/GHLM 017-2024水利建设项目全过程工程咨询标准》《T/CAIEC 003-2024 水利水电建设项目全过程工程咨询服务标准》《T/GDWHA 0016-2023 广东省水利工程建设项目全过程造价咨询规程》《T/GDAEPI 26-2024 水利水电工程生态环境保护全过程咨询服务指南》等咨询类水利工程标准，但有鉴于本次研究的《水库大坝除险加固技术规程》是以除险加固为主要规定目标，与当前所有标准均不存在技术性冲突和重叠，属于填补行业性标准空白。</w:t>
            </w:r>
          </w:p>
          <w:p w14:paraId="5C3E28DE">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宋体"/>
                <w:color w:val="000000" w:themeColor="text1"/>
                <w:sz w:val="24"/>
                <w:lang w:val="en-US" w:eastAsia="zh-CN"/>
                <w14:textFill>
                  <w14:solidFill>
                    <w14:schemeClr w14:val="tx1"/>
                  </w14:solidFill>
                </w14:textFill>
              </w:rPr>
              <w:t>综上所述，制定《水库大坝除险加固技术规程》团体标准的背景是多方面的，不仅包括了技术进步、市场需求、国际标准的影响，还包括了安全监管和环境保护的需要。通过制定和实施这些标准，可以有效提升水库大坝的安全性能，保障人民群众的安全，同时也有助于推动整个行业的健康有序发展。</w:t>
            </w:r>
            <w:r>
              <w:rPr>
                <w:rFonts w:hint="eastAsia" w:ascii="宋体" w:hAnsi="宋体" w:eastAsia="宋体" w:cs="Times New Roman"/>
                <w:sz w:val="24"/>
                <w:szCs w:val="24"/>
                <w:lang w:val="en-US" w:eastAsia="zh-CN"/>
              </w:rPr>
              <w:t>。</w:t>
            </w:r>
          </w:p>
          <w:p w14:paraId="7F0957AC">
            <w:pPr>
              <w:spacing w:line="360" w:lineRule="auto"/>
              <w:rPr>
                <w:rFonts w:hint="default" w:ascii="宋体" w:hAnsi="宋体" w:eastAsia="宋体" w:cs="Times New Roman"/>
                <w:sz w:val="24"/>
                <w:szCs w:val="24"/>
                <w:lang w:val="en-US" w:eastAsia="zh-CN"/>
              </w:rPr>
            </w:pPr>
          </w:p>
          <w:p w14:paraId="36B46B8A">
            <w:pPr>
              <w:spacing w:line="360" w:lineRule="auto"/>
              <w:rPr>
                <w:rFonts w:ascii="宋体" w:hAnsi="宋体" w:eastAsia="宋体" w:cs="Times New Roman"/>
                <w:b/>
                <w:sz w:val="24"/>
                <w:szCs w:val="24"/>
              </w:rPr>
            </w:pPr>
            <w:r>
              <w:rPr>
                <w:rFonts w:hint="eastAsia" w:ascii="宋体" w:hAnsi="宋体" w:eastAsia="宋体" w:cs="Times New Roman"/>
                <w:b/>
                <w:sz w:val="24"/>
                <w:szCs w:val="24"/>
              </w:rPr>
              <w:t>2.</w:t>
            </w:r>
            <w:r>
              <w:rPr>
                <w:rFonts w:ascii="宋体" w:hAnsi="宋体" w:eastAsia="宋体" w:cs="Times New Roman"/>
                <w:b/>
                <w:sz w:val="24"/>
                <w:szCs w:val="24"/>
              </w:rPr>
              <w:t>意义：</w:t>
            </w:r>
          </w:p>
          <w:p w14:paraId="3EE007CE">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2.1制定《水库大坝除险加固技术规程》团体标准对于我国的重要意义主要体现在以下几个方面：</w:t>
            </w:r>
          </w:p>
          <w:p w14:paraId="43AB6493">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首先，这样的标准可以提高水库大坝的安全性和可靠性，有助于保障人民群众的生命财产安全，减少因大坝安全问题引发的事故和风险。</w:t>
            </w:r>
          </w:p>
          <w:p w14:paraId="19D460CD">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其次，标准化可以促进水库大坝行业的健康发展，提高产品质量和竞争力，推动整个行业向更加规范和成熟的方向发展。</w:t>
            </w:r>
          </w:p>
          <w:p w14:paraId="29144A62">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此外，标准化还有助于降低产品开发和生产成本，提高生产效率，促进产业升级和技术创新。</w:t>
            </w:r>
          </w:p>
          <w:p w14:paraId="6A8B2173">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最后，这样的标准也有利于推动国际贸易合作和技术交流，为企业拓展国际市场创造更好的条件。还可以保障水库大坝的安全性、促进产业发展、统一行业标准、引导科技创新和提升国际影响力。</w:t>
            </w:r>
          </w:p>
          <w:p w14:paraId="4AFA438B">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2.2制定《水库大坝除险加固技术规程》团体标准对于中国水利工程咨询集团有限公司的意义主要体现在以下几个方面：</w:t>
            </w:r>
          </w:p>
          <w:p w14:paraId="38B52EC9">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提升行业标准：通过制定团体标准，公司能够推动水库大坝行业安全检测技术的标准化和规范化，提升整个行业的技术水平和产品质量。</w:t>
            </w:r>
          </w:p>
          <w:p w14:paraId="5D43F02F">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促进国际交流与合作：团体标准的制定有助于与国际标准接轨，如ICOLD、ISO等国际标准化组织在水库大坝领域的工作，促进国内外技术交流与合作，提高中国在国际水库大坝领域的话语权。</w:t>
            </w:r>
          </w:p>
          <w:p w14:paraId="40BD7AAE">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保障产品安全：水库大坝作为一种广泛应用的水利工程设施，其安全性关系到人民群众的生命财产安全。团体标准的制定有助于加强对水库大坝产品的安全监管，保障消费者权益。</w:t>
            </w:r>
          </w:p>
          <w:p w14:paraId="62BEE610">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推动技术创新：团体标准的制定过程中，公司可以汇聚行业内的专家学者和技术力量，共同研究和解决水库大坝安全检测中的关键技术问题，推动行业技术创新。</w:t>
            </w:r>
          </w:p>
          <w:p w14:paraId="5E131375">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引导产业升级：随着市场对水库大坝安全性能要求的不断提升，团体标准的制定能够引导企业优化产品设计、生产和检测流程，促进产业结构的调整和升级。</w:t>
            </w:r>
          </w:p>
          <w:p w14:paraId="385D0A6B">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增强行业竞争力：团体标准有助于提升中国水库大坝产品的整体质量和安全性，增强企业在国际市场中的竞争力，推动中国水库大坝行业的健康发展。</w:t>
            </w:r>
          </w:p>
          <w:p w14:paraId="39AB2187">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响应政策号召：中国政府一直重视标准化工作，团体标准的制定是对国家标准化战略的积极响应，有助于实现国家对水利工程产业的长远规划和支持。</w:t>
            </w:r>
          </w:p>
          <w:p w14:paraId="77703347">
            <w:pPr>
              <w:spacing w:line="360" w:lineRule="auto"/>
              <w:rPr>
                <w:rFonts w:ascii="宋体" w:hAnsi="宋体" w:eastAsia="宋体" w:cs="Times New Roman"/>
                <w:sz w:val="24"/>
                <w:szCs w:val="24"/>
              </w:rPr>
            </w:pPr>
            <w:r>
              <w:rPr>
                <w:rFonts w:hint="eastAsia" w:ascii="宋体" w:hAnsi="宋体" w:eastAsia="宋体" w:cs="Times New Roman"/>
                <w:b/>
                <w:sz w:val="24"/>
                <w:szCs w:val="24"/>
              </w:rPr>
              <w:t>3.</w:t>
            </w:r>
            <w:r>
              <w:rPr>
                <w:rFonts w:ascii="宋体" w:hAnsi="宋体" w:eastAsia="宋体" w:cs="Times New Roman"/>
                <w:b/>
                <w:sz w:val="24"/>
                <w:szCs w:val="24"/>
              </w:rPr>
              <w:t>必要性</w:t>
            </w:r>
            <w:r>
              <w:rPr>
                <w:rFonts w:ascii="宋体" w:hAnsi="宋体" w:eastAsia="宋体" w:cs="Times New Roman"/>
                <w:sz w:val="24"/>
                <w:szCs w:val="24"/>
              </w:rPr>
              <w:t>：</w:t>
            </w:r>
          </w:p>
          <w:p w14:paraId="37A9611A">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制定《水库大坝除险加固技术规程》团体标准对于中国国家具有重要的意义，主要体现在以下几个方面：</w:t>
            </w:r>
          </w:p>
          <w:p w14:paraId="5EDA1591">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提升产品安全性：通过明确的安全检测技术规范，可以有效提高水库大坝的安全性能，减少安全事故的发生，保护人民群众的生命财产安全。</w:t>
            </w:r>
          </w:p>
          <w:p w14:paraId="4C2EC51C">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规范市场竞争：该标准的制定有助于规范水库大坝市场的公平竞争，避免劣质产品的流入市场，提升整个行业的产品质量和信誉。</w:t>
            </w:r>
          </w:p>
          <w:p w14:paraId="21CAE6F9">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加强质量管理：标准化的安全检测技术要求有助于加强水库大坝的质量管理，确保大坝产品从设计到生产的每一个环节都符合安全标准。</w:t>
            </w:r>
          </w:p>
          <w:p w14:paraId="57EFDE45">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引导技术升级：随着安全技术规范的实施，将促进企业加大研发投入，推动水库大坝安全技术的不断升级和创新。</w:t>
            </w:r>
          </w:p>
          <w:p w14:paraId="3E0ACD48">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促进产业发展：标准化的技术规范有助于推动水库大坝产业的健康发展，为相关产业链的供应和需求提供稳定的预期。</w:t>
            </w:r>
          </w:p>
          <w:p w14:paraId="1DA54EB5">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支持政策执行：该标准的制定与实施将支持政府在水库大坝行业的管理政策，如水利部发布的《水库大坝安全管理条例》等，有助于推动行业转型升级和技术进步。</w:t>
            </w:r>
          </w:p>
          <w:p w14:paraId="4AC6CB44">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国际竞争力提升：随着国际市场对水库大坝安全性的要求日益严格，拥有国际认可的安全检测标准将有助于提升中国水库大坝产品在国际市场上的竞争力。</w:t>
            </w:r>
          </w:p>
          <w:p w14:paraId="020B9DCE">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环境保护：通过规范的安全生产和测试流程，可以减少因大坝安全事故导致的环境污染，符合可持续发展的要求。</w:t>
            </w:r>
          </w:p>
          <w:p w14:paraId="45CC7326">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法律法规支撑：该标准的制定将为相关法律法规的执行提供技术支撑，使得监管部门在执行过程中有明确的依据和标准可循。</w:t>
            </w:r>
          </w:p>
          <w:p w14:paraId="1EA12653">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消费者权益保护：在使用水库大坝时，能够更加放心，因为他们知道这些产品已经通过了严格的安全检测，其权益得到了更好地保护。</w:t>
            </w:r>
          </w:p>
          <w:p w14:paraId="6F8EB498">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行业共识形成：通过行业协会牵头制定的团体标准，可以形成行业内的共识，促进企业之间的合作与交流，共同推动行业的健康发展。</w:t>
            </w:r>
          </w:p>
          <w:p w14:paraId="647AB39E">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综上所述，制定《水库大坝除险加固技术规程》团体标准对于中国国家具有重要意义，可以推动可持续发展、提高资源利用效率、保护环境和促进技术创新等多方面的发展和进步。</w:t>
            </w:r>
          </w:p>
          <w:p w14:paraId="25EE2162">
            <w:pPr>
              <w:spacing w:line="360" w:lineRule="auto"/>
              <w:ind w:firstLine="480" w:firstLineChars="200"/>
              <w:rPr>
                <w:rFonts w:hint="eastAsia" w:ascii="宋体" w:hAnsi="宋体" w:eastAsia="宋体" w:cs="Times New Roman"/>
                <w:sz w:val="24"/>
                <w:szCs w:val="24"/>
                <w:lang w:val="en-US" w:eastAsia="zh-CN"/>
              </w:rPr>
            </w:pPr>
          </w:p>
          <w:p w14:paraId="4F7031B0">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lang w:val="en-US" w:eastAsia="zh-CN"/>
              </w:rPr>
              <w:t>综上情况，特申请立项《水库大坝除险加固技术规程》团体标准项目。</w:t>
            </w:r>
          </w:p>
        </w:tc>
      </w:tr>
      <w:tr w14:paraId="1EB1F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77" w:hRule="atLeast"/>
        </w:trPr>
        <w:tc>
          <w:tcPr>
            <w:tcW w:w="8766" w:type="dxa"/>
          </w:tcPr>
          <w:p w14:paraId="7672D57F">
            <w:pPr>
              <w:spacing w:line="360" w:lineRule="auto"/>
              <w:jc w:val="left"/>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t>主要内容：</w:t>
            </w:r>
          </w:p>
          <w:p w14:paraId="6DB80C38">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一、范围</w:t>
            </w:r>
          </w:p>
          <w:p w14:paraId="5ACB427E">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适用范围：明确了本文件适用于水库大坝除险加固的技术咨询工作，包括混凝土坝、土石坝等类型的大坝，并指出主要适用于坝体裂缝、渗漏、坝基不稳定及其他结构性问题的除险加固技术指导。</w:t>
            </w:r>
          </w:p>
          <w:p w14:paraId="554C45E2">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二、规范性引用文件</w:t>
            </w:r>
          </w:p>
          <w:p w14:paraId="5E4848CA">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引用标准：列出了在编制本文件时引用的相关标准，包括钢筋混凝土用钢、测量管理体系、防洪标准、水工建筑物抗冰冻设计规范等，确保文件科学性和规范性。</w:t>
            </w:r>
          </w:p>
          <w:p w14:paraId="5F98E8C2">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三、术语和定义</w:t>
            </w:r>
          </w:p>
          <w:p w14:paraId="6C18311D">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术语界定：界定了本文件中使用的相关术语和定义，确保读者对文件内容的准确理解。</w:t>
            </w:r>
          </w:p>
          <w:p w14:paraId="2B5000A7">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四、总则</w:t>
            </w:r>
          </w:p>
          <w:p w14:paraId="1DA30735">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工作原则：提出了技术咨询应遵循的基本原则，包括提高大坝运行管理能力、降低安全隐患、因地制宜、科学规范等。</w:t>
            </w:r>
          </w:p>
          <w:p w14:paraId="68D2DE28">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工作目的：明确了技术咨询的目的是规范流程，确保除险加固措施科学、合理、经济，提高水库大坝的安全性和使用寿命。</w:t>
            </w:r>
          </w:p>
          <w:p w14:paraId="6BCC9212">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五、大坝现状调查与评估</w:t>
            </w:r>
          </w:p>
          <w:p w14:paraId="5847F46C">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调查内容：包括坝体结构状况、监测数据分析及外部环境条件等，全面了解大坝现状。</w:t>
            </w:r>
          </w:p>
          <w:p w14:paraId="57A924DC">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评估方法：基于安全性评估、风险评估及参考评估资料，对大坝现状进行综合评估。</w:t>
            </w:r>
          </w:p>
          <w:p w14:paraId="2BED32DC">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六、除险加固技术咨询要求</w:t>
            </w:r>
          </w:p>
          <w:p w14:paraId="1E6AE083">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设计目标：明确了除险加固设计的基本目标，包括确保大坝结构的安全性、功能的可靠性和工程实施的经济性等。</w:t>
            </w:r>
          </w:p>
          <w:p w14:paraId="181EE978">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设计内容：详细阐述了坝体加固设计、泄洪设施改造、监测系统升级设计等内容，包括防渗设施、抗滑稳定措施、溢洪道扩建及自动化监测系统的设计等。</w:t>
            </w:r>
          </w:p>
          <w:p w14:paraId="0FBC9D6F">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材料要求：对防渗材料、混凝土、钢材等材料提出了具体要求，确保材料质量符合规定。</w:t>
            </w:r>
          </w:p>
          <w:p w14:paraId="161A635F">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技术参数：列出了除险加固实施过程中的关键技术参数，包括防渗帷幕、抗滑桩、溢洪道扩建及监测设备等的技术参数和要求。</w:t>
            </w:r>
          </w:p>
          <w:p w14:paraId="0195AD2D">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七、技术咨询</w:t>
            </w:r>
          </w:p>
          <w:p w14:paraId="3161DB15">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咨询程序：介绍了技术咨询的程序，包括完成大坝现状调查与安全评估、确定技术咨询目标及主要关注领域、数据收集、方案论证及现场技术支持等。</w:t>
            </w:r>
          </w:p>
          <w:p w14:paraId="72750F9A">
            <w:pPr>
              <w:numPr>
                <w:ilvl w:val="0"/>
                <w:numId w:val="1"/>
              </w:num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咨询成果</w:t>
            </w:r>
          </w:p>
          <w:p w14:paraId="49A0EBCA">
            <w:pPr>
              <w:numPr>
                <w:ilvl w:val="0"/>
                <w:numId w:val="0"/>
              </w:num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咨询后的结果：明确了咨询后应形成完整的技术咨询报告，包括问题诊断、加固建议及施工指导等。</w:t>
            </w:r>
          </w:p>
          <w:p w14:paraId="7D884045">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验收要求：提出了技术咨询成果的验收要求，包括专家评审及评价指标等。。</w:t>
            </w:r>
          </w:p>
          <w:p w14:paraId="058B72E7">
            <w:pPr>
              <w:spacing w:line="360" w:lineRule="auto"/>
              <w:ind w:firstLine="480" w:firstLineChars="200"/>
              <w:rPr>
                <w:rFonts w:hint="eastAsia" w:ascii="宋体" w:hAnsi="宋体" w:eastAsia="宋体" w:cs="Times New Roman"/>
                <w:sz w:val="24"/>
                <w:szCs w:val="24"/>
                <w:lang w:val="en-US" w:eastAsia="zh-CN"/>
              </w:rPr>
            </w:pPr>
          </w:p>
        </w:tc>
      </w:tr>
      <w:tr w14:paraId="3479F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5" w:hRule="atLeast"/>
        </w:trPr>
        <w:tc>
          <w:tcPr>
            <w:tcW w:w="8766" w:type="dxa"/>
            <w:vAlign w:val="center"/>
          </w:tcPr>
          <w:p w14:paraId="1137319F">
            <w:pPr>
              <w:spacing w:line="360" w:lineRule="auto"/>
              <w:jc w:val="lef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起草单位及相关业绩简介</w:t>
            </w:r>
          </w:p>
          <w:p w14:paraId="4D09E67F">
            <w:pPr>
              <w:spacing w:line="360" w:lineRule="auto"/>
              <w:jc w:val="lef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标准依托的主要技术、产品情况及（或）工程应用情况简介</w:t>
            </w:r>
          </w:p>
          <w:p w14:paraId="431E18E5">
            <w:pPr>
              <w:spacing w:line="360" w:lineRule="auto"/>
              <w:ind w:firstLine="480" w:firstLineChars="200"/>
              <w:jc w:val="left"/>
              <w:rPr>
                <w:rFonts w:hint="eastAsia" w:ascii="Times New Roman" w:hAnsi="Times New Roman" w:eastAsia="宋体" w:cs="Times New Roman"/>
                <w:b/>
                <w:bCs/>
                <w:sz w:val="24"/>
                <w:szCs w:val="24"/>
                <w:lang w:eastAsia="zh-CN"/>
              </w:rPr>
            </w:pPr>
            <w:r>
              <w:rPr>
                <w:rFonts w:hint="eastAsia" w:ascii="Times New Roman" w:hAnsi="Times New Roman" w:eastAsia="宋体" w:cs="Times New Roman"/>
                <w:sz w:val="24"/>
                <w:szCs w:val="24"/>
                <w:lang w:val="en-US" w:eastAsia="zh-CN"/>
              </w:rPr>
              <w:t>在相关</w:t>
            </w:r>
            <w:r>
              <w:rPr>
                <w:rFonts w:hint="eastAsia" w:ascii="Times New Roman" w:hAnsi="Times New Roman" w:eastAsia="宋体" w:cs="Times New Roman"/>
                <w:sz w:val="24"/>
                <w:szCs w:val="24"/>
              </w:rPr>
              <w:t>领域取得了显著的市场地位和行业认可</w:t>
            </w:r>
            <w:r>
              <w:rPr>
                <w:rFonts w:hint="eastAsia" w:ascii="Times New Roman" w:hAnsi="Times New Roman" w:eastAsia="宋体" w:cs="Times New Roman"/>
                <w:sz w:val="24"/>
                <w:szCs w:val="24"/>
                <w:lang w:eastAsia="zh-CN"/>
              </w:rPr>
              <w:t>。</w:t>
            </w:r>
          </w:p>
        </w:tc>
      </w:tr>
      <w:tr w14:paraId="3032B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0" w:hRule="atLeast"/>
        </w:trPr>
        <w:tc>
          <w:tcPr>
            <w:tcW w:w="8766" w:type="dxa"/>
            <w:vAlign w:val="center"/>
          </w:tcPr>
          <w:p w14:paraId="041DCA0E">
            <w:pPr>
              <w:spacing w:line="360" w:lineRule="auto"/>
              <w:jc w:val="left"/>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标准贯宣、推广计划</w:t>
            </w:r>
          </w:p>
          <w:p w14:paraId="7325C77D">
            <w:pPr>
              <w:spacing w:line="360" w:lineRule="auto"/>
              <w:ind w:firstLine="420" w:firstLineChars="200"/>
              <w:jc w:val="left"/>
              <w:rPr>
                <w:rFonts w:ascii="Times New Roman" w:hAnsi="Times New Roman" w:eastAsia="宋体" w:cs="Times New Roman"/>
                <w:b/>
                <w:bCs/>
                <w:sz w:val="24"/>
                <w:szCs w:val="24"/>
              </w:rPr>
            </w:pPr>
            <w:r>
              <w:rPr>
                <w:rFonts w:hint="eastAsia" w:ascii="Times New Roman" w:hAnsi="Times New Roman" w:eastAsia="宋体" w:cs="Times New Roman"/>
                <w:sz w:val="21"/>
                <w:szCs w:val="21"/>
              </w:rPr>
              <w:t>标准发布之后，组织企业开展宣贯培训</w:t>
            </w:r>
            <w:r>
              <w:rPr>
                <w:rFonts w:hint="eastAsia" w:ascii="Times New Roman" w:hAnsi="Times New Roman" w:eastAsia="宋体" w:cs="Times New Roman"/>
                <w:sz w:val="24"/>
                <w:szCs w:val="24"/>
              </w:rPr>
              <w:t>，开展相关企业基础性评价工作。</w:t>
            </w:r>
          </w:p>
        </w:tc>
      </w:tr>
      <w:tr w14:paraId="709F4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6" w:hRule="atLeast"/>
        </w:trPr>
        <w:tc>
          <w:tcPr>
            <w:tcW w:w="8766" w:type="dxa"/>
            <w:vAlign w:val="center"/>
          </w:tcPr>
          <w:p w14:paraId="1343A913">
            <w:pPr>
              <w:spacing w:line="360" w:lineRule="auto"/>
              <w:jc w:val="lef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八、申报单位意见</w:t>
            </w:r>
          </w:p>
          <w:p w14:paraId="74EB142B">
            <w:pPr>
              <w:spacing w:line="480" w:lineRule="auto"/>
              <w:ind w:firstLine="2880" w:firstLineChars="1200"/>
              <w:rPr>
                <w:rFonts w:ascii="Times New Roman" w:hAnsi="Times New Roman" w:eastAsia="宋体" w:cs="Times New Roman"/>
                <w:sz w:val="24"/>
                <w:szCs w:val="24"/>
              </w:rPr>
            </w:pPr>
            <w:r>
              <w:rPr>
                <w:rFonts w:hint="eastAsia" w:ascii="Times New Roman" w:hAnsi="Times New Roman" w:eastAsia="宋体" w:cs="Times New Roman"/>
                <w:sz w:val="24"/>
                <w:szCs w:val="24"/>
              </w:rPr>
              <w:t>申报单位负责人签字：</w:t>
            </w:r>
          </w:p>
          <w:p w14:paraId="204EEAE8">
            <w:pPr>
              <w:spacing w:line="480" w:lineRule="auto"/>
              <w:ind w:firstLine="6240" w:firstLineChars="2600"/>
              <w:rPr>
                <w:rFonts w:ascii="Times New Roman" w:hAnsi="Times New Roman" w:eastAsia="宋体" w:cs="Times New Roman"/>
                <w:sz w:val="24"/>
                <w:szCs w:val="24"/>
              </w:rPr>
            </w:pPr>
            <w:r>
              <w:rPr>
                <w:rFonts w:hint="eastAsia" w:ascii="Times New Roman" w:hAnsi="Times New Roman" w:eastAsia="宋体" w:cs="Times New Roman"/>
                <w:sz w:val="24"/>
                <w:szCs w:val="24"/>
              </w:rPr>
              <w:t>（公章）</w:t>
            </w:r>
          </w:p>
          <w:p w14:paraId="1AC3CD37">
            <w:pPr>
              <w:jc w:val="right"/>
              <w:rPr>
                <w:rFonts w:ascii="Times New Roman" w:hAnsi="Times New Roman" w:eastAsia="宋体" w:cs="Times New Roman"/>
                <w:sz w:val="24"/>
                <w:szCs w:val="24"/>
              </w:rPr>
            </w:pPr>
            <w:r>
              <w:rPr>
                <w:rFonts w:hint="eastAsia" w:ascii="Times New Roman" w:hAnsi="Times New Roman" w:eastAsia="宋体" w:cs="Times New Roman"/>
                <w:sz w:val="24"/>
                <w:szCs w:val="24"/>
              </w:rPr>
              <w:t>年    月    日</w:t>
            </w:r>
          </w:p>
          <w:p w14:paraId="043E29CB">
            <w:pPr>
              <w:jc w:val="right"/>
              <w:rPr>
                <w:rFonts w:ascii="Times New Roman" w:hAnsi="Times New Roman" w:eastAsia="宋体" w:cs="Times New Roman"/>
                <w:sz w:val="24"/>
                <w:szCs w:val="24"/>
              </w:rPr>
            </w:pPr>
          </w:p>
          <w:p w14:paraId="00DB55F4">
            <w:pPr>
              <w:ind w:right="1320"/>
              <w:rPr>
                <w:rFonts w:ascii="Times New Roman" w:hAnsi="Times New Roman" w:eastAsia="宋体" w:cs="Times New Roman"/>
                <w:b/>
                <w:bCs/>
                <w:sz w:val="24"/>
                <w:szCs w:val="24"/>
              </w:rPr>
            </w:pPr>
          </w:p>
        </w:tc>
      </w:tr>
    </w:tbl>
    <w:p w14:paraId="7162C877"/>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8804A">
    <w:pPr>
      <w:pStyle w:val="6"/>
      <w:framePr w:wrap="auto" w:vAnchor="text" w:hAnchor="margin" w:xAlign="center" w:y="1"/>
      <w:rPr>
        <w:rStyle w:val="13"/>
        <w:rFonts w:ascii="宋体" w:hAnsi="宋体" w:eastAsia="宋体"/>
      </w:rPr>
    </w:pPr>
    <w:bookmarkStart w:id="0" w:name="_Toc44261735"/>
    <w:r>
      <w:rPr>
        <w:rStyle w:val="13"/>
        <w:rFonts w:ascii="宋体" w:hAnsi="宋体" w:eastAsia="宋体"/>
      </w:rPr>
      <w:fldChar w:fldCharType="begin"/>
    </w:r>
    <w:r>
      <w:rPr>
        <w:rStyle w:val="13"/>
        <w:rFonts w:ascii="宋体" w:hAnsi="宋体" w:eastAsia="宋体"/>
      </w:rPr>
      <w:instrText xml:space="preserve"> PAGE </w:instrText>
    </w:r>
    <w:r>
      <w:rPr>
        <w:rStyle w:val="13"/>
        <w:rFonts w:ascii="宋体" w:hAnsi="宋体" w:eastAsia="宋体"/>
      </w:rPr>
      <w:fldChar w:fldCharType="separate"/>
    </w:r>
    <w:r>
      <w:rPr>
        <w:rStyle w:val="13"/>
        <w:rFonts w:ascii="宋体" w:hAnsi="宋体" w:eastAsia="宋体"/>
      </w:rPr>
      <w:t>1</w:t>
    </w:r>
    <w:r>
      <w:rPr>
        <w:rStyle w:val="13"/>
        <w:rFonts w:ascii="宋体" w:hAnsi="宋体" w:eastAsia="宋体"/>
      </w:rPr>
      <w:fldChar w:fldCharType="end"/>
    </w:r>
  </w:p>
  <w:bookmarkEnd w:id="0"/>
  <w:p w14:paraId="5C18BB2D">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6C1E34"/>
    <w:multiLevelType w:val="singleLevel"/>
    <w:tmpl w:val="946C1E34"/>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UwM2M0YTEyMWNkODhlODVmNGRhNDg3YjM2NWI0MjIifQ=="/>
    <w:docVar w:name="KSO_WPS_MARK_KEY" w:val="c372534a-e76b-4c6c-a99a-08542bcd42ab"/>
  </w:docVars>
  <w:rsids>
    <w:rsidRoot w:val="001E5397"/>
    <w:rsid w:val="000A376D"/>
    <w:rsid w:val="001E5397"/>
    <w:rsid w:val="002F025D"/>
    <w:rsid w:val="00394FF7"/>
    <w:rsid w:val="005508F4"/>
    <w:rsid w:val="006C20F3"/>
    <w:rsid w:val="00745E52"/>
    <w:rsid w:val="00782110"/>
    <w:rsid w:val="008377E5"/>
    <w:rsid w:val="009053C6"/>
    <w:rsid w:val="00A20DAC"/>
    <w:rsid w:val="00C45BB8"/>
    <w:rsid w:val="00E4212E"/>
    <w:rsid w:val="00E577B8"/>
    <w:rsid w:val="03F17EE6"/>
    <w:rsid w:val="07967F06"/>
    <w:rsid w:val="0C143477"/>
    <w:rsid w:val="0E4B0190"/>
    <w:rsid w:val="0FE0210F"/>
    <w:rsid w:val="1037141F"/>
    <w:rsid w:val="142819D7"/>
    <w:rsid w:val="14AD3953"/>
    <w:rsid w:val="16FC6E32"/>
    <w:rsid w:val="18636700"/>
    <w:rsid w:val="193E21EB"/>
    <w:rsid w:val="1B9158A8"/>
    <w:rsid w:val="1CEA4A82"/>
    <w:rsid w:val="1D750D86"/>
    <w:rsid w:val="1F1E2115"/>
    <w:rsid w:val="21D373AF"/>
    <w:rsid w:val="222D16B5"/>
    <w:rsid w:val="223076F9"/>
    <w:rsid w:val="230812C5"/>
    <w:rsid w:val="23290A42"/>
    <w:rsid w:val="23462D0B"/>
    <w:rsid w:val="299F0273"/>
    <w:rsid w:val="29F324C7"/>
    <w:rsid w:val="2D6E73C3"/>
    <w:rsid w:val="2E8D6E41"/>
    <w:rsid w:val="2E952078"/>
    <w:rsid w:val="2EFF6701"/>
    <w:rsid w:val="300875C1"/>
    <w:rsid w:val="31461748"/>
    <w:rsid w:val="31CC3212"/>
    <w:rsid w:val="33ED121E"/>
    <w:rsid w:val="353F02F3"/>
    <w:rsid w:val="39F14C78"/>
    <w:rsid w:val="3A5D5E08"/>
    <w:rsid w:val="3B822B94"/>
    <w:rsid w:val="3CDD2915"/>
    <w:rsid w:val="3EBD2B0C"/>
    <w:rsid w:val="40DF633D"/>
    <w:rsid w:val="479F77A8"/>
    <w:rsid w:val="48BF4C55"/>
    <w:rsid w:val="4EB44B1A"/>
    <w:rsid w:val="55CC4CE0"/>
    <w:rsid w:val="55EC5B1F"/>
    <w:rsid w:val="58611AA5"/>
    <w:rsid w:val="590A6FEC"/>
    <w:rsid w:val="5A937C42"/>
    <w:rsid w:val="5D3658A3"/>
    <w:rsid w:val="5E911513"/>
    <w:rsid w:val="5EE01083"/>
    <w:rsid w:val="617A5526"/>
    <w:rsid w:val="62D56302"/>
    <w:rsid w:val="65F850BA"/>
    <w:rsid w:val="683B4826"/>
    <w:rsid w:val="685C693A"/>
    <w:rsid w:val="6B7362AF"/>
    <w:rsid w:val="6C792941"/>
    <w:rsid w:val="6CC96196"/>
    <w:rsid w:val="6EB00292"/>
    <w:rsid w:val="71B720F9"/>
    <w:rsid w:val="72035AD5"/>
    <w:rsid w:val="726B5B54"/>
    <w:rsid w:val="77B47AF7"/>
    <w:rsid w:val="77C55E16"/>
    <w:rsid w:val="78670FE8"/>
    <w:rsid w:val="78BE200C"/>
    <w:rsid w:val="78DE1990"/>
    <w:rsid w:val="7AF77444"/>
    <w:rsid w:val="7F3045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1">
    <w:name w:val="Default Paragraph Font"/>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semiHidden/>
    <w:unhideWhenUsed/>
    <w:qFormat/>
    <w:uiPriority w:val="99"/>
    <w:pPr>
      <w:spacing w:after="120"/>
    </w:pPr>
  </w:style>
  <w:style w:type="paragraph" w:styleId="6">
    <w:name w:val="footer"/>
    <w:basedOn w:val="1"/>
    <w:link w:val="19"/>
    <w:autoRedefine/>
    <w:qFormat/>
    <w:uiPriority w:val="99"/>
    <w:pPr>
      <w:tabs>
        <w:tab w:val="center" w:pos="4153"/>
        <w:tab w:val="right" w:pos="8306"/>
      </w:tabs>
      <w:snapToGrid w:val="0"/>
      <w:jc w:val="left"/>
    </w:pPr>
    <w:rPr>
      <w:sz w:val="18"/>
      <w:szCs w:val="18"/>
    </w:rPr>
  </w:style>
  <w:style w:type="paragraph" w:styleId="7">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spacing w:beforeAutospacing="1" w:afterAutospacing="1"/>
      <w:jc w:val="left"/>
    </w:pPr>
    <w:rPr>
      <w:kern w:val="0"/>
      <w:sz w:val="24"/>
    </w:rPr>
  </w:style>
  <w:style w:type="paragraph" w:styleId="9">
    <w:name w:val="Body Text First Indent"/>
    <w:basedOn w:val="5"/>
    <w:qFormat/>
    <w:uiPriority w:val="0"/>
    <w:pPr>
      <w:ind w:firstLine="420" w:firstLineChars="100"/>
    </w:pPr>
  </w:style>
  <w:style w:type="character" w:styleId="12">
    <w:name w:val="Strong"/>
    <w:basedOn w:val="11"/>
    <w:qFormat/>
    <w:uiPriority w:val="0"/>
    <w:rPr>
      <w:b/>
    </w:rPr>
  </w:style>
  <w:style w:type="character" w:styleId="13">
    <w:name w:val="page number"/>
    <w:basedOn w:val="11"/>
    <w:qFormat/>
    <w:uiPriority w:val="0"/>
  </w:style>
  <w:style w:type="character" w:styleId="14">
    <w:name w:val="FollowedHyperlink"/>
    <w:basedOn w:val="11"/>
    <w:autoRedefine/>
    <w:qFormat/>
    <w:uiPriority w:val="0"/>
    <w:rPr>
      <w:color w:val="771CAA"/>
      <w:u w:val="none"/>
    </w:rPr>
  </w:style>
  <w:style w:type="character" w:styleId="15">
    <w:name w:val="Emphasis"/>
    <w:basedOn w:val="11"/>
    <w:autoRedefine/>
    <w:qFormat/>
    <w:uiPriority w:val="0"/>
    <w:rPr>
      <w:color w:val="F73131"/>
    </w:rPr>
  </w:style>
  <w:style w:type="character" w:styleId="16">
    <w:name w:val="Hyperlink"/>
    <w:basedOn w:val="11"/>
    <w:qFormat/>
    <w:uiPriority w:val="0"/>
    <w:rPr>
      <w:color w:val="2440B3"/>
      <w:u w:val="none"/>
    </w:rPr>
  </w:style>
  <w:style w:type="character" w:styleId="17">
    <w:name w:val="HTML Cite"/>
    <w:basedOn w:val="11"/>
    <w:autoRedefine/>
    <w:qFormat/>
    <w:uiPriority w:val="0"/>
    <w:rPr>
      <w:color w:val="008000"/>
    </w:rPr>
  </w:style>
  <w:style w:type="character" w:customStyle="1" w:styleId="18">
    <w:name w:val="标题 1 字符"/>
    <w:basedOn w:val="11"/>
    <w:link w:val="2"/>
    <w:autoRedefine/>
    <w:qFormat/>
    <w:uiPriority w:val="9"/>
    <w:rPr>
      <w:b/>
      <w:bCs/>
      <w:kern w:val="44"/>
      <w:sz w:val="44"/>
      <w:szCs w:val="44"/>
    </w:rPr>
  </w:style>
  <w:style w:type="character" w:customStyle="1" w:styleId="19">
    <w:name w:val="页脚 字符1"/>
    <w:link w:val="6"/>
    <w:autoRedefine/>
    <w:qFormat/>
    <w:uiPriority w:val="99"/>
    <w:rPr>
      <w:sz w:val="18"/>
      <w:szCs w:val="18"/>
    </w:rPr>
  </w:style>
  <w:style w:type="character" w:customStyle="1" w:styleId="20">
    <w:name w:val="页脚 字符"/>
    <w:basedOn w:val="11"/>
    <w:autoRedefine/>
    <w:qFormat/>
    <w:uiPriority w:val="99"/>
    <w:rPr>
      <w:sz w:val="18"/>
      <w:szCs w:val="18"/>
    </w:rPr>
  </w:style>
  <w:style w:type="paragraph" w:customStyle="1" w:styleId="21">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2">
    <w:name w:val="页眉 字符"/>
    <w:basedOn w:val="11"/>
    <w:link w:val="7"/>
    <w:autoRedefine/>
    <w:qFormat/>
    <w:uiPriority w:val="0"/>
    <w:rPr>
      <w:rFonts w:ascii="等线" w:hAnsi="等线" w:eastAsia="等线" w:cs="宋体"/>
      <w:kern w:val="2"/>
      <w:sz w:val="18"/>
      <w:szCs w:val="18"/>
    </w:rPr>
  </w:style>
  <w:style w:type="character" w:customStyle="1" w:styleId="23">
    <w:name w:val="hover29"/>
    <w:basedOn w:val="11"/>
    <w:autoRedefine/>
    <w:qFormat/>
    <w:uiPriority w:val="0"/>
    <w:rPr>
      <w:color w:val="315EFB"/>
    </w:rPr>
  </w:style>
  <w:style w:type="character" w:customStyle="1" w:styleId="24">
    <w:name w:val="hover30"/>
    <w:basedOn w:val="11"/>
    <w:autoRedefine/>
    <w:qFormat/>
    <w:uiPriority w:val="0"/>
  </w:style>
  <w:style w:type="character" w:customStyle="1" w:styleId="25">
    <w:name w:val="hover31"/>
    <w:basedOn w:val="11"/>
    <w:autoRedefine/>
    <w:qFormat/>
    <w:uiPriority w:val="0"/>
    <w:rPr>
      <w:color w:val="315EFB"/>
    </w:rPr>
  </w:style>
  <w:style w:type="character" w:customStyle="1" w:styleId="26">
    <w:name w:val="c-icon28"/>
    <w:basedOn w:val="11"/>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3364</Words>
  <Characters>3433</Characters>
  <Lines>34</Lines>
  <Paragraphs>9</Paragraphs>
  <TotalTime>10</TotalTime>
  <ScaleCrop>false</ScaleCrop>
  <LinksUpToDate>false</LinksUpToDate>
  <CharactersWithSpaces>3448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2023-10-25T03:33:00Z</dcterms:created>
  <dc:creator>124689184@qq.com</dc:creator>
  <cp:lastModifiedBy>陈静</cp:lastModifiedBy>
  <dcterms:modified xsi:type="dcterms:W3CDTF">2025-05-19T08:10:01Z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31AED69CA3E1483B9A75318DE19F2B6B_13</vt:lpwstr>
  </property>
  <property fmtid="{D5CDD505-2E9C-101B-9397-08002B2CF9AE}" pid="4" name="KSOTemplateDocerSaveRecord">
    <vt:lpwstr>eyJoZGlkIjoiMWU4NzMyOTM0MGYyYzM3NzJjM2IyYTA5ODFiMjMwMjEiLCJ1c2VySWQiOiI0MTcxMDI0OTMifQ==</vt:lpwstr>
  </property>
</Properties>
</file>