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0B38F0">
      <w:pPr>
        <w:spacing w:line="287" w:lineRule="auto"/>
        <w:rPr>
          <w:rFonts w:ascii="Arial"/>
          <w:sz w:val="21"/>
        </w:rPr>
      </w:pPr>
      <w:bookmarkStart w:id="0" w:name="_GoBack"/>
      <w:bookmarkEnd w:id="0"/>
      <w:r>
        <w:pict>
          <v:shape id="_x0000_s1026" o:spid="_x0000_s1026" style="position:absolute;left:0pt;margin-left:24.3pt;margin-top:2.65pt;height:0.55pt;width:370pt;z-index:251659264;mso-width-relative:page;mso-height-relative:page;" filled="f" stroked="t" coordsize="7400,11" path="m0,5l7399,5e">
            <v:fill on="f" focussize="0,0"/>
            <v:stroke weight="0.5pt" color="#000000" miterlimit="10" joinstyle="miter"/>
            <v:imagedata o:title=""/>
            <o:lock v:ext="edit"/>
          </v:shape>
        </w:pict>
      </w:r>
    </w:p>
    <w:p w14:paraId="2D62C448">
      <w:pPr>
        <w:pStyle w:val="2"/>
        <w:spacing w:before="71" w:line="219" w:lineRule="auto"/>
        <w:ind w:left="2537"/>
      </w:pPr>
      <w:r>
        <w:rPr>
          <w:b/>
          <w:bCs/>
          <w:spacing w:val="-2"/>
        </w:rPr>
        <w:t>2026</w:t>
      </w:r>
      <w:r>
        <w:rPr>
          <w:spacing w:val="-47"/>
        </w:rPr>
        <w:t xml:space="preserve"> </w:t>
      </w:r>
      <w:r>
        <w:rPr>
          <w:b/>
          <w:bCs/>
          <w:spacing w:val="-2"/>
        </w:rPr>
        <w:t>一级建造师《建设工程项目管理》教</w:t>
      </w:r>
      <w:r>
        <w:rPr>
          <w:b/>
          <w:bCs/>
          <w:spacing w:val="-3"/>
        </w:rPr>
        <w:t>材对比明细</w:t>
      </w:r>
    </w:p>
    <w:p w14:paraId="3B1BE256">
      <w:pPr>
        <w:pStyle w:val="2"/>
        <w:spacing w:before="23" w:line="221" w:lineRule="auto"/>
        <w:ind w:left="949"/>
        <w:outlineLvl w:val="0"/>
      </w:pPr>
      <w:r>
        <w:rPr>
          <w:b/>
          <w:bCs/>
          <w:spacing w:val="-5"/>
        </w:rPr>
        <w:t>一、总体变化情况</w:t>
      </w:r>
    </w:p>
    <w:p w14:paraId="42D2D689">
      <w:pPr>
        <w:pStyle w:val="2"/>
        <w:spacing w:before="22" w:line="221" w:lineRule="auto"/>
        <w:ind w:left="952"/>
        <w:outlineLvl w:val="1"/>
      </w:pPr>
      <w:r>
        <w:rPr>
          <w:b/>
          <w:bCs/>
          <w:spacing w:val="-5"/>
        </w:rPr>
        <w:t>（一）变化情况</w:t>
      </w:r>
    </w:p>
    <w:p w14:paraId="5589985E">
      <w:pPr>
        <w:pStyle w:val="2"/>
        <w:spacing w:before="23" w:line="219" w:lineRule="auto"/>
        <w:ind w:left="959"/>
      </w:pPr>
      <w:r>
        <w:rPr>
          <w:spacing w:val="-4"/>
        </w:rPr>
        <w:t>1.修订依据</w:t>
      </w:r>
    </w:p>
    <w:p w14:paraId="5D126AF6">
      <w:pPr>
        <w:pStyle w:val="2"/>
        <w:spacing w:before="24" w:line="219" w:lineRule="auto"/>
        <w:ind w:left="945"/>
      </w:pPr>
      <w:r>
        <w:rPr>
          <w:spacing w:val="-12"/>
        </w:rPr>
        <w:t>人力资源和社会保障部、住房和城乡建设部审定的《一级建造师执</w:t>
      </w:r>
      <w:r>
        <w:rPr>
          <w:spacing w:val="-13"/>
        </w:rPr>
        <w:t>业资格考试大纲》（2024</w:t>
      </w:r>
      <w:r>
        <w:rPr>
          <w:spacing w:val="-45"/>
        </w:rPr>
        <w:t xml:space="preserve"> </w:t>
      </w:r>
      <w:r>
        <w:rPr>
          <w:spacing w:val="-13"/>
        </w:rPr>
        <w:t>年版）。</w:t>
      </w:r>
    </w:p>
    <w:p w14:paraId="28D5F492">
      <w:pPr>
        <w:pStyle w:val="2"/>
        <w:spacing w:before="25" w:line="220" w:lineRule="auto"/>
        <w:ind w:left="946"/>
      </w:pPr>
      <w:r>
        <w:rPr>
          <w:spacing w:val="-2"/>
        </w:rPr>
        <w:t>2.编写原则</w:t>
      </w:r>
    </w:p>
    <w:p w14:paraId="43F43BE1">
      <w:pPr>
        <w:pStyle w:val="2"/>
        <w:spacing w:before="24" w:line="219" w:lineRule="auto"/>
        <w:ind w:left="949"/>
      </w:pPr>
      <w:r>
        <w:rPr>
          <w:spacing w:val="-2"/>
        </w:rPr>
        <w:t>（1）坚持本书（《建设工程项目管理》）的主要内容；</w:t>
      </w:r>
    </w:p>
    <w:p w14:paraId="0D96BAFE">
      <w:pPr>
        <w:pStyle w:val="2"/>
        <w:spacing w:before="21" w:line="220" w:lineRule="auto"/>
        <w:ind w:left="949"/>
      </w:pPr>
      <w:r>
        <w:rPr>
          <w:spacing w:val="-3"/>
        </w:rPr>
        <w:t>（2）以修改、增加内容为主。</w:t>
      </w:r>
    </w:p>
    <w:p w14:paraId="733BB2A9">
      <w:pPr>
        <w:pStyle w:val="2"/>
        <w:spacing w:before="24" w:line="219" w:lineRule="auto"/>
        <w:ind w:left="947"/>
      </w:pPr>
      <w:r>
        <w:rPr>
          <w:spacing w:val="-2"/>
        </w:rPr>
        <w:t>3.基本结构</w:t>
      </w:r>
    </w:p>
    <w:p w14:paraId="1762BD5F">
      <w:pPr>
        <w:pStyle w:val="2"/>
        <w:spacing w:before="25" w:line="219" w:lineRule="auto"/>
        <w:ind w:left="943"/>
      </w:pPr>
      <w:r>
        <w:rPr>
          <w:spacing w:val="-1"/>
        </w:rPr>
        <w:t>基本构架结构不变</w:t>
      </w:r>
    </w:p>
    <w:p w14:paraId="25CB3D75">
      <w:pPr>
        <w:pStyle w:val="2"/>
        <w:spacing w:before="24" w:line="220" w:lineRule="auto"/>
        <w:ind w:left="952"/>
        <w:outlineLvl w:val="1"/>
      </w:pPr>
      <w:r>
        <w:rPr>
          <w:b/>
          <w:bCs/>
          <w:spacing w:val="-5"/>
        </w:rPr>
        <w:t>（二）数据统计</w:t>
      </w:r>
    </w:p>
    <w:p w14:paraId="7E83F0F6">
      <w:pPr>
        <w:pStyle w:val="2"/>
        <w:spacing w:before="24" w:line="219" w:lineRule="auto"/>
        <w:ind w:left="959"/>
      </w:pPr>
      <w:r>
        <w:rPr>
          <w:spacing w:val="-5"/>
        </w:rPr>
        <w:t>1.教材总体变化：59</w:t>
      </w:r>
      <w:r>
        <w:rPr>
          <w:spacing w:val="-23"/>
        </w:rPr>
        <w:t xml:space="preserve"> </w:t>
      </w:r>
      <w:r>
        <w:rPr>
          <w:spacing w:val="-5"/>
        </w:rPr>
        <w:t>处；实质内容变化：约 18</w:t>
      </w:r>
      <w:r>
        <w:rPr>
          <w:spacing w:val="-45"/>
        </w:rPr>
        <w:t xml:space="preserve"> </w:t>
      </w:r>
      <w:r>
        <w:rPr>
          <w:spacing w:val="-5"/>
        </w:rPr>
        <w:t>处。</w:t>
      </w:r>
    </w:p>
    <w:p w14:paraId="36D3044C">
      <w:pPr>
        <w:pStyle w:val="2"/>
        <w:spacing w:before="24" w:line="221" w:lineRule="auto"/>
        <w:ind w:left="944"/>
      </w:pPr>
      <w:r>
        <w:rPr>
          <w:spacing w:val="-1"/>
        </w:rPr>
        <w:t>整体变动比例：5%。</w:t>
      </w:r>
    </w:p>
    <w:p w14:paraId="22530A5C">
      <w:pPr>
        <w:pStyle w:val="2"/>
        <w:spacing w:before="23" w:line="219" w:lineRule="auto"/>
        <w:ind w:left="943"/>
      </w:pPr>
      <w:r>
        <w:rPr>
          <w:spacing w:val="-4"/>
        </w:rPr>
        <w:t>变动比例较大章节：</w:t>
      </w:r>
    </w:p>
    <w:p w14:paraId="39E8D53C">
      <w:pPr>
        <w:pStyle w:val="2"/>
        <w:spacing w:before="24" w:line="239" w:lineRule="auto"/>
        <w:ind w:left="502" w:right="257" w:firstLine="456"/>
        <w:jc w:val="both"/>
      </w:pPr>
      <w:r>
        <w:rPr>
          <w:spacing w:val="-2"/>
        </w:rPr>
        <w:t>1.1.2</w:t>
      </w:r>
      <w:r>
        <w:rPr>
          <w:spacing w:val="-41"/>
        </w:rPr>
        <w:t xml:space="preserve"> </w:t>
      </w:r>
      <w:r>
        <w:rPr>
          <w:spacing w:val="-2"/>
        </w:rPr>
        <w:t>工程建设实施程序、3.2.1</w:t>
      </w:r>
      <w:r>
        <w:rPr>
          <w:spacing w:val="-47"/>
        </w:rPr>
        <w:t xml:space="preserve"> </w:t>
      </w:r>
      <w:r>
        <w:rPr>
          <w:spacing w:val="-2"/>
        </w:rPr>
        <w:t>施工合同管理、7.1.1</w:t>
      </w:r>
      <w:r>
        <w:rPr>
          <w:spacing w:val="-46"/>
        </w:rPr>
        <w:t xml:space="preserve"> </w:t>
      </w:r>
      <w:r>
        <w:rPr>
          <w:spacing w:val="-2"/>
        </w:rPr>
        <w:t>施工生产危险源及其控制、7.2.2</w:t>
      </w:r>
      <w:r>
        <w:rPr>
          <w:spacing w:val="-47"/>
        </w:rPr>
        <w:t xml:space="preserve"> </w:t>
      </w:r>
      <w:r>
        <w:rPr>
          <w:spacing w:val="-2"/>
        </w:rPr>
        <w:t>施工安</w:t>
      </w:r>
      <w:r>
        <w:rPr>
          <w:spacing w:val="1"/>
        </w:rPr>
        <w:t>全管理基本制度、7.3.2 施工安全技术措施及安全技术交底、8.1.2 各方主体绿色施工职责、8.2.1</w:t>
      </w:r>
      <w:r>
        <w:rPr>
          <w:spacing w:val="-2"/>
        </w:rPr>
        <w:t>施工现场文明施工要求等。</w:t>
      </w:r>
    </w:p>
    <w:p w14:paraId="4F5F640B">
      <w:pPr>
        <w:pStyle w:val="2"/>
        <w:spacing w:before="2" w:line="239" w:lineRule="auto"/>
        <w:ind w:left="506" w:right="279" w:firstLine="437"/>
      </w:pPr>
      <w:r>
        <w:rPr>
          <w:spacing w:val="-1"/>
        </w:rPr>
        <w:t>此部分备考建议：由于历年考查频次及分值较</w:t>
      </w:r>
      <w:r>
        <w:rPr>
          <w:spacing w:val="-2"/>
        </w:rPr>
        <w:t>高，应根据最新视频及 2026 版教材重点学习，区</w:t>
      </w:r>
      <w:r>
        <w:rPr>
          <w:spacing w:val="-1"/>
        </w:rPr>
        <w:t>分新旧变化知识点，尤其注意新增加、修改的内容。</w:t>
      </w:r>
    </w:p>
    <w:p w14:paraId="732FD99E">
      <w:pPr>
        <w:pStyle w:val="2"/>
        <w:spacing w:before="1" w:line="221" w:lineRule="auto"/>
        <w:ind w:left="946"/>
      </w:pPr>
      <w:r>
        <w:rPr>
          <w:spacing w:val="-5"/>
        </w:rPr>
        <w:t>2.页码变化：增加</w:t>
      </w:r>
      <w:r>
        <w:rPr>
          <w:spacing w:val="-35"/>
        </w:rPr>
        <w:t xml:space="preserve"> </w:t>
      </w:r>
      <w:r>
        <w:rPr>
          <w:spacing w:val="-5"/>
        </w:rPr>
        <w:t>6</w:t>
      </w:r>
      <w:r>
        <w:rPr>
          <w:spacing w:val="-41"/>
        </w:rPr>
        <w:t xml:space="preserve"> </w:t>
      </w:r>
      <w:r>
        <w:rPr>
          <w:spacing w:val="-5"/>
        </w:rPr>
        <w:t>页（由 408</w:t>
      </w:r>
      <w:r>
        <w:rPr>
          <w:spacing w:val="-40"/>
        </w:rPr>
        <w:t xml:space="preserve"> </w:t>
      </w:r>
      <w:r>
        <w:rPr>
          <w:spacing w:val="-5"/>
        </w:rPr>
        <w:t>页增加至</w:t>
      </w:r>
      <w:r>
        <w:rPr>
          <w:spacing w:val="-50"/>
        </w:rPr>
        <w:t xml:space="preserve"> </w:t>
      </w:r>
      <w:r>
        <w:rPr>
          <w:spacing w:val="-5"/>
        </w:rPr>
        <w:t>414</w:t>
      </w:r>
      <w:r>
        <w:rPr>
          <w:spacing w:val="-41"/>
        </w:rPr>
        <w:t xml:space="preserve"> </w:t>
      </w:r>
      <w:r>
        <w:rPr>
          <w:spacing w:val="-5"/>
        </w:rPr>
        <w:t>页）。</w:t>
      </w:r>
    </w:p>
    <w:p w14:paraId="6EDAC80B">
      <w:pPr>
        <w:pStyle w:val="2"/>
        <w:spacing w:before="21" w:line="221" w:lineRule="auto"/>
        <w:ind w:left="947"/>
      </w:pPr>
      <w:r>
        <w:rPr>
          <w:spacing w:val="-2"/>
        </w:rPr>
        <w:t>3.大纲情况：无变动</w:t>
      </w:r>
    </w:p>
    <w:p w14:paraId="270D1069">
      <w:pPr>
        <w:pStyle w:val="2"/>
        <w:spacing w:before="22" w:line="221" w:lineRule="auto"/>
        <w:ind w:left="942"/>
      </w:pPr>
      <w:r>
        <w:rPr>
          <w:spacing w:val="-1"/>
        </w:rPr>
        <w:t>4.体系变化：无变化</w:t>
      </w:r>
    </w:p>
    <w:p w14:paraId="4467FD77">
      <w:pPr>
        <w:pStyle w:val="2"/>
        <w:spacing w:before="23" w:line="221" w:lineRule="auto"/>
        <w:ind w:left="947"/>
      </w:pPr>
      <w:r>
        <w:rPr>
          <w:spacing w:val="-1"/>
        </w:rPr>
        <w:t>5.三级标题变化：无变化</w:t>
      </w:r>
    </w:p>
    <w:p w14:paraId="4AD9D0DB">
      <w:pPr>
        <w:pStyle w:val="2"/>
        <w:spacing w:before="22" w:line="220" w:lineRule="auto"/>
        <w:ind w:left="949"/>
        <w:outlineLvl w:val="0"/>
      </w:pPr>
      <w:r>
        <w:rPr>
          <w:b/>
          <w:bCs/>
          <w:spacing w:val="-3"/>
        </w:rPr>
        <w:t>二、细节变化解读</w:t>
      </w:r>
    </w:p>
    <w:p w14:paraId="2908954C">
      <w:pPr>
        <w:pStyle w:val="2"/>
        <w:spacing w:before="20" w:line="216" w:lineRule="auto"/>
        <w:ind w:left="943"/>
      </w:pPr>
      <w:r>
        <w:rPr>
          <w:spacing w:val="-1"/>
        </w:rPr>
        <w:t>所有变点对比分析</w:t>
      </w: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62D96A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779" w:type="dxa"/>
            <w:vAlign w:val="top"/>
          </w:tcPr>
          <w:p w14:paraId="51E2209B">
            <w:pPr>
              <w:pStyle w:val="7"/>
              <w:spacing w:before="33" w:line="210" w:lineRule="auto"/>
              <w:ind w:left="2039"/>
            </w:pPr>
            <w:r>
              <w:rPr>
                <w:b/>
                <w:bCs/>
                <w:spacing w:val="-4"/>
              </w:rPr>
              <w:t>2025</w:t>
            </w:r>
            <w:r>
              <w:rPr>
                <w:spacing w:val="-46"/>
              </w:rPr>
              <w:t xml:space="preserve"> </w:t>
            </w:r>
            <w:r>
              <w:rPr>
                <w:b/>
                <w:bCs/>
                <w:spacing w:val="-4"/>
              </w:rPr>
              <w:t>版</w:t>
            </w:r>
          </w:p>
        </w:tc>
        <w:tc>
          <w:tcPr>
            <w:tcW w:w="5081" w:type="dxa"/>
            <w:vAlign w:val="top"/>
          </w:tcPr>
          <w:p w14:paraId="4245D79D">
            <w:pPr>
              <w:pStyle w:val="7"/>
              <w:spacing w:before="33" w:line="210" w:lineRule="auto"/>
              <w:ind w:left="2188"/>
            </w:pPr>
            <w:r>
              <w:rPr>
                <w:b/>
                <w:bCs/>
                <w:spacing w:val="-4"/>
              </w:rPr>
              <w:t>2026</w:t>
            </w:r>
            <w:r>
              <w:rPr>
                <w:spacing w:val="-46"/>
              </w:rPr>
              <w:t xml:space="preserve"> </w:t>
            </w:r>
            <w:r>
              <w:rPr>
                <w:b/>
                <w:bCs/>
                <w:spacing w:val="-4"/>
              </w:rPr>
              <w:t>版</w:t>
            </w:r>
          </w:p>
        </w:tc>
      </w:tr>
      <w:tr w14:paraId="28442D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779" w:type="dxa"/>
            <w:shd w:val="clear" w:color="auto" w:fill="FFFF00"/>
            <w:vAlign w:val="top"/>
          </w:tcPr>
          <w:p w14:paraId="28D129C4">
            <w:pPr>
              <w:pStyle w:val="7"/>
              <w:spacing w:before="29" w:line="210" w:lineRule="auto"/>
              <w:ind w:left="462"/>
            </w:pPr>
            <w:r>
              <w:rPr>
                <w:b/>
                <w:bCs/>
                <w:spacing w:val="-5"/>
              </w:rPr>
              <w:t>第</w:t>
            </w:r>
            <w:r>
              <w:rPr>
                <w:spacing w:val="-15"/>
              </w:rPr>
              <w:t xml:space="preserve"> </w:t>
            </w:r>
            <w:r>
              <w:rPr>
                <w:b/>
                <w:bCs/>
                <w:spacing w:val="-5"/>
              </w:rPr>
              <w:t>1</w:t>
            </w:r>
            <w:r>
              <w:rPr>
                <w:spacing w:val="-38"/>
              </w:rPr>
              <w:t xml:space="preserve"> </w:t>
            </w:r>
            <w:r>
              <w:rPr>
                <w:b/>
                <w:bCs/>
                <w:spacing w:val="-5"/>
              </w:rPr>
              <w:t>章</w:t>
            </w:r>
            <w:r>
              <w:rPr>
                <w:spacing w:val="-5"/>
              </w:rPr>
              <w:t xml:space="preserve"> </w:t>
            </w:r>
            <w:r>
              <w:rPr>
                <w:b/>
                <w:bCs/>
                <w:spacing w:val="-5"/>
              </w:rPr>
              <w:t>建设工程项目组织、规划与控制</w:t>
            </w:r>
          </w:p>
        </w:tc>
        <w:tc>
          <w:tcPr>
            <w:tcW w:w="5081" w:type="dxa"/>
            <w:shd w:val="clear" w:color="auto" w:fill="FFFF00"/>
            <w:vAlign w:val="top"/>
          </w:tcPr>
          <w:p w14:paraId="7953F576">
            <w:pPr>
              <w:pStyle w:val="7"/>
              <w:spacing w:before="29" w:line="210" w:lineRule="auto"/>
              <w:ind w:left="611"/>
            </w:pPr>
            <w:r>
              <w:rPr>
                <w:b/>
                <w:bCs/>
                <w:spacing w:val="-5"/>
              </w:rPr>
              <w:t>第</w:t>
            </w:r>
            <w:r>
              <w:rPr>
                <w:spacing w:val="-14"/>
              </w:rPr>
              <w:t xml:space="preserve"> </w:t>
            </w:r>
            <w:r>
              <w:rPr>
                <w:b/>
                <w:bCs/>
                <w:spacing w:val="-5"/>
              </w:rPr>
              <w:t>1</w:t>
            </w:r>
            <w:r>
              <w:rPr>
                <w:spacing w:val="-39"/>
              </w:rPr>
              <w:t xml:space="preserve"> </w:t>
            </w:r>
            <w:r>
              <w:rPr>
                <w:b/>
                <w:bCs/>
                <w:spacing w:val="-5"/>
              </w:rPr>
              <w:t>章</w:t>
            </w:r>
            <w:r>
              <w:rPr>
                <w:spacing w:val="-5"/>
              </w:rPr>
              <w:t xml:space="preserve"> </w:t>
            </w:r>
            <w:r>
              <w:rPr>
                <w:b/>
                <w:bCs/>
                <w:spacing w:val="-5"/>
              </w:rPr>
              <w:t>建设工程项目组织、规划与控制</w:t>
            </w:r>
          </w:p>
        </w:tc>
      </w:tr>
      <w:tr w14:paraId="4EA2DE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1" w:hRule="atLeast"/>
        </w:trPr>
        <w:tc>
          <w:tcPr>
            <w:tcW w:w="4779" w:type="dxa"/>
            <w:vAlign w:val="top"/>
          </w:tcPr>
          <w:p w14:paraId="746E3C94">
            <w:pPr>
              <w:pStyle w:val="7"/>
              <w:spacing w:before="71" w:line="180" w:lineRule="auto"/>
              <w:ind w:left="112"/>
            </w:pPr>
            <w:r>
              <w:rPr>
                <w:b/>
                <w:bCs/>
                <w:color w:val="FF0000"/>
                <w:spacing w:val="-4"/>
              </w:rPr>
              <w:t>P5</w:t>
            </w:r>
          </w:p>
          <w:p w14:paraId="243DD328">
            <w:pPr>
              <w:pStyle w:val="7"/>
              <w:spacing w:before="29" w:line="221" w:lineRule="auto"/>
              <w:ind w:left="132"/>
            </w:pPr>
            <w:r>
              <w:rPr>
                <w:b/>
                <w:bCs/>
                <w:spacing w:val="-5"/>
              </w:rPr>
              <w:t>1.1.2</w:t>
            </w:r>
            <w:r>
              <w:rPr>
                <w:spacing w:val="-34"/>
              </w:rPr>
              <w:t xml:space="preserve"> </w:t>
            </w:r>
            <w:r>
              <w:rPr>
                <w:b/>
                <w:bCs/>
                <w:spacing w:val="-5"/>
              </w:rPr>
              <w:t>工程建设实施程序</w:t>
            </w:r>
          </w:p>
          <w:p w14:paraId="2034BAAA">
            <w:pPr>
              <w:pStyle w:val="7"/>
              <w:spacing w:before="22" w:line="220" w:lineRule="auto"/>
              <w:ind w:left="132"/>
            </w:pPr>
            <w:r>
              <w:rPr>
                <w:spacing w:val="-3"/>
              </w:rPr>
              <w:t>1.工程勘察设计</w:t>
            </w:r>
          </w:p>
          <w:p w14:paraId="31D0F971">
            <w:pPr>
              <w:pStyle w:val="7"/>
              <w:spacing w:before="23" w:line="221" w:lineRule="auto"/>
              <w:ind w:left="119"/>
            </w:pPr>
            <w:r>
              <w:rPr>
                <w:spacing w:val="-2"/>
              </w:rPr>
              <w:t>2)工程设计</w:t>
            </w:r>
          </w:p>
          <w:p w14:paraId="6261C5A6">
            <w:pPr>
              <w:pStyle w:val="7"/>
              <w:spacing w:before="22" w:line="233" w:lineRule="auto"/>
              <w:ind w:left="116" w:right="101" w:hanging="1"/>
            </w:pPr>
            <w:r>
              <w:rPr>
                <w:spacing w:val="-3"/>
              </w:rPr>
              <w:t>对于政府投资项目，初步设计提出的投资概</w:t>
            </w:r>
            <w:r>
              <w:rPr>
                <w:spacing w:val="-4"/>
              </w:rPr>
              <w:t>算超</w:t>
            </w:r>
            <w:r>
              <w:rPr>
                <w:spacing w:val="-2"/>
              </w:rPr>
              <w:t>过经批准的可行性研究报告提出的投资估算</w:t>
            </w:r>
            <w:r>
              <w:rPr>
                <w:spacing w:val="-24"/>
              </w:rPr>
              <w:t xml:space="preserve"> </w:t>
            </w:r>
            <w:r>
              <w:rPr>
                <w:spacing w:val="-2"/>
              </w:rPr>
              <w:t>10%</w:t>
            </w:r>
            <w:r>
              <w:rPr>
                <w:spacing w:val="-4"/>
              </w:rPr>
              <w:t>的，项单位应当向投资主管部门或者其他有关部</w:t>
            </w:r>
            <w:r>
              <w:rPr>
                <w:spacing w:val="2"/>
              </w:rPr>
              <w:t>门报告,投资主管部门或者其他有关部门可</w:t>
            </w:r>
            <w:r>
              <w:rPr>
                <w:spacing w:val="1"/>
              </w:rPr>
              <w:t>以要</w:t>
            </w:r>
            <w:r>
              <w:rPr>
                <w:spacing w:val="-2"/>
              </w:rPr>
              <w:t>求项目单位重新报送可行性研究报告。</w:t>
            </w:r>
          </w:p>
        </w:tc>
        <w:tc>
          <w:tcPr>
            <w:tcW w:w="5081" w:type="dxa"/>
            <w:vAlign w:val="top"/>
          </w:tcPr>
          <w:p w14:paraId="55979320">
            <w:pPr>
              <w:pStyle w:val="7"/>
              <w:spacing w:before="32" w:line="221" w:lineRule="auto"/>
              <w:ind w:left="104"/>
            </w:pPr>
            <w:r>
              <w:rPr>
                <w:b/>
                <w:bCs/>
                <w:color w:val="FF0000"/>
                <w:spacing w:val="-1"/>
              </w:rPr>
              <w:t>【新增】P5</w:t>
            </w:r>
          </w:p>
          <w:p w14:paraId="72663B2D">
            <w:pPr>
              <w:pStyle w:val="7"/>
              <w:spacing w:before="19" w:line="221" w:lineRule="auto"/>
              <w:ind w:left="130"/>
            </w:pPr>
            <w:r>
              <w:rPr>
                <w:b/>
                <w:bCs/>
                <w:spacing w:val="-5"/>
              </w:rPr>
              <w:t>1.1.2</w:t>
            </w:r>
            <w:r>
              <w:rPr>
                <w:spacing w:val="-35"/>
              </w:rPr>
              <w:t xml:space="preserve"> </w:t>
            </w:r>
            <w:r>
              <w:rPr>
                <w:b/>
                <w:bCs/>
                <w:spacing w:val="-5"/>
              </w:rPr>
              <w:t>工程建设实施程序</w:t>
            </w:r>
          </w:p>
          <w:p w14:paraId="7A9B1725">
            <w:pPr>
              <w:pStyle w:val="7"/>
              <w:spacing w:before="22" w:line="220" w:lineRule="auto"/>
              <w:ind w:left="130"/>
            </w:pPr>
            <w:r>
              <w:rPr>
                <w:spacing w:val="-3"/>
              </w:rPr>
              <w:t>1.工程勘察设计</w:t>
            </w:r>
          </w:p>
          <w:p w14:paraId="144FC966">
            <w:pPr>
              <w:pStyle w:val="7"/>
              <w:spacing w:before="23" w:line="221" w:lineRule="auto"/>
              <w:ind w:left="130"/>
            </w:pPr>
            <w:r>
              <w:rPr>
                <w:spacing w:val="-6"/>
              </w:rPr>
              <w:t>1）工程设计</w:t>
            </w:r>
          </w:p>
          <w:p w14:paraId="36B64326">
            <w:pPr>
              <w:pStyle w:val="7"/>
              <w:spacing w:before="22" w:line="219" w:lineRule="auto"/>
              <w:ind w:left="115"/>
            </w:pPr>
            <w:r>
              <w:rPr>
                <w:b/>
                <w:bCs/>
                <w:color w:val="FF0000"/>
                <w:spacing w:val="-2"/>
              </w:rPr>
              <w:t>《政府投资条例》规定，</w:t>
            </w:r>
            <w:r>
              <w:rPr>
                <w:spacing w:val="-2"/>
              </w:rPr>
              <w:t>政府投资项目初步设计</w:t>
            </w:r>
          </w:p>
          <w:p w14:paraId="770F025C">
            <w:pPr>
              <w:pStyle w:val="7"/>
              <w:spacing w:before="26" w:line="231" w:lineRule="auto"/>
              <w:ind w:left="116" w:right="109" w:hanging="1"/>
            </w:pPr>
            <w:r>
              <w:t>提出的投资概算超过经批准的可行性研究报告提出的投资估算 10%的，项目单位应当向投资主管部门或者其他有关部门报告，投资主管部门或者其他有</w:t>
            </w:r>
            <w:r>
              <w:rPr>
                <w:spacing w:val="-1"/>
              </w:rPr>
              <w:t>关部门可以要求项目单位重新报送可行性研究报告</w:t>
            </w:r>
          </w:p>
        </w:tc>
      </w:tr>
      <w:tr w14:paraId="68EA9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3" w:hRule="atLeast"/>
        </w:trPr>
        <w:tc>
          <w:tcPr>
            <w:tcW w:w="4779" w:type="dxa"/>
            <w:vAlign w:val="top"/>
          </w:tcPr>
          <w:p w14:paraId="3EE28EB9">
            <w:pPr>
              <w:pStyle w:val="7"/>
              <w:spacing w:before="34" w:line="220" w:lineRule="auto"/>
              <w:ind w:left="106"/>
            </w:pPr>
            <w:r>
              <w:rPr>
                <w:b/>
                <w:bCs/>
                <w:color w:val="FF0000"/>
                <w:spacing w:val="-1"/>
              </w:rPr>
              <w:t>【删除】P2</w:t>
            </w:r>
          </w:p>
          <w:p w14:paraId="2D68C7E2">
            <w:pPr>
              <w:pStyle w:val="7"/>
              <w:spacing w:before="23" w:line="220" w:lineRule="auto"/>
              <w:ind w:left="132"/>
            </w:pPr>
            <w:r>
              <w:rPr>
                <w:spacing w:val="-3"/>
              </w:rPr>
              <w:t>1.1.1</w:t>
            </w:r>
            <w:r>
              <w:rPr>
                <w:spacing w:val="-35"/>
              </w:rPr>
              <w:t xml:space="preserve"> </w:t>
            </w:r>
            <w:r>
              <w:rPr>
                <w:spacing w:val="-3"/>
              </w:rPr>
              <w:t>工程项目投资管理制度</w:t>
            </w:r>
          </w:p>
          <w:p w14:paraId="15AF4709">
            <w:pPr>
              <w:pStyle w:val="7"/>
              <w:spacing w:before="21" w:line="219" w:lineRule="auto"/>
              <w:ind w:left="119"/>
            </w:pPr>
            <w:r>
              <w:rPr>
                <w:spacing w:val="-1"/>
              </w:rPr>
              <w:t>2）项目资本金比例</w:t>
            </w:r>
          </w:p>
          <w:p w14:paraId="46A2969C">
            <w:pPr>
              <w:pStyle w:val="7"/>
              <w:spacing w:before="23"/>
              <w:ind w:left="118" w:right="33" w:firstLine="34"/>
              <w:jc w:val="both"/>
            </w:pPr>
            <w:r>
              <w:rPr>
                <w:b/>
                <w:bCs/>
                <w:strike/>
                <w:color w:val="FF0000"/>
                <w:spacing w:val="1"/>
              </w:rPr>
              <w:t>自</w:t>
            </w:r>
            <w:r>
              <w:rPr>
                <w:strike/>
                <w:color w:val="FF0000"/>
                <w:spacing w:val="1"/>
              </w:rPr>
              <w:t xml:space="preserve"> </w:t>
            </w:r>
            <w:r>
              <w:rPr>
                <w:b/>
                <w:bCs/>
                <w:strike/>
                <w:color w:val="FF0000"/>
                <w:spacing w:val="1"/>
              </w:rPr>
              <w:t>1996</w:t>
            </w:r>
            <w:r>
              <w:rPr>
                <w:strike/>
                <w:color w:val="FF0000"/>
                <w:spacing w:val="-20"/>
              </w:rPr>
              <w:t xml:space="preserve"> </w:t>
            </w:r>
            <w:r>
              <w:rPr>
                <w:b/>
                <w:bCs/>
                <w:strike/>
                <w:color w:val="FF0000"/>
                <w:spacing w:val="1"/>
              </w:rPr>
              <w:t>年</w:t>
            </w:r>
            <w:r>
              <w:rPr>
                <w:strike/>
                <w:color w:val="FF0000"/>
                <w:spacing w:val="-28"/>
              </w:rPr>
              <w:t xml:space="preserve"> </w:t>
            </w:r>
            <w:r>
              <w:rPr>
                <w:b/>
                <w:bCs/>
                <w:strike/>
                <w:color w:val="FF0000"/>
                <w:spacing w:val="1"/>
              </w:rPr>
              <w:t>8</w:t>
            </w:r>
            <w:r>
              <w:rPr>
                <w:strike/>
                <w:color w:val="FF0000"/>
                <w:spacing w:val="-31"/>
              </w:rPr>
              <w:t xml:space="preserve"> </w:t>
            </w:r>
            <w:r>
              <w:rPr>
                <w:b/>
                <w:bCs/>
                <w:strike/>
                <w:color w:val="FF0000"/>
                <w:spacing w:val="1"/>
              </w:rPr>
              <w:t>月印发《国务院关于固定资产投</w:t>
            </w:r>
            <w:r>
              <w:rPr>
                <w:b/>
                <w:bCs/>
                <w:strike/>
                <w:color w:val="FF0000"/>
                <w:spacing w:val="-2"/>
              </w:rPr>
              <w:t>资项目试行资本金制度的通知》</w:t>
            </w:r>
            <w:r>
              <w:rPr>
                <w:strike/>
                <w:color w:val="FF0000"/>
                <w:spacing w:val="-2"/>
              </w:rPr>
              <w:t xml:space="preserve"> </w:t>
            </w:r>
            <w:r>
              <w:rPr>
                <w:b/>
                <w:bCs/>
                <w:strike/>
                <w:color w:val="FF0000"/>
                <w:spacing w:val="-2"/>
              </w:rPr>
              <w:t>(国发〔</w:t>
            </w:r>
            <w:r>
              <w:rPr>
                <w:b/>
                <w:bCs/>
                <w:strike/>
                <w:color w:val="FF0000"/>
                <w:spacing w:val="-3"/>
              </w:rPr>
              <w:t>1996〕</w:t>
            </w:r>
            <w:r>
              <w:rPr>
                <w:color w:val="FF0000"/>
              </w:rPr>
              <w:t xml:space="preserve"> </w:t>
            </w:r>
            <w:r>
              <w:rPr>
                <w:b/>
                <w:bCs/>
                <w:strike/>
                <w:color w:val="FF0000"/>
                <w:spacing w:val="-1"/>
              </w:rPr>
              <w:t>35</w:t>
            </w:r>
            <w:r>
              <w:rPr>
                <w:strike/>
                <w:color w:val="FF0000"/>
                <w:spacing w:val="-28"/>
              </w:rPr>
              <w:t xml:space="preserve"> </w:t>
            </w:r>
            <w:r>
              <w:rPr>
                <w:b/>
                <w:bCs/>
                <w:strike/>
                <w:color w:val="FF0000"/>
                <w:spacing w:val="-1"/>
              </w:rPr>
              <w:t>号)后，国务院根据不同时期经济发展状况，</w:t>
            </w:r>
            <w:r>
              <w:rPr>
                <w:b/>
                <w:bCs/>
                <w:strike/>
                <w:color w:val="FF0000"/>
                <w:spacing w:val="5"/>
              </w:rPr>
              <w:t>调整和完善了固定资产投资项目资本金制度。</w:t>
            </w:r>
          </w:p>
          <w:p w14:paraId="44E1BABB">
            <w:pPr>
              <w:pStyle w:val="7"/>
              <w:spacing w:before="5" w:line="233" w:lineRule="auto"/>
              <w:ind w:left="116" w:right="90" w:firstLine="42"/>
            </w:pPr>
            <w:r>
              <w:rPr>
                <w:spacing w:val="-8"/>
              </w:rPr>
              <w:t>目</w:t>
            </w:r>
            <w:r>
              <w:rPr>
                <w:spacing w:val="-54"/>
              </w:rPr>
              <w:t xml:space="preserve"> </w:t>
            </w:r>
            <w:r>
              <w:rPr>
                <w:spacing w:val="-8"/>
              </w:rPr>
              <w:t>前</w:t>
            </w:r>
            <w:r>
              <w:rPr>
                <w:spacing w:val="-50"/>
              </w:rPr>
              <w:t xml:space="preserve"> </w:t>
            </w:r>
            <w:r>
              <w:rPr>
                <w:spacing w:val="-8"/>
              </w:rPr>
              <w:t>，</w:t>
            </w:r>
            <w:r>
              <w:rPr>
                <w:spacing w:val="-65"/>
              </w:rPr>
              <w:t xml:space="preserve"> </w:t>
            </w:r>
            <w:r>
              <w:rPr>
                <w:spacing w:val="-8"/>
              </w:rPr>
              <w:t>各</w:t>
            </w:r>
            <w:r>
              <w:rPr>
                <w:spacing w:val="-65"/>
              </w:rPr>
              <w:t xml:space="preserve"> </w:t>
            </w:r>
            <w:r>
              <w:rPr>
                <w:spacing w:val="-8"/>
              </w:rPr>
              <w:t>类</w:t>
            </w:r>
            <w:r>
              <w:rPr>
                <w:spacing w:val="-66"/>
              </w:rPr>
              <w:t xml:space="preserve"> </w:t>
            </w:r>
            <w:r>
              <w:rPr>
                <w:spacing w:val="-8"/>
              </w:rPr>
              <w:t>投</w:t>
            </w:r>
            <w:r>
              <w:rPr>
                <w:spacing w:val="-58"/>
              </w:rPr>
              <w:t xml:space="preserve"> </w:t>
            </w:r>
            <w:r>
              <w:rPr>
                <w:spacing w:val="-8"/>
              </w:rPr>
              <w:t>资</w:t>
            </w:r>
            <w:r>
              <w:rPr>
                <w:spacing w:val="-65"/>
              </w:rPr>
              <w:t xml:space="preserve"> </w:t>
            </w:r>
            <w:r>
              <w:rPr>
                <w:spacing w:val="-8"/>
              </w:rPr>
              <w:t>项</w:t>
            </w:r>
            <w:r>
              <w:rPr>
                <w:spacing w:val="-23"/>
              </w:rPr>
              <w:t xml:space="preserve"> </w:t>
            </w:r>
            <w:r>
              <w:rPr>
                <w:spacing w:val="-8"/>
              </w:rPr>
              <w:t>目</w:t>
            </w:r>
            <w:r>
              <w:rPr>
                <w:spacing w:val="-66"/>
              </w:rPr>
              <w:t xml:space="preserve"> </w:t>
            </w:r>
            <w:r>
              <w:rPr>
                <w:spacing w:val="-8"/>
              </w:rPr>
              <w:t>最低</w:t>
            </w:r>
            <w:r>
              <w:rPr>
                <w:spacing w:val="-58"/>
              </w:rPr>
              <w:t xml:space="preserve"> </w:t>
            </w:r>
            <w:r>
              <w:rPr>
                <w:spacing w:val="-8"/>
              </w:rPr>
              <w:t>资本</w:t>
            </w:r>
            <w:r>
              <w:rPr>
                <w:spacing w:val="-64"/>
              </w:rPr>
              <w:t xml:space="preserve"> </w:t>
            </w:r>
            <w:r>
              <w:rPr>
                <w:spacing w:val="-8"/>
              </w:rPr>
              <w:t>金</w:t>
            </w:r>
            <w:r>
              <w:rPr>
                <w:spacing w:val="-44"/>
              </w:rPr>
              <w:t xml:space="preserve"> </w:t>
            </w:r>
            <w:r>
              <w:rPr>
                <w:spacing w:val="-8"/>
              </w:rPr>
              <w:t>比例</w:t>
            </w:r>
            <w:r>
              <w:rPr>
                <w:spacing w:val="-65"/>
              </w:rPr>
              <w:t xml:space="preserve"> </w:t>
            </w:r>
            <w:r>
              <w:rPr>
                <w:spacing w:val="-8"/>
              </w:rPr>
              <w:t>见表</w:t>
            </w:r>
            <w:r>
              <w:t>1.1-1。其中，公路(含政府收费公路)、铁路、</w:t>
            </w:r>
            <w:r>
              <w:rPr>
                <w:spacing w:val="-3"/>
              </w:rPr>
              <w:t>城建、物流、生态环保、社会民生等领域的补短板基础设施项目，在投资回报机制明确、收益可</w:t>
            </w:r>
            <w:r>
              <w:rPr>
                <w:spacing w:val="-13"/>
              </w:rPr>
              <w:t>靠、风险可控的前提下，可以适当降低项目最低资</w:t>
            </w:r>
            <w:r>
              <w:rPr>
                <w:spacing w:val="-1"/>
              </w:rPr>
              <w:t>本金比例，但下调不得超过</w:t>
            </w:r>
            <w:r>
              <w:rPr>
                <w:spacing w:val="-37"/>
              </w:rPr>
              <w:t xml:space="preserve"> </w:t>
            </w:r>
            <w:r>
              <w:rPr>
                <w:spacing w:val="-1"/>
              </w:rPr>
              <w:t>5</w:t>
            </w:r>
            <w:r>
              <w:rPr>
                <w:spacing w:val="-44"/>
              </w:rPr>
              <w:t xml:space="preserve"> </w:t>
            </w:r>
            <w:r>
              <w:rPr>
                <w:spacing w:val="-1"/>
              </w:rPr>
              <w:t>个百分点。</w:t>
            </w:r>
          </w:p>
        </w:tc>
        <w:tc>
          <w:tcPr>
            <w:tcW w:w="5081" w:type="dxa"/>
            <w:vAlign w:val="top"/>
          </w:tcPr>
          <w:p w14:paraId="398987C3">
            <w:pPr>
              <w:pStyle w:val="7"/>
              <w:spacing w:before="70" w:line="182" w:lineRule="auto"/>
              <w:ind w:left="110"/>
            </w:pPr>
            <w:r>
              <w:rPr>
                <w:b/>
                <w:bCs/>
                <w:color w:val="FF0000"/>
                <w:spacing w:val="-4"/>
              </w:rPr>
              <w:t>P2</w:t>
            </w:r>
          </w:p>
          <w:p w14:paraId="581C427F">
            <w:pPr>
              <w:pStyle w:val="7"/>
              <w:spacing w:before="32" w:line="220" w:lineRule="auto"/>
              <w:ind w:left="130"/>
            </w:pPr>
            <w:r>
              <w:rPr>
                <w:spacing w:val="-3"/>
              </w:rPr>
              <w:t>1.1.1</w:t>
            </w:r>
            <w:r>
              <w:rPr>
                <w:spacing w:val="-36"/>
              </w:rPr>
              <w:t xml:space="preserve"> </w:t>
            </w:r>
            <w:r>
              <w:rPr>
                <w:spacing w:val="-3"/>
              </w:rPr>
              <w:t>工程项目投资管理制度</w:t>
            </w:r>
          </w:p>
          <w:p w14:paraId="6AF71AE8">
            <w:pPr>
              <w:pStyle w:val="7"/>
              <w:spacing w:before="21" w:line="219" w:lineRule="auto"/>
              <w:ind w:left="117"/>
            </w:pPr>
            <w:r>
              <w:rPr>
                <w:spacing w:val="-1"/>
              </w:rPr>
              <w:t>2）项目资本金比例</w:t>
            </w:r>
          </w:p>
          <w:p w14:paraId="10577A40">
            <w:pPr>
              <w:pStyle w:val="7"/>
              <w:spacing w:before="26"/>
              <w:ind w:left="114" w:right="116" w:firstLine="42"/>
            </w:pPr>
            <w:r>
              <w:rPr>
                <w:spacing w:val="38"/>
              </w:rPr>
              <w:t>目前</w:t>
            </w:r>
            <w:r>
              <w:rPr>
                <w:spacing w:val="-30"/>
              </w:rPr>
              <w:t xml:space="preserve"> </w:t>
            </w:r>
            <w:r>
              <w:rPr>
                <w:spacing w:val="38"/>
              </w:rPr>
              <w:t>，</w:t>
            </w:r>
            <w:r>
              <w:rPr>
                <w:spacing w:val="-45"/>
              </w:rPr>
              <w:t xml:space="preserve"> </w:t>
            </w:r>
            <w:r>
              <w:rPr>
                <w:spacing w:val="38"/>
              </w:rPr>
              <w:t>各类投资项目最低资本金比例见表</w:t>
            </w:r>
            <w:r>
              <w:rPr>
                <w:spacing w:val="10"/>
              </w:rPr>
              <w:t>1.1-1。其中，</w:t>
            </w:r>
            <w:r>
              <w:rPr>
                <w:spacing w:val="-49"/>
              </w:rPr>
              <w:t xml:space="preserve"> </w:t>
            </w:r>
            <w:r>
              <w:rPr>
                <w:spacing w:val="10"/>
              </w:rPr>
              <w:t>公路(含政府收费公路)、铁路、城建、物流、生态环保、社会民生等领域的补短板基础设施项目，在投资回报机制明确、收益可靠、风险可控的前提下，可以适当降低项目最低</w:t>
            </w:r>
            <w:r>
              <w:rPr>
                <w:spacing w:val="6"/>
              </w:rPr>
              <w:t>资本金比例，但下调不得超过 5</w:t>
            </w:r>
            <w:r>
              <w:rPr>
                <w:spacing w:val="-10"/>
              </w:rPr>
              <w:t xml:space="preserve"> </w:t>
            </w:r>
            <w:r>
              <w:rPr>
                <w:spacing w:val="6"/>
              </w:rPr>
              <w:t>个百分</w:t>
            </w:r>
            <w:r>
              <w:rPr>
                <w:spacing w:val="-62"/>
              </w:rPr>
              <w:t xml:space="preserve"> </w:t>
            </w:r>
            <w:r>
              <w:rPr>
                <w:spacing w:val="6"/>
              </w:rPr>
              <w:t>点。</w:t>
            </w:r>
          </w:p>
        </w:tc>
      </w:tr>
      <w:tr w14:paraId="13CD7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779" w:type="dxa"/>
            <w:vAlign w:val="top"/>
          </w:tcPr>
          <w:p w14:paraId="47BCD30D">
            <w:pPr>
              <w:pStyle w:val="7"/>
              <w:spacing w:before="72" w:line="178" w:lineRule="auto"/>
              <w:ind w:left="112"/>
            </w:pPr>
            <w:r>
              <w:rPr>
                <w:b/>
                <w:bCs/>
                <w:color w:val="FF0000"/>
                <w:spacing w:val="-4"/>
              </w:rPr>
              <w:t>P5</w:t>
            </w:r>
          </w:p>
        </w:tc>
        <w:tc>
          <w:tcPr>
            <w:tcW w:w="5081" w:type="dxa"/>
            <w:vAlign w:val="top"/>
          </w:tcPr>
          <w:p w14:paraId="0D8F5045">
            <w:pPr>
              <w:pStyle w:val="7"/>
              <w:spacing w:before="34" w:line="210" w:lineRule="auto"/>
              <w:ind w:left="104"/>
            </w:pPr>
            <w:r>
              <w:rPr>
                <w:b/>
                <w:bCs/>
                <w:color w:val="FF0000"/>
                <w:spacing w:val="-1"/>
              </w:rPr>
              <w:t>【新增】P5</w:t>
            </w:r>
          </w:p>
        </w:tc>
      </w:tr>
    </w:tbl>
    <w:p w14:paraId="65132566">
      <w:pPr>
        <w:spacing w:line="367" w:lineRule="auto"/>
        <w:rPr>
          <w:rFonts w:ascii="Arial"/>
          <w:sz w:val="21"/>
        </w:rPr>
      </w:pPr>
    </w:p>
    <w:p w14:paraId="467F2EBC">
      <w:pPr>
        <w:pStyle w:val="2"/>
        <w:spacing w:before="63" w:line="192" w:lineRule="auto"/>
        <w:ind w:left="7610"/>
        <w:rPr>
          <w:sz w:val="19"/>
          <w:szCs w:val="19"/>
        </w:rPr>
      </w:pPr>
      <w:r>
        <w:rPr>
          <w:spacing w:val="8"/>
          <w:sz w:val="19"/>
          <w:szCs w:val="19"/>
        </w:rPr>
        <w:t>扫码关注更多内容</w:t>
      </w:r>
    </w:p>
    <w:p w14:paraId="44DAA015">
      <w:pPr>
        <w:pStyle w:val="2"/>
        <w:spacing w:line="227" w:lineRule="auto"/>
        <w:ind w:left="4571"/>
        <w:rPr>
          <w:sz w:val="19"/>
          <w:szCs w:val="19"/>
        </w:rPr>
      </w:pPr>
      <w:r>
        <w:rPr>
          <w:spacing w:val="-3"/>
          <w:sz w:val="19"/>
          <w:szCs w:val="19"/>
        </w:rPr>
        <w:t>第</w:t>
      </w:r>
      <w:r>
        <w:rPr>
          <w:spacing w:val="30"/>
          <w:w w:val="101"/>
          <w:sz w:val="19"/>
          <w:szCs w:val="19"/>
        </w:rPr>
        <w:t xml:space="preserve"> </w:t>
      </w:r>
      <w:r>
        <w:rPr>
          <w:spacing w:val="-3"/>
          <w:sz w:val="19"/>
          <w:szCs w:val="19"/>
        </w:rPr>
        <w:t>1</w:t>
      </w:r>
      <w:r>
        <w:rPr>
          <w:spacing w:val="19"/>
          <w:sz w:val="19"/>
          <w:szCs w:val="19"/>
        </w:rPr>
        <w:t xml:space="preserve"> </w:t>
      </w:r>
      <w:r>
        <w:rPr>
          <w:spacing w:val="-3"/>
          <w:sz w:val="19"/>
          <w:szCs w:val="19"/>
        </w:rPr>
        <w:t>页</w:t>
      </w:r>
      <w:r>
        <w:rPr>
          <w:spacing w:val="13"/>
          <w:sz w:val="19"/>
          <w:szCs w:val="19"/>
        </w:rPr>
        <w:t xml:space="preserve"> </w:t>
      </w:r>
      <w:r>
        <w:rPr>
          <w:spacing w:val="-3"/>
          <w:sz w:val="19"/>
          <w:szCs w:val="19"/>
        </w:rPr>
        <w:t>共</w:t>
      </w:r>
      <w:r>
        <w:rPr>
          <w:spacing w:val="16"/>
          <w:sz w:val="19"/>
          <w:szCs w:val="19"/>
        </w:rPr>
        <w:t xml:space="preserve"> </w:t>
      </w:r>
      <w:r>
        <w:rPr>
          <w:spacing w:val="-3"/>
          <w:sz w:val="19"/>
          <w:szCs w:val="19"/>
        </w:rPr>
        <w:t>24</w:t>
      </w:r>
      <w:r>
        <w:rPr>
          <w:spacing w:val="17"/>
          <w:sz w:val="19"/>
          <w:szCs w:val="19"/>
        </w:rPr>
        <w:t xml:space="preserve"> </w:t>
      </w:r>
      <w:r>
        <w:rPr>
          <w:spacing w:val="-3"/>
          <w:sz w:val="19"/>
          <w:szCs w:val="19"/>
        </w:rPr>
        <w:t>页</w:t>
      </w:r>
    </w:p>
    <w:p w14:paraId="08077A31">
      <w:pPr>
        <w:spacing w:line="227" w:lineRule="auto"/>
        <w:rPr>
          <w:sz w:val="19"/>
          <w:szCs w:val="19"/>
        </w:rPr>
        <w:sectPr>
          <w:headerReference r:id="rId5" w:type="default"/>
          <w:pgSz w:w="11907" w:h="16839"/>
          <w:pgMar w:top="400" w:right="757" w:bottom="0" w:left="752" w:header="0" w:footer="0"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026B4E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577" w:hRule="atLeast"/>
        </w:trPr>
        <w:tc>
          <w:tcPr>
            <w:tcW w:w="4779" w:type="dxa"/>
            <w:vAlign w:val="top"/>
          </w:tcPr>
          <w:p w14:paraId="1F11C8EA">
            <w:pPr>
              <w:pStyle w:val="7"/>
              <w:spacing w:before="33" w:line="221" w:lineRule="auto"/>
              <w:ind w:left="132"/>
            </w:pPr>
            <w:r>
              <w:rPr>
                <w:b/>
                <w:bCs/>
                <w:spacing w:val="-5"/>
              </w:rPr>
              <w:t>1.1.2</w:t>
            </w:r>
            <w:r>
              <w:rPr>
                <w:spacing w:val="-34"/>
              </w:rPr>
              <w:t xml:space="preserve"> </w:t>
            </w:r>
            <w:r>
              <w:rPr>
                <w:b/>
                <w:bCs/>
                <w:spacing w:val="-5"/>
              </w:rPr>
              <w:t>工程建设实施程序</w:t>
            </w:r>
          </w:p>
          <w:p w14:paraId="20E04AD8">
            <w:pPr>
              <w:pStyle w:val="7"/>
              <w:spacing w:before="22" w:line="220" w:lineRule="auto"/>
              <w:ind w:left="132"/>
            </w:pPr>
            <w:r>
              <w:rPr>
                <w:spacing w:val="-3"/>
              </w:rPr>
              <w:t>1）工程勘察设计</w:t>
            </w:r>
          </w:p>
          <w:p w14:paraId="1ACC5589">
            <w:pPr>
              <w:pStyle w:val="7"/>
              <w:spacing w:before="23" w:line="221" w:lineRule="auto"/>
              <w:ind w:left="122"/>
            </w:pPr>
            <w:r>
              <w:rPr>
                <w:spacing w:val="-2"/>
              </w:rPr>
              <w:t>（2）工程设计</w:t>
            </w:r>
          </w:p>
          <w:p w14:paraId="61D0C4E8">
            <w:pPr>
              <w:pStyle w:val="7"/>
              <w:spacing w:before="23"/>
              <w:ind w:left="116" w:right="101" w:hanging="1"/>
            </w:pPr>
            <w:r>
              <w:rPr>
                <w:spacing w:val="-3"/>
              </w:rPr>
              <w:t>对于政府投资项目，初步设计提出的投资概</w:t>
            </w:r>
            <w:r>
              <w:rPr>
                <w:spacing w:val="-4"/>
              </w:rPr>
              <w:t>算超</w:t>
            </w:r>
            <w:r>
              <w:rPr>
                <w:spacing w:val="-2"/>
              </w:rPr>
              <w:t>过经批准的可行性研究报告提出的投资估算</w:t>
            </w:r>
            <w:r>
              <w:rPr>
                <w:spacing w:val="-24"/>
              </w:rPr>
              <w:t xml:space="preserve"> </w:t>
            </w:r>
            <w:r>
              <w:rPr>
                <w:spacing w:val="-2"/>
              </w:rPr>
              <w:t>10%</w:t>
            </w:r>
            <w:r>
              <w:rPr>
                <w:spacing w:val="-4"/>
              </w:rPr>
              <w:t>的，项单位应当向投资主管部门或者其他有关部</w:t>
            </w:r>
            <w:r>
              <w:rPr>
                <w:spacing w:val="2"/>
              </w:rPr>
              <w:t>门报告,投资主管部门或者其他有关部门可</w:t>
            </w:r>
            <w:r>
              <w:rPr>
                <w:spacing w:val="1"/>
              </w:rPr>
              <w:t>以要</w:t>
            </w:r>
            <w:r>
              <w:rPr>
                <w:spacing w:val="-2"/>
              </w:rPr>
              <w:t>求项目单位重新报送可行性研究报告。</w:t>
            </w:r>
          </w:p>
        </w:tc>
        <w:tc>
          <w:tcPr>
            <w:tcW w:w="5081" w:type="dxa"/>
            <w:vAlign w:val="top"/>
          </w:tcPr>
          <w:p w14:paraId="5C640660">
            <w:pPr>
              <w:pStyle w:val="7"/>
              <w:spacing w:before="33" w:line="221" w:lineRule="auto"/>
              <w:ind w:left="130"/>
            </w:pPr>
            <w:r>
              <w:rPr>
                <w:b/>
                <w:bCs/>
                <w:spacing w:val="-5"/>
              </w:rPr>
              <w:t>1.1.2</w:t>
            </w:r>
            <w:r>
              <w:rPr>
                <w:spacing w:val="-35"/>
              </w:rPr>
              <w:t xml:space="preserve"> </w:t>
            </w:r>
            <w:r>
              <w:rPr>
                <w:b/>
                <w:bCs/>
                <w:spacing w:val="-5"/>
              </w:rPr>
              <w:t>工程建设实施程序</w:t>
            </w:r>
          </w:p>
          <w:p w14:paraId="7D7B0327">
            <w:pPr>
              <w:pStyle w:val="7"/>
              <w:spacing w:before="22" w:line="220" w:lineRule="auto"/>
              <w:ind w:left="130"/>
            </w:pPr>
            <w:r>
              <w:rPr>
                <w:spacing w:val="-4"/>
              </w:rPr>
              <w:t>1）工程勘察设计</w:t>
            </w:r>
          </w:p>
          <w:p w14:paraId="5D97DD2B">
            <w:pPr>
              <w:pStyle w:val="7"/>
              <w:spacing w:before="23" w:line="221" w:lineRule="auto"/>
              <w:ind w:left="120"/>
            </w:pPr>
            <w:r>
              <w:rPr>
                <w:spacing w:val="-3"/>
              </w:rPr>
              <w:t>（2）工程设计</w:t>
            </w:r>
          </w:p>
          <w:p w14:paraId="5B6EFE51">
            <w:pPr>
              <w:pStyle w:val="7"/>
              <w:spacing w:before="21"/>
              <w:ind w:left="115" w:right="337"/>
            </w:pPr>
            <w:r>
              <w:rPr>
                <w:b/>
                <w:bCs/>
                <w:color w:val="FF0000"/>
                <w:spacing w:val="-2"/>
              </w:rPr>
              <w:t>《政府投资条例》规定，</w:t>
            </w:r>
            <w:r>
              <w:rPr>
                <w:spacing w:val="-2"/>
              </w:rPr>
              <w:t>政府投资项目初步设计</w:t>
            </w:r>
            <w:r>
              <w:rPr>
                <w:spacing w:val="-1"/>
              </w:rPr>
              <w:t>提出的投资概算超过经批准的可行</w:t>
            </w:r>
          </w:p>
          <w:p w14:paraId="6625434C">
            <w:pPr>
              <w:pStyle w:val="7"/>
              <w:spacing w:line="218" w:lineRule="auto"/>
              <w:ind w:left="117"/>
            </w:pPr>
            <w:r>
              <w:rPr>
                <w:spacing w:val="-2"/>
              </w:rPr>
              <w:t>性研究报告提出的投资估算</w:t>
            </w:r>
            <w:r>
              <w:rPr>
                <w:spacing w:val="-21"/>
              </w:rPr>
              <w:t xml:space="preserve"> </w:t>
            </w:r>
            <w:r>
              <w:rPr>
                <w:spacing w:val="-2"/>
              </w:rPr>
              <w:t>10%的，项目单位应</w:t>
            </w:r>
          </w:p>
          <w:p w14:paraId="6024DE3D">
            <w:pPr>
              <w:pStyle w:val="7"/>
              <w:spacing w:before="26" w:line="229" w:lineRule="auto"/>
              <w:ind w:left="112" w:right="110" w:firstLine="15"/>
            </w:pPr>
            <w:r>
              <w:rPr>
                <w:spacing w:val="-1"/>
              </w:rPr>
              <w:t>当向投资主管部门或者其他有关部门报告，投资主</w:t>
            </w:r>
            <w:r>
              <w:t>管部门或者其他有关部门可以要求项目单位重新报</w:t>
            </w:r>
            <w:r>
              <w:rPr>
                <w:spacing w:val="-1"/>
              </w:rPr>
              <w:t>送可行性研究报告</w:t>
            </w:r>
          </w:p>
        </w:tc>
      </w:tr>
      <w:tr w14:paraId="6F8BA8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9" w:hRule="atLeast"/>
        </w:trPr>
        <w:tc>
          <w:tcPr>
            <w:tcW w:w="4779" w:type="dxa"/>
            <w:vAlign w:val="top"/>
          </w:tcPr>
          <w:p w14:paraId="0BD39B1C">
            <w:pPr>
              <w:pStyle w:val="7"/>
              <w:spacing w:before="68" w:line="182" w:lineRule="auto"/>
              <w:ind w:left="112"/>
            </w:pPr>
            <w:r>
              <w:rPr>
                <w:b/>
                <w:bCs/>
                <w:color w:val="FF0000"/>
                <w:spacing w:val="-4"/>
              </w:rPr>
              <w:t>P6</w:t>
            </w:r>
          </w:p>
          <w:p w14:paraId="000C2FF3">
            <w:pPr>
              <w:pStyle w:val="7"/>
              <w:spacing w:before="29" w:line="221" w:lineRule="auto"/>
              <w:ind w:left="132"/>
            </w:pPr>
            <w:r>
              <w:rPr>
                <w:b/>
                <w:bCs/>
                <w:spacing w:val="-5"/>
              </w:rPr>
              <w:t>1.1.2</w:t>
            </w:r>
            <w:r>
              <w:rPr>
                <w:spacing w:val="-34"/>
              </w:rPr>
              <w:t xml:space="preserve"> </w:t>
            </w:r>
            <w:r>
              <w:rPr>
                <w:b/>
                <w:bCs/>
                <w:spacing w:val="-5"/>
              </w:rPr>
              <w:t>工程建设实施程序</w:t>
            </w:r>
          </w:p>
          <w:p w14:paraId="63EB4645">
            <w:pPr>
              <w:pStyle w:val="7"/>
              <w:spacing w:before="21" w:line="222" w:lineRule="auto"/>
              <w:ind w:left="119"/>
            </w:pPr>
            <w:r>
              <w:rPr>
                <w:spacing w:val="-3"/>
              </w:rPr>
              <w:t>2）建设准备</w:t>
            </w:r>
          </w:p>
          <w:p w14:paraId="25CBB275">
            <w:pPr>
              <w:pStyle w:val="7"/>
              <w:spacing w:before="19" w:line="241" w:lineRule="auto"/>
              <w:ind w:left="117" w:right="102"/>
            </w:pPr>
            <w:r>
              <w:rPr>
                <w:spacing w:val="-4"/>
              </w:rPr>
              <w:t>上述建设准备工作主要应由建设单位完成。对于有些工程的施工场地平整，施工用水、电、通信网络、交通道路等接通工作，可纳入工程施工合同交由施工单位承担。在工程总承包模式下，施</w:t>
            </w:r>
            <w:r>
              <w:rPr>
                <w:spacing w:val="-1"/>
              </w:rPr>
              <w:t>工图纸的准备也将由工程总承包单位完成。</w:t>
            </w:r>
          </w:p>
        </w:tc>
        <w:tc>
          <w:tcPr>
            <w:tcW w:w="5081" w:type="dxa"/>
            <w:vAlign w:val="top"/>
          </w:tcPr>
          <w:p w14:paraId="401FCC90">
            <w:pPr>
              <w:pStyle w:val="7"/>
              <w:spacing w:before="31" w:line="221" w:lineRule="auto"/>
              <w:ind w:left="104"/>
            </w:pPr>
            <w:r>
              <w:rPr>
                <w:b/>
                <w:bCs/>
                <w:color w:val="FF0000"/>
                <w:spacing w:val="-1"/>
              </w:rPr>
              <w:t>【新增】P6</w:t>
            </w:r>
          </w:p>
          <w:p w14:paraId="79878FDF">
            <w:pPr>
              <w:pStyle w:val="7"/>
              <w:spacing w:before="19" w:line="221" w:lineRule="auto"/>
              <w:ind w:left="130"/>
            </w:pPr>
            <w:r>
              <w:rPr>
                <w:b/>
                <w:bCs/>
                <w:spacing w:val="-5"/>
              </w:rPr>
              <w:t>1.1.2</w:t>
            </w:r>
            <w:r>
              <w:rPr>
                <w:spacing w:val="-35"/>
              </w:rPr>
              <w:t xml:space="preserve"> </w:t>
            </w:r>
            <w:r>
              <w:rPr>
                <w:b/>
                <w:bCs/>
                <w:spacing w:val="-5"/>
              </w:rPr>
              <w:t>工程建设实施程序</w:t>
            </w:r>
          </w:p>
          <w:p w14:paraId="46C1C00D">
            <w:pPr>
              <w:pStyle w:val="7"/>
              <w:spacing w:before="21" w:line="222" w:lineRule="auto"/>
              <w:ind w:left="117"/>
            </w:pPr>
            <w:r>
              <w:rPr>
                <w:spacing w:val="-4"/>
              </w:rPr>
              <w:t>2）建设准备</w:t>
            </w:r>
          </w:p>
          <w:p w14:paraId="0349435B">
            <w:pPr>
              <w:pStyle w:val="7"/>
              <w:spacing w:before="25" w:line="239" w:lineRule="auto"/>
              <w:ind w:left="114" w:right="29" w:firstLine="1"/>
            </w:pPr>
            <w:r>
              <w:t>上述建设准备工作主要应由建设单位完成。对于有</w:t>
            </w:r>
            <w:r>
              <w:rPr>
                <w:spacing w:val="-6"/>
              </w:rPr>
              <w:t>些工程的施工场地平整，施工用水、电、通信网络、</w:t>
            </w:r>
            <w:r>
              <w:t>交通道路等接通工作，可纳入工程施工合同交由施工单位承担。在工程总承包模式下，</w:t>
            </w:r>
            <w:r>
              <w:rPr>
                <w:color w:val="FF0000"/>
              </w:rPr>
              <w:t>施工图纸的准备也将由工程总承包单位完成。《建设工程质量管理条例》规定，工程质量监督手续可以与施工许可</w:t>
            </w:r>
            <w:r>
              <w:rPr>
                <w:color w:val="FF0000"/>
                <w:spacing w:val="-4"/>
              </w:rPr>
              <w:t>手续合并办理。</w:t>
            </w:r>
          </w:p>
          <w:p w14:paraId="03978F10">
            <w:pPr>
              <w:pStyle w:val="7"/>
              <w:spacing w:before="5" w:line="235" w:lineRule="auto"/>
              <w:ind w:left="113" w:right="109" w:firstLine="2"/>
            </w:pPr>
            <w:r>
              <w:rPr>
                <w:color w:val="FF0000"/>
              </w:rPr>
              <w:t>《中华人民共和国建筑法》规定，建设单位申请领取施工许可证，应当具备下列条件：①已经办理该建筑工程用地批准手续；②依法应当办理建设工程规划许可证的，已经取得建设工程规划许可证；③需要拆迁的，其拆迁进度符合施工要求；④已经确</w:t>
            </w:r>
            <w:r>
              <w:rPr>
                <w:color w:val="FF0000"/>
                <w:spacing w:val="-1"/>
              </w:rPr>
              <w:t>定建筑施工企业；⑤有满足施工需要的资金安排、</w:t>
            </w:r>
            <w:r>
              <w:rPr>
                <w:color w:val="FF0000"/>
              </w:rPr>
              <w:t>施工图纸及技术资料；⑥有保证工程质量和安全的</w:t>
            </w:r>
            <w:r>
              <w:rPr>
                <w:color w:val="FF0000"/>
                <w:spacing w:val="-1"/>
              </w:rPr>
              <w:t>具体措施。</w:t>
            </w:r>
          </w:p>
        </w:tc>
      </w:tr>
      <w:tr w14:paraId="42E4C1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5" w:hRule="atLeast"/>
        </w:trPr>
        <w:tc>
          <w:tcPr>
            <w:tcW w:w="4779" w:type="dxa"/>
            <w:vAlign w:val="top"/>
          </w:tcPr>
          <w:p w14:paraId="21A743C0">
            <w:pPr>
              <w:pStyle w:val="7"/>
              <w:spacing w:before="34" w:line="220" w:lineRule="auto"/>
              <w:ind w:left="106"/>
            </w:pPr>
            <w:r>
              <w:rPr>
                <w:b/>
                <w:bCs/>
                <w:color w:val="FF0000"/>
                <w:spacing w:val="-1"/>
              </w:rPr>
              <w:t>【删除】P7</w:t>
            </w:r>
          </w:p>
          <w:p w14:paraId="2A0FDC9B">
            <w:pPr>
              <w:pStyle w:val="7"/>
              <w:spacing w:before="20" w:line="221" w:lineRule="auto"/>
              <w:ind w:left="132"/>
            </w:pPr>
            <w:r>
              <w:rPr>
                <w:b/>
                <w:bCs/>
                <w:spacing w:val="-5"/>
              </w:rPr>
              <w:t>1.1.2</w:t>
            </w:r>
            <w:r>
              <w:rPr>
                <w:spacing w:val="-34"/>
              </w:rPr>
              <w:t xml:space="preserve"> </w:t>
            </w:r>
            <w:r>
              <w:rPr>
                <w:b/>
                <w:bCs/>
                <w:spacing w:val="-5"/>
              </w:rPr>
              <w:t>工程建设实施程序</w:t>
            </w:r>
          </w:p>
          <w:p w14:paraId="735C0193">
            <w:pPr>
              <w:pStyle w:val="7"/>
              <w:spacing w:before="22" w:line="220" w:lineRule="auto"/>
              <w:ind w:left="120"/>
            </w:pPr>
            <w:r>
              <w:rPr>
                <w:spacing w:val="-4"/>
              </w:rPr>
              <w:t>5）竣工验收</w:t>
            </w:r>
          </w:p>
          <w:p w14:paraId="46551C19">
            <w:pPr>
              <w:pStyle w:val="7"/>
              <w:spacing w:before="20" w:line="237" w:lineRule="auto"/>
              <w:ind w:left="115" w:right="22" w:firstLine="3"/>
            </w:pPr>
            <w:r>
              <w:rPr>
                <w:spacing w:val="7"/>
              </w:rPr>
              <w:t>建设工程自竣工验收合格之日起即进入缺陷责</w:t>
            </w:r>
            <w:r>
              <w:rPr>
                <w:spacing w:val="-3"/>
              </w:rPr>
              <w:t>任期。施工承包单位应在缺陷责任期内对已交付</w:t>
            </w:r>
            <w:r>
              <w:rPr>
                <w:spacing w:val="-4"/>
              </w:rPr>
              <w:t>使用的工程质量缺陷承担责任。缺陷责任期最长</w:t>
            </w:r>
            <w:r>
              <w:rPr>
                <w:spacing w:val="2"/>
              </w:rPr>
              <w:t>不超过 2 年。在缺陷责任期内发现有质量缺陷</w:t>
            </w:r>
            <w:r>
              <w:rPr>
                <w:spacing w:val="-10"/>
              </w:rPr>
              <w:t>的，应及时修复，修复和查验费用由责任方承担。</w:t>
            </w:r>
            <w:r>
              <w:rPr>
                <w:spacing w:val="-3"/>
              </w:rPr>
              <w:t>缺陷责任期届满时，建设单位应向工程承包单位</w:t>
            </w:r>
            <w:r>
              <w:rPr>
                <w:spacing w:val="-4"/>
              </w:rPr>
              <w:t>返还工程施工过程中扣留的工程质量保证金。缺</w:t>
            </w:r>
            <w:r>
              <w:rPr>
                <w:spacing w:val="-3"/>
              </w:rPr>
              <w:t>陷责任期届满时，工程承包单位未履行缺陷修补义务的，建设单位有权扣留与未履行责任部</w:t>
            </w:r>
            <w:r>
              <w:rPr>
                <w:spacing w:val="-4"/>
              </w:rPr>
              <w:t>分所</w:t>
            </w:r>
            <w:r>
              <w:rPr>
                <w:spacing w:val="-5"/>
              </w:rPr>
              <w:t>需金额相应的工程质量保证金</w:t>
            </w:r>
            <w:r>
              <w:rPr>
                <w:b/>
                <w:bCs/>
                <w:color w:val="FF0000"/>
                <w:spacing w:val="-5"/>
              </w:rPr>
              <w:t>，并有权根据合同</w:t>
            </w:r>
            <w:r>
              <w:rPr>
                <w:b/>
                <w:bCs/>
                <w:color w:val="FF0000"/>
                <w:spacing w:val="-6"/>
              </w:rPr>
              <w:t>约定要求延长缺陷责任期，直至履行缺陷修补义</w:t>
            </w:r>
            <w:r>
              <w:rPr>
                <w:b/>
                <w:bCs/>
                <w:color w:val="FF0000"/>
                <w:spacing w:val="-10"/>
              </w:rPr>
              <w:t>务为止。</w:t>
            </w:r>
          </w:p>
        </w:tc>
        <w:tc>
          <w:tcPr>
            <w:tcW w:w="5081" w:type="dxa"/>
            <w:vAlign w:val="top"/>
          </w:tcPr>
          <w:p w14:paraId="58EFDC2D">
            <w:pPr>
              <w:pStyle w:val="7"/>
              <w:spacing w:before="72" w:line="180" w:lineRule="auto"/>
              <w:ind w:left="110"/>
            </w:pPr>
            <w:r>
              <w:rPr>
                <w:b/>
                <w:bCs/>
                <w:color w:val="FF0000"/>
                <w:spacing w:val="-4"/>
              </w:rPr>
              <w:t>P7</w:t>
            </w:r>
          </w:p>
          <w:p w14:paraId="4698309F">
            <w:pPr>
              <w:pStyle w:val="7"/>
              <w:spacing w:before="29" w:line="221" w:lineRule="auto"/>
              <w:ind w:left="130"/>
            </w:pPr>
            <w:r>
              <w:rPr>
                <w:b/>
                <w:bCs/>
                <w:spacing w:val="-5"/>
              </w:rPr>
              <w:t>1.1.2</w:t>
            </w:r>
            <w:r>
              <w:rPr>
                <w:spacing w:val="-35"/>
              </w:rPr>
              <w:t xml:space="preserve"> </w:t>
            </w:r>
            <w:r>
              <w:rPr>
                <w:b/>
                <w:bCs/>
                <w:spacing w:val="-5"/>
              </w:rPr>
              <w:t>工程建设实施程序</w:t>
            </w:r>
          </w:p>
          <w:p w14:paraId="5BDAF0DA">
            <w:pPr>
              <w:pStyle w:val="7"/>
              <w:spacing w:before="22" w:line="220" w:lineRule="auto"/>
              <w:ind w:left="118"/>
            </w:pPr>
            <w:r>
              <w:rPr>
                <w:spacing w:val="-4"/>
              </w:rPr>
              <w:t>5）竣工验收</w:t>
            </w:r>
          </w:p>
          <w:p w14:paraId="07FA314D">
            <w:pPr>
              <w:pStyle w:val="7"/>
              <w:spacing w:before="22"/>
              <w:ind w:left="113" w:right="44" w:firstLine="3"/>
            </w:pPr>
            <w:r>
              <w:rPr>
                <w:spacing w:val="10"/>
              </w:rPr>
              <w:t>建设工程自竣工验收合格之日起即进入缺陷责任</w:t>
            </w:r>
            <w:r>
              <w:t>期。施工承包单位应在缺陷责任期内对已交付使用的工程质量缺陷承担责任。缺陷责任期最长不超过2 年。在缺陷责任期内发现有质量缺陷的，应及时修复，修复和查验费用由责任方承担。缺陷责任期届满时，建设单位应向工程承包单位返还工程施工</w:t>
            </w:r>
            <w:r>
              <w:rPr>
                <w:spacing w:val="-7"/>
              </w:rPr>
              <w:t>过程中扣留的工程质量保证金。缺陷责任期届满时，</w:t>
            </w:r>
            <w:r>
              <w:t>工程承包单位未履行缺陷修补义务的，建设单位有权扣留与未履行责任部分所需金额相应的工程质量</w:t>
            </w:r>
            <w:r>
              <w:rPr>
                <w:spacing w:val="-7"/>
              </w:rPr>
              <w:t>保证金。</w:t>
            </w:r>
          </w:p>
        </w:tc>
      </w:tr>
      <w:tr w14:paraId="2FD2D0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1" w:hRule="atLeast"/>
        </w:trPr>
        <w:tc>
          <w:tcPr>
            <w:tcW w:w="4779" w:type="dxa"/>
            <w:vAlign w:val="top"/>
          </w:tcPr>
          <w:p w14:paraId="41B874E1">
            <w:pPr>
              <w:pStyle w:val="7"/>
              <w:spacing w:before="72" w:line="180" w:lineRule="auto"/>
              <w:ind w:left="112"/>
            </w:pPr>
            <w:r>
              <w:rPr>
                <w:b/>
                <w:bCs/>
                <w:color w:val="FF0000"/>
                <w:spacing w:val="-4"/>
              </w:rPr>
              <w:t>P7</w:t>
            </w:r>
          </w:p>
        </w:tc>
        <w:tc>
          <w:tcPr>
            <w:tcW w:w="5081" w:type="dxa"/>
            <w:vAlign w:val="top"/>
          </w:tcPr>
          <w:p w14:paraId="231FD31B">
            <w:pPr>
              <w:pStyle w:val="7"/>
              <w:spacing w:before="33" w:line="221" w:lineRule="auto"/>
              <w:ind w:left="104"/>
            </w:pPr>
            <w:r>
              <w:rPr>
                <w:b/>
                <w:bCs/>
                <w:color w:val="FF0000"/>
                <w:spacing w:val="-1"/>
              </w:rPr>
              <w:t>【新增】P7</w:t>
            </w:r>
          </w:p>
          <w:p w14:paraId="78B1D40D">
            <w:pPr>
              <w:pStyle w:val="7"/>
              <w:spacing w:before="22" w:line="221" w:lineRule="auto"/>
              <w:ind w:left="130"/>
            </w:pPr>
            <w:r>
              <w:rPr>
                <w:spacing w:val="-3"/>
              </w:rPr>
              <w:t>1.1.2</w:t>
            </w:r>
            <w:r>
              <w:rPr>
                <w:spacing w:val="-40"/>
              </w:rPr>
              <w:t xml:space="preserve"> </w:t>
            </w:r>
            <w:r>
              <w:rPr>
                <w:spacing w:val="-3"/>
              </w:rPr>
              <w:t>工程建设实施程序</w:t>
            </w:r>
          </w:p>
          <w:p w14:paraId="39FE9C6D">
            <w:pPr>
              <w:pStyle w:val="7"/>
              <w:spacing w:before="22" w:line="219" w:lineRule="auto"/>
              <w:ind w:left="116"/>
            </w:pPr>
            <w:r>
              <w:rPr>
                <w:b/>
                <w:bCs/>
                <w:color w:val="FF0000"/>
                <w:spacing w:val="-3"/>
              </w:rPr>
              <w:t>6)项目后评价</w:t>
            </w:r>
          </w:p>
          <w:p w14:paraId="3756F576">
            <w:pPr>
              <w:pStyle w:val="7"/>
              <w:spacing w:before="27" w:line="233" w:lineRule="auto"/>
              <w:ind w:left="115" w:right="106" w:firstLine="2"/>
            </w:pPr>
            <w:r>
              <w:rPr>
                <w:b/>
                <w:bCs/>
                <w:color w:val="FF0000"/>
                <w:spacing w:val="-2"/>
              </w:rPr>
              <w:t>项目后评价是工程建设实施阶段管理的延伸。《国</w:t>
            </w:r>
            <w:r>
              <w:rPr>
                <w:b/>
                <w:bCs/>
                <w:color w:val="FF0000"/>
                <w:spacing w:val="-7"/>
              </w:rPr>
              <w:t>家发展改革委重大项目后评价管理办法》(发改评督</w:t>
            </w:r>
            <w:r>
              <w:rPr>
                <w:b/>
                <w:bCs/>
                <w:color w:val="FF0000"/>
                <w:spacing w:val="-2"/>
              </w:rPr>
              <w:t>规〔2024〕1103</w:t>
            </w:r>
            <w:r>
              <w:rPr>
                <w:color w:val="FF0000"/>
                <w:spacing w:val="-2"/>
              </w:rPr>
              <w:t xml:space="preserve"> </w:t>
            </w:r>
            <w:r>
              <w:rPr>
                <w:b/>
                <w:bCs/>
                <w:color w:val="FF0000"/>
                <w:spacing w:val="-2"/>
              </w:rPr>
              <w:t>号)规定，国家发展改革委聚焦党中央、国务院决策部署，每年选取一定数量项目开</w:t>
            </w:r>
            <w:r>
              <w:rPr>
                <w:b/>
                <w:bCs/>
                <w:color w:val="FF0000"/>
                <w:spacing w:val="-4"/>
              </w:rPr>
              <w:t>展后评价，制定项目后评价年度计划。</w:t>
            </w:r>
          </w:p>
        </w:tc>
      </w:tr>
    </w:tbl>
    <w:p w14:paraId="565F16E5">
      <w:pPr>
        <w:spacing w:line="156" w:lineRule="exact"/>
        <w:rPr>
          <w:rFonts w:ascii="Arial"/>
          <w:sz w:val="13"/>
        </w:rPr>
      </w:pPr>
    </w:p>
    <w:p w14:paraId="06E59BAC">
      <w:pPr>
        <w:spacing w:line="156" w:lineRule="exact"/>
        <w:rPr>
          <w:rFonts w:ascii="Arial" w:hAnsi="Arial" w:eastAsia="Arial" w:cs="Arial"/>
          <w:sz w:val="13"/>
          <w:szCs w:val="13"/>
        </w:rPr>
        <w:sectPr>
          <w:headerReference r:id="rId6" w:type="default"/>
          <w:footerReference r:id="rId7"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7B58C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79" w:hRule="atLeast"/>
        </w:trPr>
        <w:tc>
          <w:tcPr>
            <w:tcW w:w="4779" w:type="dxa"/>
            <w:vAlign w:val="top"/>
          </w:tcPr>
          <w:p w14:paraId="7C901167">
            <w:pPr>
              <w:rPr>
                <w:rFonts w:ascii="Arial"/>
                <w:sz w:val="21"/>
              </w:rPr>
            </w:pPr>
          </w:p>
        </w:tc>
        <w:tc>
          <w:tcPr>
            <w:tcW w:w="5081" w:type="dxa"/>
            <w:vAlign w:val="top"/>
          </w:tcPr>
          <w:p w14:paraId="65D6554D">
            <w:pPr>
              <w:pStyle w:val="7"/>
              <w:spacing w:before="34" w:line="230" w:lineRule="auto"/>
              <w:ind w:left="115" w:right="107" w:firstLine="37"/>
            </w:pPr>
            <w:r>
              <w:rPr>
                <w:b/>
                <w:bCs/>
                <w:color w:val="FF0000"/>
                <w:spacing w:val="-8"/>
              </w:rPr>
              <w:t>(1)后评价项目选择。列人后评价年度计划的项目主要从以下项目中选择：</w:t>
            </w:r>
          </w:p>
          <w:p w14:paraId="72E9D681">
            <w:pPr>
              <w:pStyle w:val="7"/>
              <w:spacing w:before="23" w:line="233" w:lineRule="auto"/>
              <w:ind w:left="113" w:right="107"/>
            </w:pPr>
            <w:r>
              <w:rPr>
                <w:b/>
                <w:bCs/>
                <w:color w:val="FF0000"/>
                <w:spacing w:val="-2"/>
              </w:rPr>
              <w:t>①对高质量发展、国家重大战略实施和重点领域安全能力建设、现代化产业体系构建、发展新质生产</w:t>
            </w:r>
            <w:r>
              <w:rPr>
                <w:b/>
                <w:bCs/>
                <w:color w:val="FF0000"/>
                <w:spacing w:val="-5"/>
              </w:rPr>
              <w:t>力有重大支撑和示范意义的项目。</w:t>
            </w:r>
          </w:p>
          <w:p w14:paraId="2F0BFA2F">
            <w:pPr>
              <w:pStyle w:val="7"/>
              <w:spacing w:before="22" w:line="230" w:lineRule="auto"/>
              <w:ind w:left="114" w:right="29" w:hanging="2"/>
            </w:pPr>
            <w:r>
              <w:rPr>
                <w:b/>
                <w:bCs/>
                <w:color w:val="FF0000"/>
                <w:spacing w:val="-8"/>
              </w:rPr>
              <w:t>②对实现碳达峰碳中和、节约资源、保护生态环境、</w:t>
            </w:r>
            <w:r>
              <w:rPr>
                <w:b/>
                <w:bCs/>
                <w:color w:val="FF0000"/>
                <w:spacing w:val="-4"/>
              </w:rPr>
              <w:t>促进社会发展有重大影响的项目。</w:t>
            </w:r>
          </w:p>
          <w:p w14:paraId="06B29964">
            <w:pPr>
              <w:pStyle w:val="7"/>
              <w:spacing w:before="23" w:line="229" w:lineRule="auto"/>
              <w:ind w:left="114" w:right="108" w:hanging="2"/>
            </w:pPr>
            <w:r>
              <w:rPr>
                <w:b/>
                <w:bCs/>
                <w:color w:val="FF0000"/>
                <w:spacing w:val="-2"/>
              </w:rPr>
              <w:t>③对优化资源配置、调整投资方向、优化重大布局</w:t>
            </w:r>
            <w:r>
              <w:rPr>
                <w:b/>
                <w:bCs/>
                <w:color w:val="FF0000"/>
                <w:spacing w:val="-6"/>
              </w:rPr>
              <w:t>有重要借鉴作用的项目。</w:t>
            </w:r>
          </w:p>
          <w:p w14:paraId="3CE57077">
            <w:pPr>
              <w:pStyle w:val="7"/>
              <w:spacing w:before="24" w:line="234" w:lineRule="auto"/>
              <w:ind w:left="119" w:right="107" w:hanging="7"/>
            </w:pPr>
            <w:r>
              <w:rPr>
                <w:b/>
                <w:bCs/>
                <w:color w:val="FF0000"/>
                <w:spacing w:val="-2"/>
              </w:rPr>
              <w:t>④采用新技术、新工艺、新设备、新材料、新型投融资和运营模式，以及其他具有特殊示范意义的项</w:t>
            </w:r>
            <w:r>
              <w:rPr>
                <w:b/>
                <w:bCs/>
                <w:color w:val="FF0000"/>
                <w:spacing w:val="-14"/>
              </w:rPr>
              <w:t>目。</w:t>
            </w:r>
          </w:p>
          <w:p w14:paraId="5B570B04">
            <w:pPr>
              <w:pStyle w:val="7"/>
              <w:spacing w:before="19" w:line="230" w:lineRule="auto"/>
              <w:ind w:left="115" w:right="29" w:hanging="3"/>
            </w:pPr>
            <w:r>
              <w:rPr>
                <w:b/>
                <w:bCs/>
                <w:color w:val="FF0000"/>
                <w:spacing w:val="-3"/>
              </w:rPr>
              <w:t>⑤跨地区、跨流域、工期长、投资大、建设条件复</w:t>
            </w:r>
            <w:r>
              <w:rPr>
                <w:b/>
                <w:bCs/>
                <w:color w:val="FF0000"/>
                <w:spacing w:val="-8"/>
              </w:rPr>
              <w:t>杂，以及项目建设过程中发生重大方案调整的项目。</w:t>
            </w:r>
          </w:p>
          <w:p w14:paraId="4847BAC8">
            <w:pPr>
              <w:pStyle w:val="7"/>
              <w:spacing w:before="22" w:line="230" w:lineRule="auto"/>
              <w:ind w:left="134" w:right="108" w:hanging="22"/>
            </w:pPr>
            <w:r>
              <w:rPr>
                <w:b/>
                <w:bCs/>
                <w:color w:val="FF0000"/>
                <w:spacing w:val="-2"/>
              </w:rPr>
              <w:t>⑥征地拆迁、移民安置规模较大，在项目实施过程</w:t>
            </w:r>
            <w:r>
              <w:rPr>
                <w:b/>
                <w:bCs/>
                <w:color w:val="FF0000"/>
                <w:spacing w:val="-6"/>
              </w:rPr>
              <w:t>中发生过社会稳定事件的项目。</w:t>
            </w:r>
          </w:p>
          <w:p w14:paraId="77C5D095">
            <w:pPr>
              <w:pStyle w:val="7"/>
              <w:spacing w:before="25" w:line="229" w:lineRule="auto"/>
              <w:ind w:left="131" w:right="107" w:hanging="19"/>
            </w:pPr>
            <w:r>
              <w:rPr>
                <w:b/>
                <w:bCs/>
                <w:color w:val="FF0000"/>
                <w:spacing w:val="-2"/>
              </w:rPr>
              <w:t>⑦使用中央预算内投资(国债)数额较大且比例较高</w:t>
            </w:r>
            <w:r>
              <w:rPr>
                <w:b/>
                <w:bCs/>
                <w:color w:val="FF0000"/>
                <w:spacing w:val="-13"/>
              </w:rPr>
              <w:t>的项目。</w:t>
            </w:r>
          </w:p>
          <w:p w14:paraId="3723418F">
            <w:pPr>
              <w:pStyle w:val="7"/>
              <w:spacing w:before="22" w:line="218" w:lineRule="auto"/>
              <w:ind w:left="112"/>
            </w:pPr>
            <w:r>
              <w:rPr>
                <w:b/>
                <w:bCs/>
                <w:color w:val="FF0000"/>
                <w:spacing w:val="-4"/>
              </w:rPr>
              <w:t>⑧提供的产品或服务实行政府定价的项目。</w:t>
            </w:r>
          </w:p>
          <w:p w14:paraId="24FE9421">
            <w:pPr>
              <w:pStyle w:val="7"/>
              <w:spacing w:before="26" w:line="218" w:lineRule="auto"/>
              <w:ind w:left="112"/>
            </w:pPr>
            <w:r>
              <w:rPr>
                <w:b/>
                <w:bCs/>
                <w:color w:val="FF0000"/>
                <w:spacing w:val="-6"/>
              </w:rPr>
              <w:t>⑨重大社会民生项目。</w:t>
            </w:r>
          </w:p>
          <w:p w14:paraId="0663F6EA">
            <w:pPr>
              <w:pStyle w:val="7"/>
              <w:spacing w:before="26" w:line="218" w:lineRule="auto"/>
              <w:ind w:left="112"/>
            </w:pPr>
            <w:r>
              <w:rPr>
                <w:b/>
                <w:bCs/>
                <w:color w:val="FF0000"/>
                <w:spacing w:val="-5"/>
              </w:rPr>
              <w:t>⑩社会舆论普遍关注的项目。</w:t>
            </w:r>
          </w:p>
          <w:p w14:paraId="19115804">
            <w:pPr>
              <w:pStyle w:val="7"/>
              <w:spacing w:before="17"/>
              <w:ind w:left="116"/>
            </w:pPr>
            <w:r>
              <w:rPr>
                <w:rFonts w:ascii="Cambria Math" w:hAnsi="Cambria Math" w:eastAsia="Cambria Math" w:cs="Cambria Math"/>
                <w:b/>
                <w:bCs/>
                <w:color w:val="FF0000"/>
                <w:spacing w:val="1"/>
                <w:u w:val="single" w:color="auto"/>
              </w:rPr>
              <w:t>®</w:t>
            </w:r>
            <w:r>
              <w:rPr>
                <w:b/>
                <w:bCs/>
                <w:color w:val="FF0000"/>
                <w:spacing w:val="1"/>
              </w:rPr>
              <w:t>其他需要开展后评价的项目。</w:t>
            </w:r>
          </w:p>
          <w:p w14:paraId="4D008829">
            <w:pPr>
              <w:pStyle w:val="7"/>
              <w:spacing w:before="8" w:line="234" w:lineRule="auto"/>
              <w:ind w:left="113" w:right="107" w:firstLine="39"/>
            </w:pPr>
            <w:r>
              <w:rPr>
                <w:b/>
                <w:bCs/>
                <w:color w:val="FF0000"/>
                <w:spacing w:val="-8"/>
              </w:rPr>
              <w:t>(2)项目单位自我总结评价。列人后评价年度计划的</w:t>
            </w:r>
            <w:r>
              <w:rPr>
                <w:b/>
                <w:bCs/>
                <w:color w:val="FF0000"/>
                <w:spacing w:val="-2"/>
              </w:rPr>
              <w:t>项目应开展自我总结评价，项目单位应对自我总结评价报告及相关资料的真实性负责。项目自我总结</w:t>
            </w:r>
            <w:r>
              <w:rPr>
                <w:b/>
                <w:bCs/>
                <w:color w:val="FF0000"/>
                <w:spacing w:val="-6"/>
              </w:rPr>
              <w:t>评价报告一般包括以下内容：</w:t>
            </w:r>
          </w:p>
          <w:p w14:paraId="47A99E82">
            <w:pPr>
              <w:pStyle w:val="7"/>
              <w:spacing w:before="24" w:line="233" w:lineRule="auto"/>
              <w:ind w:left="113" w:right="107"/>
            </w:pPr>
            <w:r>
              <w:rPr>
                <w:b/>
                <w:bCs/>
                <w:color w:val="FF0000"/>
                <w:spacing w:val="-2"/>
              </w:rPr>
              <w:t>①项目概况：项目目标、规划政策符合性、建设必要性、建设内容和投资规模、项目单位及参建单位</w:t>
            </w:r>
            <w:r>
              <w:rPr>
                <w:b/>
                <w:bCs/>
                <w:color w:val="FF0000"/>
                <w:spacing w:val="-8"/>
              </w:rPr>
              <w:t>基本情况等。</w:t>
            </w:r>
          </w:p>
          <w:p w14:paraId="1A2945CC">
            <w:pPr>
              <w:pStyle w:val="7"/>
              <w:spacing w:before="26" w:line="233" w:lineRule="auto"/>
              <w:ind w:left="113" w:right="108" w:hanging="1"/>
            </w:pPr>
            <w:r>
              <w:rPr>
                <w:b/>
                <w:bCs/>
                <w:color w:val="FF0000"/>
                <w:spacing w:val="-2"/>
              </w:rPr>
              <w:t>②项目实施过程总结：前期工作和要素保障、投资</w:t>
            </w:r>
            <w:r>
              <w:rPr>
                <w:b/>
                <w:bCs/>
                <w:color w:val="FF0000"/>
                <w:spacing w:val="-4"/>
              </w:rPr>
              <w:t>概算执行、重大设计变更、资金使用、竣工验收、</w:t>
            </w:r>
            <w:r>
              <w:rPr>
                <w:b/>
                <w:bCs/>
                <w:color w:val="FF0000"/>
                <w:spacing w:val="-8"/>
              </w:rPr>
              <w:t>运行管理等。</w:t>
            </w:r>
          </w:p>
          <w:p w14:paraId="71CDBE58">
            <w:pPr>
              <w:pStyle w:val="7"/>
              <w:spacing w:before="21" w:line="233" w:lineRule="auto"/>
              <w:ind w:left="115" w:right="29" w:hanging="3"/>
            </w:pPr>
            <w:r>
              <w:rPr>
                <w:b/>
                <w:bCs/>
                <w:color w:val="FF0000"/>
                <w:spacing w:val="-8"/>
              </w:rPr>
              <w:t>③项目效益效果评价：财务及经济效益、社会效益、</w:t>
            </w:r>
            <w:r>
              <w:rPr>
                <w:b/>
                <w:bCs/>
                <w:color w:val="FF0000"/>
                <w:spacing w:val="-2"/>
              </w:rPr>
              <w:t>生态环境损益及环保措施实施效果、资源和能源节</w:t>
            </w:r>
            <w:r>
              <w:rPr>
                <w:b/>
                <w:bCs/>
                <w:color w:val="FF0000"/>
                <w:spacing w:val="-5"/>
              </w:rPr>
              <w:t>约利用与保护效果、技术效果等。</w:t>
            </w:r>
          </w:p>
          <w:p w14:paraId="365FB97F">
            <w:pPr>
              <w:pStyle w:val="7"/>
              <w:spacing w:before="23" w:line="230" w:lineRule="auto"/>
              <w:ind w:left="112" w:right="108"/>
            </w:pPr>
            <w:r>
              <w:rPr>
                <w:b/>
                <w:bCs/>
                <w:color w:val="FF0000"/>
                <w:spacing w:val="-2"/>
              </w:rPr>
              <w:t>④项目目标及可持续性评价：目标实现程度及其差</w:t>
            </w:r>
            <w:r>
              <w:rPr>
                <w:b/>
                <w:bCs/>
                <w:color w:val="FF0000"/>
                <w:spacing w:val="-5"/>
              </w:rPr>
              <w:t>距和原因、项目可持续性等。</w:t>
            </w:r>
          </w:p>
          <w:p w14:paraId="3F040FD2">
            <w:pPr>
              <w:pStyle w:val="7"/>
              <w:spacing w:before="23" w:line="218" w:lineRule="auto"/>
              <w:ind w:left="112"/>
            </w:pPr>
            <w:r>
              <w:rPr>
                <w:b/>
                <w:bCs/>
                <w:color w:val="FF0000"/>
                <w:spacing w:val="-4"/>
              </w:rPr>
              <w:t>⑤项目总结：自我评价结论及相关建议。</w:t>
            </w:r>
          </w:p>
          <w:p w14:paraId="3465D0E1">
            <w:pPr>
              <w:pStyle w:val="7"/>
              <w:spacing w:before="28" w:line="234" w:lineRule="auto"/>
              <w:ind w:left="113" w:right="29" w:firstLine="39"/>
            </w:pPr>
            <w:r>
              <w:rPr>
                <w:b/>
                <w:bCs/>
                <w:color w:val="FF0000"/>
                <w:spacing w:val="-8"/>
              </w:rPr>
              <w:t>(3)项目后评价方法。项目后评价一般应采用定性和定量相结合的方法，主要包括逻辑框架法、调查法、</w:t>
            </w:r>
            <w:r>
              <w:rPr>
                <w:b/>
                <w:bCs/>
                <w:color w:val="FF0000"/>
                <w:spacing w:val="-2"/>
              </w:rPr>
              <w:t>对比法、专家打分法、综合指标体系评价法、项目</w:t>
            </w:r>
            <w:r>
              <w:rPr>
                <w:b/>
                <w:bCs/>
                <w:color w:val="FF0000"/>
                <w:spacing w:val="-7"/>
              </w:rPr>
              <w:t>成功度评价法等。</w:t>
            </w:r>
          </w:p>
          <w:p w14:paraId="22F26D8F">
            <w:pPr>
              <w:pStyle w:val="7"/>
              <w:spacing w:before="23" w:line="230" w:lineRule="auto"/>
              <w:ind w:left="139" w:right="107" w:firstLine="13"/>
            </w:pPr>
            <w:r>
              <w:rPr>
                <w:b/>
                <w:bCs/>
                <w:color w:val="FF0000"/>
                <w:spacing w:val="-8"/>
              </w:rPr>
              <w:t>(4)项目后评价报告内容。项目后评价报告一般包括</w:t>
            </w:r>
            <w:r>
              <w:rPr>
                <w:b/>
                <w:bCs/>
                <w:color w:val="FF0000"/>
                <w:spacing w:val="-16"/>
              </w:rPr>
              <w:t>以下内容：</w:t>
            </w:r>
          </w:p>
          <w:p w14:paraId="1C3471A5">
            <w:pPr>
              <w:pStyle w:val="7"/>
              <w:spacing w:before="24" w:line="229" w:lineRule="auto"/>
              <w:ind w:left="115" w:right="108" w:hanging="2"/>
            </w:pPr>
            <w:r>
              <w:rPr>
                <w:b/>
                <w:bCs/>
                <w:color w:val="FF0000"/>
                <w:spacing w:val="-2"/>
              </w:rPr>
              <w:t>①概述：项目基本情况、自我总结评价报告主要结</w:t>
            </w:r>
            <w:r>
              <w:rPr>
                <w:b/>
                <w:bCs/>
                <w:color w:val="FF0000"/>
                <w:spacing w:val="-4"/>
              </w:rPr>
              <w:t>论、项目后评价开展情况及主要结论。</w:t>
            </w:r>
          </w:p>
          <w:p w14:paraId="7C96C5CA">
            <w:pPr>
              <w:pStyle w:val="7"/>
              <w:spacing w:before="27" w:line="232" w:lineRule="auto"/>
              <w:ind w:left="115" w:right="106" w:hanging="3"/>
            </w:pPr>
            <w:r>
              <w:rPr>
                <w:b/>
                <w:bCs/>
                <w:color w:val="FF0000"/>
                <w:spacing w:val="-2"/>
              </w:rPr>
              <w:t>②项目前期决策总结与评价：规划政策符合性、建</w:t>
            </w:r>
            <w:r>
              <w:rPr>
                <w:b/>
                <w:bCs/>
                <w:color w:val="FF0000"/>
                <w:spacing w:val="-11"/>
              </w:rPr>
              <w:t>设必要性评价，可行性研究报告、初步设计(含概算)</w:t>
            </w:r>
            <w:r>
              <w:rPr>
                <w:b/>
                <w:bCs/>
                <w:color w:val="FF0000"/>
                <w:spacing w:val="-2"/>
              </w:rPr>
              <w:t>文件、项目申请书及其审批或核准文件主要内容和</w:t>
            </w:r>
            <w:r>
              <w:rPr>
                <w:b/>
                <w:bCs/>
                <w:color w:val="FF0000"/>
                <w:spacing w:val="-6"/>
              </w:rPr>
              <w:t>调整情况及其评价。</w:t>
            </w:r>
          </w:p>
        </w:tc>
      </w:tr>
    </w:tbl>
    <w:p w14:paraId="2017725B">
      <w:pPr>
        <w:spacing w:line="184" w:lineRule="exact"/>
        <w:rPr>
          <w:rFonts w:ascii="Arial"/>
          <w:sz w:val="16"/>
        </w:rPr>
      </w:pPr>
    </w:p>
    <w:p w14:paraId="2ACE61A4">
      <w:pPr>
        <w:spacing w:line="184" w:lineRule="exact"/>
        <w:rPr>
          <w:rFonts w:ascii="Arial" w:hAnsi="Arial" w:eastAsia="Arial" w:cs="Arial"/>
          <w:sz w:val="16"/>
          <w:szCs w:val="16"/>
        </w:rPr>
        <w:sectPr>
          <w:footerReference r:id="rId8"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74866F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2" w:hRule="atLeast"/>
        </w:trPr>
        <w:tc>
          <w:tcPr>
            <w:tcW w:w="4779" w:type="dxa"/>
            <w:vAlign w:val="top"/>
          </w:tcPr>
          <w:p w14:paraId="234A0697">
            <w:pPr>
              <w:rPr>
                <w:rFonts w:ascii="Arial"/>
                <w:sz w:val="21"/>
              </w:rPr>
            </w:pPr>
          </w:p>
        </w:tc>
        <w:tc>
          <w:tcPr>
            <w:tcW w:w="5081" w:type="dxa"/>
            <w:vAlign w:val="top"/>
          </w:tcPr>
          <w:p w14:paraId="4C61A60E">
            <w:pPr>
              <w:pStyle w:val="7"/>
              <w:spacing w:before="32" w:line="233" w:lineRule="auto"/>
              <w:ind w:left="114" w:right="108" w:hanging="2"/>
            </w:pPr>
            <w:r>
              <w:rPr>
                <w:b/>
                <w:bCs/>
                <w:color w:val="FF0000"/>
                <w:spacing w:val="-2"/>
              </w:rPr>
              <w:t>③项目建设准备和实施总结与评价：开工准备、建</w:t>
            </w:r>
            <w:r>
              <w:rPr>
                <w:b/>
                <w:bCs/>
                <w:color w:val="FF0000"/>
                <w:spacing w:val="-4"/>
              </w:rPr>
              <w:t>设过程、组织管理、安全生产、资金落实和使用、</w:t>
            </w:r>
            <w:r>
              <w:rPr>
                <w:b/>
                <w:bCs/>
                <w:color w:val="FF0000"/>
                <w:spacing w:val="-5"/>
              </w:rPr>
              <w:t>竣工验收等情况及其评价。</w:t>
            </w:r>
          </w:p>
          <w:p w14:paraId="07E24988">
            <w:pPr>
              <w:pStyle w:val="7"/>
              <w:spacing w:before="25" w:line="229" w:lineRule="auto"/>
              <w:ind w:left="115" w:right="108" w:hanging="3"/>
            </w:pPr>
            <w:r>
              <w:rPr>
                <w:b/>
                <w:bCs/>
                <w:color w:val="FF0000"/>
                <w:spacing w:val="-2"/>
              </w:rPr>
              <w:t>④项目运行总结与评价：运行效果、制度建设执行</w:t>
            </w:r>
            <w:r>
              <w:rPr>
                <w:b/>
                <w:bCs/>
                <w:color w:val="FF0000"/>
                <w:spacing w:val="-7"/>
              </w:rPr>
              <w:t>等情况及其评价。</w:t>
            </w:r>
          </w:p>
          <w:p w14:paraId="6A657288">
            <w:pPr>
              <w:pStyle w:val="7"/>
              <w:spacing w:before="23" w:line="233" w:lineRule="auto"/>
              <w:ind w:left="115" w:right="29" w:hanging="3"/>
            </w:pPr>
            <w:r>
              <w:rPr>
                <w:b/>
                <w:bCs/>
                <w:color w:val="FF0000"/>
                <w:spacing w:val="-8"/>
              </w:rPr>
              <w:t>⑤项目效益效果评价：财务及经济效益、社会效益、</w:t>
            </w:r>
            <w:r>
              <w:rPr>
                <w:b/>
                <w:bCs/>
                <w:color w:val="FF0000"/>
                <w:spacing w:val="-2"/>
              </w:rPr>
              <w:t>生态环境损益及环保措施实施效果、资源和能源节</w:t>
            </w:r>
            <w:r>
              <w:rPr>
                <w:b/>
                <w:bCs/>
                <w:color w:val="FF0000"/>
                <w:spacing w:val="-4"/>
              </w:rPr>
              <w:t>约利用与保护效果、技术效果等评价。</w:t>
            </w:r>
          </w:p>
          <w:p w14:paraId="6B8A960C">
            <w:pPr>
              <w:pStyle w:val="7"/>
              <w:spacing w:before="22" w:line="218" w:lineRule="auto"/>
              <w:ind w:left="112"/>
            </w:pPr>
            <w:r>
              <w:rPr>
                <w:b/>
                <w:bCs/>
                <w:color w:val="FF0000"/>
                <w:spacing w:val="-5"/>
              </w:rPr>
              <w:t>⑥项目目标及可持续性评价。</w:t>
            </w:r>
          </w:p>
          <w:p w14:paraId="441EC3F9">
            <w:pPr>
              <w:pStyle w:val="7"/>
              <w:spacing w:before="26" w:line="210" w:lineRule="auto"/>
              <w:ind w:left="112"/>
            </w:pPr>
            <w:r>
              <w:rPr>
                <w:b/>
                <w:bCs/>
                <w:color w:val="FF0000"/>
                <w:spacing w:val="-5"/>
              </w:rPr>
              <w:t>⑦项目后评价结论及意见建议。</w:t>
            </w:r>
          </w:p>
        </w:tc>
      </w:tr>
      <w:tr w14:paraId="59DE3C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7" w:hRule="atLeast"/>
        </w:trPr>
        <w:tc>
          <w:tcPr>
            <w:tcW w:w="4779" w:type="dxa"/>
            <w:vAlign w:val="top"/>
          </w:tcPr>
          <w:p w14:paraId="794D6B34">
            <w:pPr>
              <w:pStyle w:val="7"/>
              <w:spacing w:before="66" w:line="182" w:lineRule="auto"/>
              <w:ind w:left="112"/>
            </w:pPr>
            <w:r>
              <w:rPr>
                <w:b/>
                <w:bCs/>
                <w:color w:val="FF0000"/>
                <w:spacing w:val="-3"/>
              </w:rPr>
              <w:t>P10</w:t>
            </w:r>
          </w:p>
          <w:p w14:paraId="54F7318C">
            <w:pPr>
              <w:pStyle w:val="7"/>
              <w:spacing w:before="32" w:line="220" w:lineRule="auto"/>
              <w:ind w:left="132"/>
            </w:pPr>
            <w:r>
              <w:rPr>
                <w:b/>
                <w:bCs/>
                <w:spacing w:val="-5"/>
              </w:rPr>
              <w:t>1.1.3</w:t>
            </w:r>
            <w:r>
              <w:rPr>
                <w:spacing w:val="-41"/>
              </w:rPr>
              <w:t xml:space="preserve"> </w:t>
            </w:r>
            <w:r>
              <w:rPr>
                <w:b/>
                <w:bCs/>
                <w:spacing w:val="-5"/>
              </w:rPr>
              <w:t>工程承包模式</w:t>
            </w:r>
          </w:p>
          <w:p w14:paraId="5BF46C2E">
            <w:pPr>
              <w:pStyle w:val="7"/>
              <w:spacing w:before="23" w:line="215" w:lineRule="auto"/>
              <w:ind w:left="119"/>
            </w:pPr>
            <w:r>
              <w:rPr>
                <w:b/>
                <w:bCs/>
                <w:spacing w:val="-4"/>
              </w:rPr>
              <w:t>2）工程总承包模式</w:t>
            </w:r>
          </w:p>
          <w:p w14:paraId="57401FB6">
            <w:pPr>
              <w:spacing w:line="1740" w:lineRule="exact"/>
              <w:ind w:firstLine="106"/>
            </w:pPr>
            <w:r>
              <w:rPr>
                <w:position w:val="-34"/>
              </w:rPr>
              <w:drawing>
                <wp:inline distT="0" distB="0" distL="0" distR="0">
                  <wp:extent cx="2879725" cy="1104900"/>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31"/>
                          <a:stretch>
                            <a:fillRect/>
                          </a:stretch>
                        </pic:blipFill>
                        <pic:spPr>
                          <a:xfrm>
                            <a:off x="0" y="0"/>
                            <a:ext cx="2879725" cy="1105534"/>
                          </a:xfrm>
                          <a:prstGeom prst="rect">
                            <a:avLst/>
                          </a:prstGeom>
                        </pic:spPr>
                      </pic:pic>
                    </a:graphicData>
                  </a:graphic>
                </wp:inline>
              </w:drawing>
            </w:r>
          </w:p>
        </w:tc>
        <w:tc>
          <w:tcPr>
            <w:tcW w:w="5081" w:type="dxa"/>
            <w:vAlign w:val="top"/>
          </w:tcPr>
          <w:p w14:paraId="30A977C2">
            <w:pPr>
              <w:pStyle w:val="7"/>
              <w:spacing w:before="30" w:line="220" w:lineRule="auto"/>
              <w:ind w:left="104"/>
            </w:pPr>
            <w:r>
              <w:rPr>
                <w:b/>
                <w:bCs/>
                <w:color w:val="FF0000"/>
                <w:spacing w:val="-2"/>
              </w:rPr>
              <w:t>【修改】P12</w:t>
            </w:r>
          </w:p>
          <w:p w14:paraId="0030AFAE">
            <w:pPr>
              <w:pStyle w:val="7"/>
              <w:spacing w:before="23" w:line="220" w:lineRule="auto"/>
              <w:ind w:left="130"/>
            </w:pPr>
            <w:r>
              <w:rPr>
                <w:b/>
                <w:bCs/>
                <w:spacing w:val="-5"/>
              </w:rPr>
              <w:t>1.1.3</w:t>
            </w:r>
            <w:r>
              <w:rPr>
                <w:spacing w:val="-41"/>
              </w:rPr>
              <w:t xml:space="preserve"> </w:t>
            </w:r>
            <w:r>
              <w:rPr>
                <w:b/>
                <w:bCs/>
                <w:spacing w:val="-5"/>
              </w:rPr>
              <w:t>工程承包模式</w:t>
            </w:r>
          </w:p>
          <w:p w14:paraId="6C1DADE2">
            <w:pPr>
              <w:pStyle w:val="7"/>
              <w:spacing w:before="23" w:line="215" w:lineRule="auto"/>
              <w:ind w:left="117"/>
            </w:pPr>
            <w:r>
              <w:rPr>
                <w:b/>
                <w:bCs/>
                <w:spacing w:val="-4"/>
              </w:rPr>
              <w:t>2）工程总承包模式</w:t>
            </w:r>
          </w:p>
          <w:p w14:paraId="16F31941">
            <w:pPr>
              <w:spacing w:line="1823" w:lineRule="exact"/>
              <w:ind w:firstLine="104"/>
            </w:pPr>
            <w:r>
              <w:rPr>
                <w:position w:val="-36"/>
              </w:rPr>
              <w:drawing>
                <wp:inline distT="0" distB="0" distL="0" distR="0">
                  <wp:extent cx="2906395" cy="1157605"/>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32"/>
                          <a:stretch>
                            <a:fillRect/>
                          </a:stretch>
                        </pic:blipFill>
                        <pic:spPr>
                          <a:xfrm>
                            <a:off x="0" y="0"/>
                            <a:ext cx="2907029" cy="1158011"/>
                          </a:xfrm>
                          <a:prstGeom prst="rect">
                            <a:avLst/>
                          </a:prstGeom>
                        </pic:spPr>
                      </pic:pic>
                    </a:graphicData>
                  </a:graphic>
                </wp:inline>
              </w:drawing>
            </w:r>
          </w:p>
        </w:tc>
      </w:tr>
      <w:tr w14:paraId="41D8A9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2" w:hRule="atLeast"/>
        </w:trPr>
        <w:tc>
          <w:tcPr>
            <w:tcW w:w="4779" w:type="dxa"/>
            <w:vAlign w:val="top"/>
          </w:tcPr>
          <w:p w14:paraId="11A420F0">
            <w:pPr>
              <w:pStyle w:val="7"/>
              <w:spacing w:before="69" w:line="182" w:lineRule="auto"/>
              <w:ind w:left="112"/>
            </w:pPr>
            <w:r>
              <w:rPr>
                <w:b/>
                <w:bCs/>
                <w:color w:val="FF0000"/>
                <w:spacing w:val="-3"/>
              </w:rPr>
              <w:t>P16</w:t>
            </w:r>
          </w:p>
          <w:p w14:paraId="00FF6CEA">
            <w:pPr>
              <w:pStyle w:val="7"/>
              <w:spacing w:before="29" w:line="221" w:lineRule="auto"/>
              <w:ind w:left="132"/>
            </w:pPr>
            <w:r>
              <w:rPr>
                <w:b/>
                <w:bCs/>
                <w:spacing w:val="-6"/>
              </w:rPr>
              <w:t>1.1.4</w:t>
            </w:r>
            <w:r>
              <w:rPr>
                <w:spacing w:val="-38"/>
              </w:rPr>
              <w:t xml:space="preserve"> </w:t>
            </w:r>
            <w:r>
              <w:rPr>
                <w:b/>
                <w:bCs/>
                <w:spacing w:val="-6"/>
              </w:rPr>
              <w:t>工程监理</w:t>
            </w:r>
          </w:p>
          <w:p w14:paraId="44B06B0F">
            <w:pPr>
              <w:pStyle w:val="7"/>
              <w:spacing w:before="22" w:line="220" w:lineRule="auto"/>
              <w:ind w:left="132"/>
            </w:pPr>
            <w:r>
              <w:rPr>
                <w:spacing w:val="-3"/>
              </w:rPr>
              <w:t>1)总监理工程师职责</w:t>
            </w:r>
          </w:p>
          <w:p w14:paraId="701253C4">
            <w:pPr>
              <w:pStyle w:val="7"/>
              <w:spacing w:before="24" w:line="224" w:lineRule="auto"/>
              <w:ind w:left="117" w:right="103" w:firstLine="37"/>
            </w:pPr>
            <w:r>
              <w:t>(7)审查开复工报审表，签发工程开工令、暂行</w:t>
            </w:r>
            <w:r>
              <w:rPr>
                <w:spacing w:val="-6"/>
              </w:rPr>
              <w:t>令和复工令；</w:t>
            </w:r>
          </w:p>
        </w:tc>
        <w:tc>
          <w:tcPr>
            <w:tcW w:w="5081" w:type="dxa"/>
            <w:vAlign w:val="top"/>
          </w:tcPr>
          <w:p w14:paraId="79F3EE50">
            <w:pPr>
              <w:pStyle w:val="7"/>
              <w:spacing w:before="33" w:line="220" w:lineRule="auto"/>
              <w:ind w:left="104"/>
            </w:pPr>
            <w:r>
              <w:rPr>
                <w:b/>
                <w:bCs/>
                <w:color w:val="FF0000"/>
                <w:spacing w:val="-2"/>
              </w:rPr>
              <w:t>【修改】P18</w:t>
            </w:r>
          </w:p>
          <w:p w14:paraId="582E8F30">
            <w:pPr>
              <w:pStyle w:val="7"/>
              <w:spacing w:before="20" w:line="221" w:lineRule="auto"/>
              <w:ind w:left="130"/>
            </w:pPr>
            <w:r>
              <w:rPr>
                <w:b/>
                <w:bCs/>
                <w:spacing w:val="-6"/>
              </w:rPr>
              <w:t>1.1.4</w:t>
            </w:r>
            <w:r>
              <w:rPr>
                <w:spacing w:val="-38"/>
              </w:rPr>
              <w:t xml:space="preserve"> </w:t>
            </w:r>
            <w:r>
              <w:rPr>
                <w:b/>
                <w:bCs/>
                <w:spacing w:val="-6"/>
              </w:rPr>
              <w:t>工程监理</w:t>
            </w:r>
          </w:p>
          <w:p w14:paraId="19182B37">
            <w:pPr>
              <w:pStyle w:val="7"/>
              <w:spacing w:before="22" w:line="220" w:lineRule="auto"/>
              <w:ind w:left="130"/>
            </w:pPr>
            <w:r>
              <w:rPr>
                <w:spacing w:val="-3"/>
              </w:rPr>
              <w:t>1)总监理工程师职责</w:t>
            </w:r>
          </w:p>
          <w:p w14:paraId="043DED0F">
            <w:pPr>
              <w:pStyle w:val="7"/>
              <w:spacing w:before="24" w:line="224" w:lineRule="auto"/>
              <w:ind w:left="120" w:right="106" w:firstLine="32"/>
            </w:pPr>
            <w:r>
              <w:rPr>
                <w:spacing w:val="-6"/>
              </w:rPr>
              <w:t>(7)审查开复工报审表，签发工程开工令、暂</w:t>
            </w:r>
            <w:r>
              <w:rPr>
                <w:b/>
                <w:bCs/>
                <w:color w:val="FF0000"/>
                <w:spacing w:val="-6"/>
              </w:rPr>
              <w:t>停</w:t>
            </w:r>
            <w:r>
              <w:rPr>
                <w:spacing w:val="-6"/>
              </w:rPr>
              <w:t>令和</w:t>
            </w:r>
            <w:r>
              <w:rPr>
                <w:spacing w:val="-12"/>
              </w:rPr>
              <w:t>复工令；</w:t>
            </w:r>
          </w:p>
        </w:tc>
      </w:tr>
      <w:tr w14:paraId="586B18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779" w:type="dxa"/>
            <w:shd w:val="clear" w:color="auto" w:fill="FFFF00"/>
            <w:vAlign w:val="top"/>
          </w:tcPr>
          <w:p w14:paraId="3A371B29">
            <w:pPr>
              <w:pStyle w:val="7"/>
              <w:spacing w:before="30" w:line="209" w:lineRule="auto"/>
              <w:ind w:left="462"/>
            </w:pPr>
            <w:r>
              <w:rPr>
                <w:b/>
                <w:bCs/>
                <w:spacing w:val="-4"/>
              </w:rPr>
              <w:t>第</w:t>
            </w:r>
            <w:r>
              <w:rPr>
                <w:spacing w:val="-33"/>
              </w:rPr>
              <w:t xml:space="preserve"> </w:t>
            </w:r>
            <w:r>
              <w:rPr>
                <w:b/>
                <w:bCs/>
                <w:spacing w:val="-4"/>
              </w:rPr>
              <w:t>2</w:t>
            </w:r>
            <w:r>
              <w:rPr>
                <w:spacing w:val="-38"/>
              </w:rPr>
              <w:t xml:space="preserve"> </w:t>
            </w:r>
            <w:r>
              <w:rPr>
                <w:b/>
                <w:bCs/>
                <w:spacing w:val="-4"/>
              </w:rPr>
              <w:t>章</w:t>
            </w:r>
            <w:r>
              <w:rPr>
                <w:spacing w:val="-4"/>
              </w:rPr>
              <w:t xml:space="preserve"> </w:t>
            </w:r>
            <w:r>
              <w:rPr>
                <w:b/>
                <w:bCs/>
                <w:spacing w:val="-4"/>
              </w:rPr>
              <w:t>建设工程项目管理相关体系标准</w:t>
            </w:r>
          </w:p>
        </w:tc>
        <w:tc>
          <w:tcPr>
            <w:tcW w:w="5081" w:type="dxa"/>
            <w:shd w:val="clear" w:color="auto" w:fill="FFFF00"/>
            <w:vAlign w:val="top"/>
          </w:tcPr>
          <w:p w14:paraId="7D7AF68F">
            <w:pPr>
              <w:pStyle w:val="7"/>
              <w:spacing w:before="30" w:line="209" w:lineRule="auto"/>
              <w:ind w:left="611"/>
            </w:pPr>
            <w:r>
              <w:rPr>
                <w:b/>
                <w:bCs/>
                <w:spacing w:val="-4"/>
              </w:rPr>
              <w:t>第</w:t>
            </w:r>
            <w:r>
              <w:rPr>
                <w:spacing w:val="-32"/>
              </w:rPr>
              <w:t xml:space="preserve"> </w:t>
            </w:r>
            <w:r>
              <w:rPr>
                <w:b/>
                <w:bCs/>
                <w:spacing w:val="-4"/>
              </w:rPr>
              <w:t>2</w:t>
            </w:r>
            <w:r>
              <w:rPr>
                <w:spacing w:val="-39"/>
              </w:rPr>
              <w:t xml:space="preserve"> </w:t>
            </w:r>
            <w:r>
              <w:rPr>
                <w:b/>
                <w:bCs/>
                <w:spacing w:val="-4"/>
              </w:rPr>
              <w:t>章</w:t>
            </w:r>
            <w:r>
              <w:rPr>
                <w:spacing w:val="-4"/>
              </w:rPr>
              <w:t xml:space="preserve"> </w:t>
            </w:r>
            <w:r>
              <w:rPr>
                <w:b/>
                <w:bCs/>
                <w:spacing w:val="-4"/>
              </w:rPr>
              <w:t>建设工程项目管理相关体系标准</w:t>
            </w:r>
          </w:p>
        </w:tc>
      </w:tr>
      <w:tr w14:paraId="0D25A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3" w:hRule="atLeast"/>
        </w:trPr>
        <w:tc>
          <w:tcPr>
            <w:tcW w:w="4779" w:type="dxa"/>
            <w:vAlign w:val="top"/>
          </w:tcPr>
          <w:p w14:paraId="150FE297">
            <w:pPr>
              <w:pStyle w:val="7"/>
              <w:spacing w:before="31" w:line="220" w:lineRule="auto"/>
              <w:ind w:left="106"/>
            </w:pPr>
            <w:r>
              <w:rPr>
                <w:b/>
                <w:bCs/>
                <w:color w:val="FF0000"/>
                <w:spacing w:val="-2"/>
              </w:rPr>
              <w:t>【删除】P45</w:t>
            </w:r>
          </w:p>
          <w:p w14:paraId="2EB9DDF2">
            <w:pPr>
              <w:pStyle w:val="7"/>
              <w:spacing w:before="23" w:line="220" w:lineRule="auto"/>
              <w:ind w:left="119"/>
            </w:pPr>
            <w:r>
              <w:rPr>
                <w:b/>
                <w:bCs/>
                <w:spacing w:val="-4"/>
              </w:rPr>
              <w:t>2.1.1</w:t>
            </w:r>
            <w:r>
              <w:rPr>
                <w:spacing w:val="-39"/>
              </w:rPr>
              <w:t xml:space="preserve"> </w:t>
            </w:r>
            <w:r>
              <w:rPr>
                <w:b/>
                <w:bCs/>
                <w:spacing w:val="-4"/>
              </w:rPr>
              <w:t>质量管理体系</w:t>
            </w:r>
          </w:p>
          <w:p w14:paraId="532A052C">
            <w:pPr>
              <w:pStyle w:val="7"/>
              <w:spacing w:before="22" w:line="236" w:lineRule="auto"/>
              <w:ind w:left="115" w:right="100" w:firstLine="22"/>
              <w:jc w:val="both"/>
            </w:pPr>
            <w:r>
              <w:rPr>
                <w:spacing w:val="1"/>
              </w:rPr>
              <w:t>国际标准化组织(</w:t>
            </w:r>
            <w:r>
              <w:t>ISO</w:t>
            </w:r>
            <w:r>
              <w:rPr>
                <w:spacing w:val="1"/>
              </w:rPr>
              <w:t>)质量管理和质量保证技术</w:t>
            </w:r>
            <w:r>
              <w:rPr>
                <w:spacing w:val="2"/>
              </w:rPr>
              <w:t>委员会(</w:t>
            </w:r>
            <w:r>
              <w:t>TC</w:t>
            </w:r>
            <w:r>
              <w:rPr>
                <w:spacing w:val="2"/>
              </w:rPr>
              <w:t>176)负责制定的质量管理和质量保证</w:t>
            </w:r>
            <w:r>
              <w:t>标准</w:t>
            </w:r>
            <w:r>
              <w:rPr>
                <w:b/>
                <w:bCs/>
                <w:color w:val="FF0000"/>
              </w:rPr>
              <w:t>(通称为</w:t>
            </w:r>
            <w:r>
              <w:rPr>
                <w:color w:val="FF0000"/>
              </w:rPr>
              <w:t xml:space="preserve"> </w:t>
            </w:r>
            <w:r>
              <w:rPr>
                <w:b/>
                <w:bCs/>
                <w:color w:val="FF0000"/>
              </w:rPr>
              <w:t>ISO9000</w:t>
            </w:r>
            <w:r>
              <w:rPr>
                <w:color w:val="FF0000"/>
              </w:rPr>
              <w:t xml:space="preserve"> </w:t>
            </w:r>
            <w:r>
              <w:rPr>
                <w:b/>
                <w:bCs/>
                <w:color w:val="FF0000"/>
              </w:rPr>
              <w:t>族标准)</w:t>
            </w:r>
            <w:r>
              <w:t>总结了工业发达</w:t>
            </w:r>
            <w:r>
              <w:rPr>
                <w:spacing w:val="-4"/>
              </w:rPr>
              <w:t>国家企业质量管理先进经验，为各类组织建立和运行质量管理体系提供了指导，对于推动组织质</w:t>
            </w:r>
            <w:r>
              <w:rPr>
                <w:spacing w:val="-3"/>
              </w:rPr>
              <w:t>量管理、提高产品质量和顾客满意度等发挥</w:t>
            </w:r>
            <w:r>
              <w:rPr>
                <w:spacing w:val="-4"/>
              </w:rPr>
              <w:t>了重要作用。我国使用翻译法等同采用</w:t>
            </w:r>
            <w:r>
              <w:rPr>
                <w:spacing w:val="-30"/>
              </w:rPr>
              <w:t xml:space="preserve"> </w:t>
            </w:r>
            <w:r>
              <w:rPr>
                <w:spacing w:val="-4"/>
              </w:rPr>
              <w:t>ISO9000</w:t>
            </w:r>
            <w:r>
              <w:rPr>
                <w:spacing w:val="-47"/>
              </w:rPr>
              <w:t xml:space="preserve"> </w:t>
            </w:r>
            <w:r>
              <w:rPr>
                <w:spacing w:val="-4"/>
              </w:rPr>
              <w:t>族标</w:t>
            </w:r>
            <w:r>
              <w:rPr>
                <w:spacing w:val="6"/>
              </w:rPr>
              <w:t>准，发布了质量管理体系国家标准(</w:t>
            </w:r>
            <w:r>
              <w:t>GB</w:t>
            </w:r>
            <w:r>
              <w:rPr>
                <w:spacing w:val="6"/>
              </w:rPr>
              <w:t>/T19000</w:t>
            </w:r>
            <w:r>
              <w:rPr>
                <w:spacing w:val="-1"/>
              </w:rPr>
              <w:t>族标准)。</w:t>
            </w:r>
          </w:p>
        </w:tc>
        <w:tc>
          <w:tcPr>
            <w:tcW w:w="5081" w:type="dxa"/>
            <w:vAlign w:val="top"/>
          </w:tcPr>
          <w:p w14:paraId="0C81AF6C">
            <w:pPr>
              <w:pStyle w:val="7"/>
              <w:spacing w:before="68" w:line="182" w:lineRule="auto"/>
              <w:ind w:left="110"/>
            </w:pPr>
            <w:r>
              <w:rPr>
                <w:b/>
                <w:bCs/>
                <w:color w:val="FF0000"/>
                <w:spacing w:val="-3"/>
              </w:rPr>
              <w:t>P48</w:t>
            </w:r>
          </w:p>
          <w:p w14:paraId="2C06FA54">
            <w:pPr>
              <w:pStyle w:val="7"/>
              <w:spacing w:before="32" w:line="220" w:lineRule="auto"/>
              <w:ind w:left="117"/>
            </w:pPr>
            <w:r>
              <w:rPr>
                <w:b/>
                <w:bCs/>
                <w:spacing w:val="-4"/>
              </w:rPr>
              <w:t>2.1.1</w:t>
            </w:r>
            <w:r>
              <w:rPr>
                <w:spacing w:val="-39"/>
              </w:rPr>
              <w:t xml:space="preserve"> </w:t>
            </w:r>
            <w:r>
              <w:rPr>
                <w:b/>
                <w:bCs/>
                <w:spacing w:val="-4"/>
              </w:rPr>
              <w:t>质量管理体系</w:t>
            </w:r>
          </w:p>
          <w:p w14:paraId="2CEEDECC">
            <w:pPr>
              <w:pStyle w:val="7"/>
              <w:spacing w:before="23"/>
              <w:ind w:left="114" w:right="106" w:firstLine="21"/>
              <w:jc w:val="both"/>
            </w:pPr>
            <w:r>
              <w:rPr>
                <w:spacing w:val="4"/>
              </w:rPr>
              <w:t>国际标准化组织(</w:t>
            </w:r>
            <w:r>
              <w:t>ISO</w:t>
            </w:r>
            <w:r>
              <w:rPr>
                <w:spacing w:val="4"/>
              </w:rPr>
              <w:t>)质量管理和质量保证技术委</w:t>
            </w:r>
            <w:r>
              <w:rPr>
                <w:spacing w:val="5"/>
              </w:rPr>
              <w:t>员会(</w:t>
            </w:r>
            <w:r>
              <w:t>TC</w:t>
            </w:r>
            <w:r>
              <w:rPr>
                <w:spacing w:val="5"/>
              </w:rPr>
              <w:t>176)负责制定的质量管理和质量保证标准</w:t>
            </w:r>
            <w:r>
              <w:t>总结了工业发达国家企业质量管理先进经验，为各类组织建立和运行质量管理体系提供了指导，对于推动组织质量管理、提高产品质量和顾客满意度等</w:t>
            </w:r>
            <w:r>
              <w:rPr>
                <w:spacing w:val="29"/>
              </w:rPr>
              <w:t>发挥了重要作用</w:t>
            </w:r>
            <w:r>
              <w:rPr>
                <w:spacing w:val="-39"/>
              </w:rPr>
              <w:t xml:space="preserve"> </w:t>
            </w:r>
            <w:r>
              <w:rPr>
                <w:spacing w:val="29"/>
              </w:rPr>
              <w:t>。</w:t>
            </w:r>
            <w:r>
              <w:rPr>
                <w:spacing w:val="-64"/>
              </w:rPr>
              <w:t xml:space="preserve"> </w:t>
            </w:r>
            <w:r>
              <w:rPr>
                <w:spacing w:val="29"/>
              </w:rPr>
              <w:t>我国使用翻译法等同采用</w:t>
            </w:r>
            <w:r>
              <w:t>ISO</w:t>
            </w:r>
            <w:r>
              <w:rPr>
                <w:spacing w:val="10"/>
              </w:rPr>
              <w:t>9000 族标准，发布了质量管理体系国家标准</w:t>
            </w:r>
            <w:r>
              <w:rPr>
                <w:spacing w:val="-1"/>
              </w:rPr>
              <w:t>(GB/T19000</w:t>
            </w:r>
            <w:r>
              <w:rPr>
                <w:spacing w:val="-47"/>
              </w:rPr>
              <w:t xml:space="preserve"> </w:t>
            </w:r>
            <w:r>
              <w:rPr>
                <w:spacing w:val="-1"/>
              </w:rPr>
              <w:t>族标准)。</w:t>
            </w:r>
          </w:p>
        </w:tc>
      </w:tr>
      <w:tr w14:paraId="1F7B39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9" w:hRule="atLeast"/>
        </w:trPr>
        <w:tc>
          <w:tcPr>
            <w:tcW w:w="4779" w:type="dxa"/>
            <w:vAlign w:val="top"/>
          </w:tcPr>
          <w:p w14:paraId="271EC526">
            <w:pPr>
              <w:pStyle w:val="7"/>
              <w:spacing w:before="69" w:line="182" w:lineRule="auto"/>
              <w:ind w:left="112"/>
            </w:pPr>
            <w:r>
              <w:rPr>
                <w:b/>
                <w:bCs/>
                <w:color w:val="FF0000"/>
                <w:spacing w:val="-3"/>
              </w:rPr>
              <w:t>P48</w:t>
            </w:r>
          </w:p>
          <w:p w14:paraId="2ADB5A55">
            <w:pPr>
              <w:pStyle w:val="7"/>
              <w:spacing w:before="32" w:line="220" w:lineRule="auto"/>
              <w:ind w:left="119"/>
            </w:pPr>
            <w:r>
              <w:rPr>
                <w:b/>
                <w:bCs/>
                <w:spacing w:val="-4"/>
              </w:rPr>
              <w:t>2.1.1</w:t>
            </w:r>
            <w:r>
              <w:rPr>
                <w:spacing w:val="-39"/>
              </w:rPr>
              <w:t xml:space="preserve"> </w:t>
            </w:r>
            <w:r>
              <w:rPr>
                <w:b/>
                <w:bCs/>
                <w:spacing w:val="-4"/>
              </w:rPr>
              <w:t>质量管理体系</w:t>
            </w:r>
          </w:p>
          <w:p w14:paraId="6BCD5228">
            <w:pPr>
              <w:pStyle w:val="7"/>
              <w:spacing w:before="23" w:line="221" w:lineRule="auto"/>
              <w:ind w:left="155"/>
            </w:pPr>
            <w:r>
              <w:rPr>
                <w:spacing w:val="5"/>
              </w:rPr>
              <w:t>(3)程序</w:t>
            </w:r>
          </w:p>
          <w:p w14:paraId="5EDBEB2B">
            <w:pPr>
              <w:pStyle w:val="7"/>
              <w:spacing w:before="23" w:line="235" w:lineRule="auto"/>
              <w:ind w:left="116" w:right="45" w:hanging="2"/>
            </w:pPr>
            <w:r>
              <w:rPr>
                <w:spacing w:val="-8"/>
              </w:rPr>
              <w:t>②要求保留的成文信息。包括： 监视和测量资源</w:t>
            </w:r>
            <w:r>
              <w:rPr>
                <w:spacing w:val="-4"/>
              </w:rPr>
              <w:t>的校准与检定证据，人员能力证据，与产品和服务有关要求的评审，设计与开发输入，设计与开</w:t>
            </w:r>
            <w:r>
              <w:rPr>
                <w:spacing w:val="-5"/>
              </w:rPr>
              <w:t>发的评审、验证和确认，</w:t>
            </w:r>
            <w:r>
              <w:rPr>
                <w:b/>
                <w:bCs/>
                <w:color w:val="FF0000"/>
                <w:spacing w:val="-5"/>
              </w:rPr>
              <w:t>设计与开发输出设计与</w:t>
            </w:r>
            <w:r>
              <w:rPr>
                <w:b/>
                <w:bCs/>
                <w:color w:val="FF0000"/>
                <w:spacing w:val="-13"/>
              </w:rPr>
              <w:t>开发的变更，外部供方的评价、选择和重新选择，</w:t>
            </w:r>
          </w:p>
          <w:p w14:paraId="3CB04DD2">
            <w:pPr>
              <w:pStyle w:val="7"/>
              <w:spacing w:before="24" w:line="234" w:lineRule="auto"/>
              <w:ind w:left="115" w:right="93" w:firstLine="2"/>
              <w:jc w:val="both"/>
            </w:pPr>
            <w:r>
              <w:rPr>
                <w:spacing w:val="-4"/>
              </w:rPr>
              <w:t>可追溯性的唯一性标识，外部供方或顾客财产发</w:t>
            </w:r>
            <w:r>
              <w:rPr>
                <w:spacing w:val="-3"/>
              </w:rPr>
              <w:t>生丢失、损坏的情况，生产和服务提供的变更，</w:t>
            </w:r>
            <w:r>
              <w:rPr>
                <w:spacing w:val="7"/>
              </w:rPr>
              <w:t>产品和服务放行的证据，不合格输出控制的证</w:t>
            </w:r>
            <w:r>
              <w:rPr>
                <w:spacing w:val="-4"/>
              </w:rPr>
              <w:t>据，管理体系绩效和有效性评价结果的证据，内</w:t>
            </w:r>
            <w:r>
              <w:rPr>
                <w:spacing w:val="-3"/>
              </w:rPr>
              <w:t>审实施及其结果的证据，不合格与纠正措施</w:t>
            </w:r>
            <w:r>
              <w:rPr>
                <w:spacing w:val="-4"/>
              </w:rPr>
              <w:t>的证</w:t>
            </w:r>
          </w:p>
        </w:tc>
        <w:tc>
          <w:tcPr>
            <w:tcW w:w="5081" w:type="dxa"/>
            <w:vAlign w:val="top"/>
          </w:tcPr>
          <w:p w14:paraId="18F22E08">
            <w:pPr>
              <w:pStyle w:val="7"/>
              <w:spacing w:before="32" w:line="220" w:lineRule="auto"/>
              <w:ind w:left="104"/>
            </w:pPr>
            <w:r>
              <w:rPr>
                <w:b/>
                <w:bCs/>
                <w:color w:val="FF0000"/>
                <w:spacing w:val="-2"/>
              </w:rPr>
              <w:t>【修改】P50</w:t>
            </w:r>
          </w:p>
          <w:p w14:paraId="4DECEFC0">
            <w:pPr>
              <w:pStyle w:val="7"/>
              <w:spacing w:before="23" w:line="220" w:lineRule="auto"/>
              <w:ind w:left="117"/>
            </w:pPr>
            <w:r>
              <w:rPr>
                <w:b/>
                <w:bCs/>
                <w:spacing w:val="-4"/>
              </w:rPr>
              <w:t>2.1.1</w:t>
            </w:r>
            <w:r>
              <w:rPr>
                <w:spacing w:val="-39"/>
              </w:rPr>
              <w:t xml:space="preserve"> </w:t>
            </w:r>
            <w:r>
              <w:rPr>
                <w:b/>
                <w:bCs/>
                <w:spacing w:val="-4"/>
              </w:rPr>
              <w:t>质量管理体系</w:t>
            </w:r>
          </w:p>
          <w:p w14:paraId="7AE20933">
            <w:pPr>
              <w:pStyle w:val="7"/>
              <w:spacing w:before="23" w:line="221" w:lineRule="auto"/>
              <w:ind w:left="153"/>
            </w:pPr>
            <w:r>
              <w:rPr>
                <w:spacing w:val="4"/>
              </w:rPr>
              <w:t>(3)程序</w:t>
            </w:r>
          </w:p>
          <w:p w14:paraId="3A0C478F">
            <w:pPr>
              <w:pStyle w:val="7"/>
              <w:spacing w:before="17" w:line="237" w:lineRule="auto"/>
              <w:ind w:left="112" w:right="30"/>
            </w:pPr>
            <w:r>
              <w:t>②要求保留的成文信息。包括：监视和测量资源的校准与检定证据，人员能力证据，与产品和服务要</w:t>
            </w:r>
            <w:r>
              <w:rPr>
                <w:spacing w:val="-6"/>
              </w:rPr>
              <w:t>求有关的评审，设计与开发输入，设计与开发评审、</w:t>
            </w:r>
            <w:r>
              <w:rPr>
                <w:spacing w:val="-2"/>
              </w:rPr>
              <w:t>验证和确认，</w:t>
            </w:r>
            <w:r>
              <w:rPr>
                <w:b/>
                <w:bCs/>
                <w:color w:val="FF0000"/>
                <w:spacing w:val="-2"/>
              </w:rPr>
              <w:t>设计与开发输出，设计与开发变更，</w:t>
            </w:r>
            <w:r>
              <w:rPr>
                <w:b/>
                <w:bCs/>
                <w:color w:val="FF0000"/>
                <w:spacing w:val="-1"/>
              </w:rPr>
              <w:t>外部供方的评价和选择，</w:t>
            </w:r>
            <w:r>
              <w:rPr>
                <w:spacing w:val="-1"/>
              </w:rPr>
              <w:t>可追溯的唯一性标识，外</w:t>
            </w:r>
            <w:r>
              <w:t>部供方或顾客财产发生丢失、损坏的情况，生产和服务提供的变更，产品和服务放行证据，不合格输出控制的证据，管理体系绩效和有效性评价结果的证据，内部评审实施及其结果的证据，不合格与纠</w:t>
            </w:r>
            <w:r>
              <w:rPr>
                <w:spacing w:val="-4"/>
              </w:rPr>
              <w:t>正措施的证据。</w:t>
            </w:r>
          </w:p>
        </w:tc>
      </w:tr>
    </w:tbl>
    <w:p w14:paraId="0A643387">
      <w:pPr>
        <w:spacing w:line="105" w:lineRule="exact"/>
        <w:rPr>
          <w:rFonts w:ascii="Arial"/>
          <w:sz w:val="9"/>
        </w:rPr>
      </w:pPr>
    </w:p>
    <w:p w14:paraId="64BCD71F">
      <w:pPr>
        <w:spacing w:line="105" w:lineRule="exact"/>
        <w:rPr>
          <w:rFonts w:ascii="Arial" w:hAnsi="Arial" w:eastAsia="Arial" w:cs="Arial"/>
          <w:sz w:val="9"/>
          <w:szCs w:val="9"/>
        </w:rPr>
        <w:sectPr>
          <w:footerReference r:id="rId9"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7B7EE5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779" w:type="dxa"/>
            <w:vAlign w:val="top"/>
          </w:tcPr>
          <w:p w14:paraId="658E8BC9">
            <w:pPr>
              <w:pStyle w:val="7"/>
              <w:spacing w:before="33" w:line="211" w:lineRule="auto"/>
              <w:ind w:left="115"/>
            </w:pPr>
            <w:r>
              <w:rPr>
                <w:spacing w:val="-10"/>
              </w:rPr>
              <w:t>据。</w:t>
            </w:r>
          </w:p>
        </w:tc>
        <w:tc>
          <w:tcPr>
            <w:tcW w:w="5081" w:type="dxa"/>
            <w:vAlign w:val="top"/>
          </w:tcPr>
          <w:p w14:paraId="2576AC4B">
            <w:pPr>
              <w:rPr>
                <w:rFonts w:ascii="Arial"/>
                <w:sz w:val="21"/>
              </w:rPr>
            </w:pPr>
          </w:p>
        </w:tc>
      </w:tr>
      <w:tr w14:paraId="100552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3" w:hRule="atLeast"/>
        </w:trPr>
        <w:tc>
          <w:tcPr>
            <w:tcW w:w="4779" w:type="dxa"/>
            <w:vAlign w:val="top"/>
          </w:tcPr>
          <w:p w14:paraId="63D8634F">
            <w:pPr>
              <w:pStyle w:val="7"/>
              <w:spacing w:before="65" w:line="182" w:lineRule="auto"/>
              <w:ind w:left="112"/>
            </w:pPr>
            <w:r>
              <w:rPr>
                <w:b/>
                <w:bCs/>
                <w:color w:val="FF0000"/>
                <w:spacing w:val="-3"/>
              </w:rPr>
              <w:t>P50</w:t>
            </w:r>
          </w:p>
          <w:p w14:paraId="0579C497">
            <w:pPr>
              <w:pStyle w:val="7"/>
              <w:spacing w:before="32" w:line="220" w:lineRule="auto"/>
              <w:ind w:left="155"/>
            </w:pPr>
            <w:r>
              <w:rPr>
                <w:b/>
                <w:bCs/>
                <w:spacing w:val="-11"/>
              </w:rPr>
              <w:t>(7)关系管理。</w:t>
            </w:r>
          </w:p>
          <w:p w14:paraId="7BC69E50">
            <w:pPr>
              <w:pStyle w:val="7"/>
              <w:spacing w:before="23" w:line="220" w:lineRule="auto"/>
              <w:ind w:left="117"/>
            </w:pPr>
            <w:r>
              <w:rPr>
                <w:spacing w:val="-2"/>
              </w:rPr>
              <w:t>质量管理各项原则之间的关系如图</w:t>
            </w:r>
            <w:r>
              <w:rPr>
                <w:spacing w:val="-43"/>
              </w:rPr>
              <w:t xml:space="preserve"> </w:t>
            </w:r>
            <w:r>
              <w:rPr>
                <w:spacing w:val="-2"/>
              </w:rPr>
              <w:t>2.1-3</w:t>
            </w:r>
            <w:r>
              <w:rPr>
                <w:spacing w:val="-48"/>
              </w:rPr>
              <w:t xml:space="preserve"> </w:t>
            </w:r>
            <w:r>
              <w:rPr>
                <w:spacing w:val="-2"/>
              </w:rPr>
              <w:t>所示。</w:t>
            </w:r>
          </w:p>
        </w:tc>
        <w:tc>
          <w:tcPr>
            <w:tcW w:w="5081" w:type="dxa"/>
            <w:vAlign w:val="top"/>
          </w:tcPr>
          <w:p w14:paraId="0AA0AB83">
            <w:pPr>
              <w:pStyle w:val="7"/>
              <w:spacing w:before="28" w:line="222" w:lineRule="auto"/>
              <w:ind w:left="104"/>
            </w:pPr>
            <w:r>
              <w:rPr>
                <w:b/>
                <w:bCs/>
                <w:color w:val="FF0000"/>
                <w:spacing w:val="-2"/>
              </w:rPr>
              <w:t>【增加】P52</w:t>
            </w:r>
          </w:p>
          <w:p w14:paraId="3ECB3632">
            <w:pPr>
              <w:pStyle w:val="7"/>
              <w:spacing w:before="22" w:line="220" w:lineRule="auto"/>
              <w:ind w:left="153"/>
            </w:pPr>
            <w:r>
              <w:rPr>
                <w:b/>
                <w:bCs/>
                <w:spacing w:val="-11"/>
              </w:rPr>
              <w:t>(7)关系管理。</w:t>
            </w:r>
          </w:p>
          <w:p w14:paraId="4692D8BA">
            <w:pPr>
              <w:pStyle w:val="7"/>
              <w:spacing w:before="24" w:line="236" w:lineRule="auto"/>
              <w:ind w:left="114" w:right="105" w:firstLine="1"/>
              <w:jc w:val="both"/>
            </w:pPr>
            <w:r>
              <w:rPr>
                <w:b/>
                <w:bCs/>
                <w:color w:val="FF0000"/>
                <w:spacing w:val="-2"/>
              </w:rPr>
              <w:t>上述质量管理原则相互关联、相互支撑，共同构成</w:t>
            </w:r>
            <w:r>
              <w:rPr>
                <w:b/>
                <w:bCs/>
                <w:color w:val="FF0000"/>
                <w:spacing w:val="-3"/>
              </w:rPr>
              <w:t>一个有机整体。其中，“以顾客为关注焦点</w:t>
            </w:r>
            <w:r>
              <w:rPr>
                <w:color w:val="FF0000"/>
                <w:spacing w:val="-80"/>
              </w:rPr>
              <w:t xml:space="preserve"> </w:t>
            </w:r>
            <w:r>
              <w:rPr>
                <w:b/>
                <w:bCs/>
                <w:color w:val="FF0000"/>
                <w:spacing w:val="-3"/>
              </w:rPr>
              <w:t>”</w:t>
            </w:r>
            <w:r>
              <w:rPr>
                <w:b/>
                <w:bCs/>
                <w:color w:val="FF0000"/>
                <w:spacing w:val="-4"/>
              </w:rPr>
              <w:t>是核</w:t>
            </w:r>
            <w:r>
              <w:rPr>
                <w:b/>
                <w:bCs/>
                <w:color w:val="FF0000"/>
                <w:spacing w:val="-2"/>
              </w:rPr>
              <w:t>心，所有其他管理原则都直接或间接地指向这个核</w:t>
            </w:r>
            <w:r>
              <w:rPr>
                <w:b/>
                <w:bCs/>
                <w:color w:val="FF0000"/>
                <w:spacing w:val="-3"/>
              </w:rPr>
              <w:t>心；“领导作用</w:t>
            </w:r>
            <w:r>
              <w:rPr>
                <w:color w:val="FF0000"/>
                <w:spacing w:val="-80"/>
              </w:rPr>
              <w:t xml:space="preserve"> </w:t>
            </w:r>
            <w:r>
              <w:rPr>
                <w:b/>
                <w:bCs/>
                <w:color w:val="FF0000"/>
                <w:spacing w:val="-3"/>
              </w:rPr>
              <w:t>”是其他管理原则得以落地的</w:t>
            </w:r>
            <w:r>
              <w:rPr>
                <w:b/>
                <w:bCs/>
                <w:color w:val="FF0000"/>
                <w:spacing w:val="-4"/>
              </w:rPr>
              <w:t>引擎</w:t>
            </w:r>
            <w:r>
              <w:rPr>
                <w:b/>
                <w:bCs/>
                <w:color w:val="FF0000"/>
                <w:spacing w:val="-6"/>
              </w:rPr>
              <w:t>和保障；“过程方法</w:t>
            </w:r>
            <w:r>
              <w:rPr>
                <w:color w:val="FF0000"/>
                <w:spacing w:val="-75"/>
              </w:rPr>
              <w:t xml:space="preserve"> </w:t>
            </w:r>
            <w:r>
              <w:rPr>
                <w:b/>
                <w:bCs/>
                <w:color w:val="FF0000"/>
                <w:spacing w:val="-6"/>
              </w:rPr>
              <w:t>”“改进</w:t>
            </w:r>
            <w:r>
              <w:rPr>
                <w:color w:val="FF0000"/>
                <w:spacing w:val="-81"/>
              </w:rPr>
              <w:t xml:space="preserve"> </w:t>
            </w:r>
            <w:r>
              <w:rPr>
                <w:b/>
                <w:bCs/>
                <w:color w:val="FF0000"/>
                <w:spacing w:val="-6"/>
              </w:rPr>
              <w:t>”“循证决策</w:t>
            </w:r>
            <w:r>
              <w:rPr>
                <w:color w:val="FF0000"/>
                <w:spacing w:val="-80"/>
              </w:rPr>
              <w:t xml:space="preserve"> </w:t>
            </w:r>
            <w:r>
              <w:rPr>
                <w:b/>
                <w:bCs/>
                <w:color w:val="FF0000"/>
                <w:spacing w:val="-6"/>
              </w:rPr>
              <w:t>”分别</w:t>
            </w:r>
            <w:r>
              <w:rPr>
                <w:b/>
                <w:bCs/>
                <w:color w:val="FF0000"/>
                <w:spacing w:val="-2"/>
              </w:rPr>
              <w:t>通过执行路径、循环动力、科学基础等来实现使顾</w:t>
            </w:r>
            <w:r>
              <w:rPr>
                <w:b/>
                <w:bCs/>
                <w:color w:val="FF0000"/>
                <w:spacing w:val="-3"/>
              </w:rPr>
              <w:t>客满意的目标；“关系管理</w:t>
            </w:r>
            <w:r>
              <w:rPr>
                <w:color w:val="FF0000"/>
                <w:spacing w:val="-81"/>
              </w:rPr>
              <w:t xml:space="preserve"> </w:t>
            </w:r>
            <w:r>
              <w:rPr>
                <w:b/>
                <w:bCs/>
                <w:color w:val="FF0000"/>
                <w:spacing w:val="-3"/>
              </w:rPr>
              <w:t>”是资源保障，“全员</w:t>
            </w:r>
            <w:r>
              <w:rPr>
                <w:b/>
                <w:bCs/>
                <w:color w:val="FF0000"/>
                <w:spacing w:val="-2"/>
              </w:rPr>
              <w:t>积极参与</w:t>
            </w:r>
            <w:r>
              <w:rPr>
                <w:color w:val="FF0000"/>
                <w:spacing w:val="-76"/>
              </w:rPr>
              <w:t xml:space="preserve"> </w:t>
            </w:r>
            <w:r>
              <w:rPr>
                <w:b/>
                <w:bCs/>
                <w:color w:val="FF0000"/>
                <w:spacing w:val="-2"/>
              </w:rPr>
              <w:t>”是执行基础。</w:t>
            </w:r>
            <w:r>
              <w:rPr>
                <w:spacing w:val="-2"/>
              </w:rPr>
              <w:t>各项质量管理原则之间的</w:t>
            </w:r>
            <w:r>
              <w:rPr>
                <w:spacing w:val="-4"/>
              </w:rPr>
              <w:t>关系如图</w:t>
            </w:r>
            <w:r>
              <w:rPr>
                <w:spacing w:val="-39"/>
              </w:rPr>
              <w:t xml:space="preserve"> </w:t>
            </w:r>
            <w:r>
              <w:rPr>
                <w:spacing w:val="-4"/>
              </w:rPr>
              <w:t>2.1-3</w:t>
            </w:r>
            <w:r>
              <w:rPr>
                <w:spacing w:val="-49"/>
              </w:rPr>
              <w:t xml:space="preserve"> </w:t>
            </w:r>
            <w:r>
              <w:rPr>
                <w:spacing w:val="-4"/>
              </w:rPr>
              <w:t>所示。</w:t>
            </w:r>
          </w:p>
        </w:tc>
      </w:tr>
      <w:tr w14:paraId="31523D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5" w:hRule="atLeast"/>
        </w:trPr>
        <w:tc>
          <w:tcPr>
            <w:tcW w:w="4779" w:type="dxa"/>
            <w:vAlign w:val="top"/>
          </w:tcPr>
          <w:p w14:paraId="59DF2906">
            <w:pPr>
              <w:pStyle w:val="7"/>
              <w:spacing w:before="66" w:line="182" w:lineRule="auto"/>
              <w:ind w:left="112"/>
            </w:pPr>
            <w:r>
              <w:rPr>
                <w:b/>
                <w:bCs/>
                <w:color w:val="FF0000"/>
                <w:spacing w:val="-3"/>
              </w:rPr>
              <w:t>P69</w:t>
            </w:r>
          </w:p>
          <w:p w14:paraId="7C5662B1">
            <w:pPr>
              <w:pStyle w:val="7"/>
              <w:spacing w:before="32" w:line="220" w:lineRule="auto"/>
              <w:ind w:left="119"/>
            </w:pPr>
            <w:r>
              <w:rPr>
                <w:b/>
                <w:bCs/>
                <w:spacing w:val="-4"/>
              </w:rPr>
              <w:t>2.2.1</w:t>
            </w:r>
            <w:r>
              <w:rPr>
                <w:spacing w:val="-39"/>
              </w:rPr>
              <w:t xml:space="preserve"> </w:t>
            </w:r>
            <w:r>
              <w:rPr>
                <w:b/>
                <w:bCs/>
                <w:spacing w:val="-4"/>
              </w:rPr>
              <w:t>风险管理体系</w:t>
            </w:r>
          </w:p>
          <w:p w14:paraId="0EC4D26C">
            <w:pPr>
              <w:pStyle w:val="7"/>
              <w:spacing w:before="26" w:line="239" w:lineRule="auto"/>
              <w:ind w:left="117" w:right="92"/>
              <w:jc w:val="both"/>
            </w:pPr>
            <w:r>
              <w:rPr>
                <w:spacing w:val="-4"/>
              </w:rPr>
              <w:t>风险管理旨在保证组织恰当地应对风险，提高风</w:t>
            </w:r>
            <w:r>
              <w:rPr>
                <w:spacing w:val="-3"/>
              </w:rPr>
              <w:t>险应对效率和效果，增强决策和行动的合理性，</w:t>
            </w:r>
            <w:r>
              <w:rPr>
                <w:spacing w:val="-4"/>
              </w:rPr>
              <w:t>有效配置资源。为帮助组织在制定决策，设定和实现目标及提升绩效的过程中管理风险，创造和保护价值，国际标准化组织(ISO)于</w:t>
            </w:r>
            <w:r>
              <w:rPr>
                <w:spacing w:val="-27"/>
              </w:rPr>
              <w:t xml:space="preserve"> </w:t>
            </w:r>
            <w:r>
              <w:rPr>
                <w:spacing w:val="-4"/>
              </w:rPr>
              <w:t>2009</w:t>
            </w:r>
            <w:r>
              <w:rPr>
                <w:spacing w:val="-48"/>
              </w:rPr>
              <w:t xml:space="preserve"> </w:t>
            </w:r>
            <w:r>
              <w:rPr>
                <w:spacing w:val="-4"/>
              </w:rPr>
              <w:t>年首次</w:t>
            </w:r>
            <w:r>
              <w:rPr>
                <w:spacing w:val="-14"/>
              </w:rPr>
              <w:t>发</w:t>
            </w:r>
            <w:r>
              <w:rPr>
                <w:spacing w:val="-28"/>
              </w:rPr>
              <w:t xml:space="preserve"> </w:t>
            </w:r>
            <w:r>
              <w:rPr>
                <w:spacing w:val="-14"/>
              </w:rPr>
              <w:t>布 了</w:t>
            </w:r>
            <w:r>
              <w:rPr>
                <w:spacing w:val="-43"/>
              </w:rPr>
              <w:t xml:space="preserve"> </w:t>
            </w:r>
            <w:r>
              <w:rPr>
                <w:spacing w:val="-14"/>
              </w:rPr>
              <w:t>《 风</w:t>
            </w:r>
            <w:r>
              <w:rPr>
                <w:spacing w:val="-20"/>
              </w:rPr>
              <w:t xml:space="preserve"> </w:t>
            </w:r>
            <w:r>
              <w:rPr>
                <w:spacing w:val="-14"/>
              </w:rPr>
              <w:t>险</w:t>
            </w:r>
            <w:r>
              <w:rPr>
                <w:spacing w:val="-29"/>
              </w:rPr>
              <w:t xml:space="preserve"> </w:t>
            </w:r>
            <w:r>
              <w:rPr>
                <w:spacing w:val="-14"/>
              </w:rPr>
              <w:t>管</w:t>
            </w:r>
            <w:r>
              <w:rPr>
                <w:spacing w:val="-30"/>
              </w:rPr>
              <w:t xml:space="preserve"> </w:t>
            </w:r>
            <w:r>
              <w:rPr>
                <w:spacing w:val="-14"/>
              </w:rPr>
              <w:t>理</w:t>
            </w:r>
            <w:r>
              <w:rPr>
                <w:spacing w:val="-29"/>
              </w:rPr>
              <w:t xml:space="preserve"> </w:t>
            </w:r>
            <w:r>
              <w:rPr>
                <w:spacing w:val="-14"/>
              </w:rPr>
              <w:t>原</w:t>
            </w:r>
            <w:r>
              <w:rPr>
                <w:spacing w:val="-27"/>
              </w:rPr>
              <w:t xml:space="preserve"> </w:t>
            </w:r>
            <w:r>
              <w:rPr>
                <w:spacing w:val="-14"/>
              </w:rPr>
              <w:t>则</w:t>
            </w:r>
            <w:r>
              <w:rPr>
                <w:spacing w:val="-28"/>
              </w:rPr>
              <w:t xml:space="preserve"> </w:t>
            </w:r>
            <w:r>
              <w:rPr>
                <w:spacing w:val="-14"/>
              </w:rPr>
              <w:t>与</w:t>
            </w:r>
            <w:r>
              <w:rPr>
                <w:spacing w:val="-29"/>
              </w:rPr>
              <w:t xml:space="preserve"> </w:t>
            </w:r>
            <w:r>
              <w:rPr>
                <w:spacing w:val="-14"/>
              </w:rPr>
              <w:t>实</w:t>
            </w:r>
            <w:r>
              <w:rPr>
                <w:spacing w:val="-33"/>
              </w:rPr>
              <w:t xml:space="preserve"> </w:t>
            </w:r>
            <w:r>
              <w:rPr>
                <w:spacing w:val="-14"/>
              </w:rPr>
              <w:t>施</w:t>
            </w:r>
            <w:r>
              <w:rPr>
                <w:spacing w:val="-30"/>
              </w:rPr>
              <w:t xml:space="preserve"> </w:t>
            </w:r>
            <w:r>
              <w:rPr>
                <w:spacing w:val="-14"/>
              </w:rPr>
              <w:t>指</w:t>
            </w:r>
            <w:r>
              <w:rPr>
                <w:spacing w:val="-31"/>
              </w:rPr>
              <w:t xml:space="preserve"> </w:t>
            </w:r>
            <w:r>
              <w:rPr>
                <w:spacing w:val="-14"/>
              </w:rPr>
              <w:t>南</w:t>
            </w:r>
            <w:r>
              <w:rPr>
                <w:spacing w:val="-20"/>
              </w:rPr>
              <w:t xml:space="preserve"> </w:t>
            </w:r>
            <w:r>
              <w:rPr>
                <w:spacing w:val="-14"/>
              </w:rPr>
              <w:t>》</w:t>
            </w:r>
          </w:p>
          <w:p w14:paraId="31F40328">
            <w:pPr>
              <w:pStyle w:val="7"/>
              <w:spacing w:before="4" w:line="241" w:lineRule="auto"/>
              <w:ind w:left="113" w:right="52" w:firstLine="14"/>
              <w:jc w:val="both"/>
            </w:pPr>
            <w:r>
              <w:rPr>
                <w:spacing w:val="-2"/>
              </w:rPr>
              <w:t xml:space="preserve">ISO31000:2009,2018 </w:t>
            </w:r>
            <w:r>
              <w:rPr>
                <w:spacing w:val="-3"/>
              </w:rPr>
              <w:t>年 2 月发布了更新和升级</w:t>
            </w:r>
            <w:r>
              <w:rPr>
                <w:spacing w:val="2"/>
              </w:rPr>
              <w:t>版《风险管理指南》</w:t>
            </w:r>
            <w:r>
              <w:t>ISO</w:t>
            </w:r>
            <w:r>
              <w:rPr>
                <w:spacing w:val="2"/>
              </w:rPr>
              <w:t>31000:2018。我</w:t>
            </w:r>
            <w:r>
              <w:rPr>
                <w:spacing w:val="1"/>
              </w:rPr>
              <w:t>国等同</w:t>
            </w:r>
            <w:r>
              <w:rPr>
                <w:spacing w:val="-1"/>
              </w:rPr>
              <w:t>采用此标准，发布了国家标准《风险管理指南》</w:t>
            </w:r>
            <w:r>
              <w:rPr>
                <w:spacing w:val="7"/>
              </w:rPr>
              <w:t xml:space="preserve"> </w:t>
            </w:r>
            <w:r>
              <w:rPr>
                <w:spacing w:val="-1"/>
              </w:rPr>
              <w:t>GB/T24353—2022。</w:t>
            </w:r>
          </w:p>
        </w:tc>
        <w:tc>
          <w:tcPr>
            <w:tcW w:w="5081" w:type="dxa"/>
            <w:vAlign w:val="top"/>
          </w:tcPr>
          <w:p w14:paraId="7397AB35">
            <w:pPr>
              <w:pStyle w:val="7"/>
              <w:spacing w:before="29" w:line="222" w:lineRule="auto"/>
              <w:ind w:left="104"/>
            </w:pPr>
            <w:r>
              <w:rPr>
                <w:b/>
                <w:bCs/>
                <w:color w:val="FF0000"/>
                <w:spacing w:val="-2"/>
              </w:rPr>
              <w:t>【增加】P71</w:t>
            </w:r>
          </w:p>
          <w:p w14:paraId="669DD206">
            <w:pPr>
              <w:pStyle w:val="7"/>
              <w:spacing w:before="21" w:line="220" w:lineRule="auto"/>
              <w:ind w:left="117"/>
            </w:pPr>
            <w:r>
              <w:rPr>
                <w:b/>
                <w:bCs/>
                <w:spacing w:val="-4"/>
              </w:rPr>
              <w:t>2.2.1</w:t>
            </w:r>
            <w:r>
              <w:rPr>
                <w:spacing w:val="-39"/>
              </w:rPr>
              <w:t xml:space="preserve"> </w:t>
            </w:r>
            <w:r>
              <w:rPr>
                <w:b/>
                <w:bCs/>
                <w:spacing w:val="-4"/>
              </w:rPr>
              <w:t>风险管理体系</w:t>
            </w:r>
          </w:p>
          <w:p w14:paraId="59191CA3">
            <w:pPr>
              <w:pStyle w:val="7"/>
              <w:spacing w:before="26" w:line="239" w:lineRule="auto"/>
              <w:ind w:left="114" w:right="44"/>
              <w:jc w:val="both"/>
            </w:pPr>
            <w:r>
              <w:t>风险管理旨在保证组织恰当地应对风险，提高风险应对效率和效果，增强决策和行动的合理性，有效配置资源。为帮助组织在制定决策，设定和实现目</w:t>
            </w:r>
            <w:r>
              <w:rPr>
                <w:spacing w:val="-7"/>
              </w:rPr>
              <w:t>标及提升绩效的过程中管理风险，创造和保护价值，</w:t>
            </w:r>
            <w:r>
              <w:rPr>
                <w:spacing w:val="-1"/>
              </w:rPr>
              <w:t>国际标准化组织(ISO)于</w:t>
            </w:r>
            <w:r>
              <w:rPr>
                <w:spacing w:val="-34"/>
              </w:rPr>
              <w:t xml:space="preserve"> </w:t>
            </w:r>
            <w:r>
              <w:rPr>
                <w:spacing w:val="-1"/>
              </w:rPr>
              <w:t>2009</w:t>
            </w:r>
            <w:r>
              <w:rPr>
                <w:spacing w:val="-33"/>
              </w:rPr>
              <w:t xml:space="preserve"> </w:t>
            </w:r>
            <w:r>
              <w:rPr>
                <w:spacing w:val="-1"/>
              </w:rPr>
              <w:t>年首次发布</w:t>
            </w:r>
            <w:r>
              <w:rPr>
                <w:spacing w:val="-2"/>
              </w:rPr>
              <w:t>了《风险管理原则与实施指南》ISO31000:2</w:t>
            </w:r>
            <w:r>
              <w:rPr>
                <w:spacing w:val="-3"/>
              </w:rPr>
              <w:t>009,2018</w:t>
            </w:r>
            <w:r>
              <w:rPr>
                <w:spacing w:val="-44"/>
              </w:rPr>
              <w:t xml:space="preserve"> </w:t>
            </w:r>
            <w:r>
              <w:rPr>
                <w:spacing w:val="-3"/>
              </w:rPr>
              <w:t>年</w:t>
            </w:r>
            <w:r>
              <w:rPr>
                <w:spacing w:val="-44"/>
              </w:rPr>
              <w:t xml:space="preserve"> </w:t>
            </w:r>
            <w:r>
              <w:rPr>
                <w:spacing w:val="-3"/>
              </w:rPr>
              <w:t>2</w:t>
            </w:r>
            <w:r>
              <w:rPr>
                <w:spacing w:val="-43"/>
              </w:rPr>
              <w:t xml:space="preserve"> </w:t>
            </w:r>
            <w:r>
              <w:rPr>
                <w:spacing w:val="-3"/>
              </w:rPr>
              <w:t>月</w:t>
            </w:r>
            <w:r>
              <w:rPr>
                <w:spacing w:val="-12"/>
              </w:rPr>
              <w:t>发</w:t>
            </w:r>
            <w:r>
              <w:rPr>
                <w:spacing w:val="-29"/>
              </w:rPr>
              <w:t xml:space="preserve"> </w:t>
            </w:r>
            <w:r>
              <w:rPr>
                <w:spacing w:val="-12"/>
              </w:rPr>
              <w:t>布 了</w:t>
            </w:r>
            <w:r>
              <w:rPr>
                <w:spacing w:val="-29"/>
              </w:rPr>
              <w:t xml:space="preserve"> </w:t>
            </w:r>
            <w:r>
              <w:rPr>
                <w:spacing w:val="-12"/>
              </w:rPr>
              <w:t>更</w:t>
            </w:r>
            <w:r>
              <w:rPr>
                <w:spacing w:val="-31"/>
              </w:rPr>
              <w:t xml:space="preserve"> </w:t>
            </w:r>
            <w:r>
              <w:rPr>
                <w:spacing w:val="-12"/>
              </w:rPr>
              <w:t>新</w:t>
            </w:r>
            <w:r>
              <w:rPr>
                <w:spacing w:val="-31"/>
              </w:rPr>
              <w:t xml:space="preserve"> </w:t>
            </w:r>
            <w:r>
              <w:rPr>
                <w:spacing w:val="-12"/>
              </w:rPr>
              <w:t>和</w:t>
            </w:r>
            <w:r>
              <w:rPr>
                <w:spacing w:val="-30"/>
              </w:rPr>
              <w:t xml:space="preserve"> </w:t>
            </w:r>
            <w:r>
              <w:rPr>
                <w:spacing w:val="-12"/>
              </w:rPr>
              <w:t>升</w:t>
            </w:r>
            <w:r>
              <w:rPr>
                <w:spacing w:val="-29"/>
              </w:rPr>
              <w:t xml:space="preserve"> </w:t>
            </w:r>
            <w:r>
              <w:rPr>
                <w:spacing w:val="-12"/>
              </w:rPr>
              <w:t>级</w:t>
            </w:r>
            <w:r>
              <w:rPr>
                <w:spacing w:val="-33"/>
              </w:rPr>
              <w:t xml:space="preserve"> </w:t>
            </w:r>
            <w:r>
              <w:rPr>
                <w:spacing w:val="-12"/>
              </w:rPr>
              <w:t>版</w:t>
            </w:r>
            <w:r>
              <w:rPr>
                <w:spacing w:val="-40"/>
              </w:rPr>
              <w:t xml:space="preserve"> </w:t>
            </w:r>
            <w:r>
              <w:rPr>
                <w:spacing w:val="-12"/>
              </w:rPr>
              <w:t>《 风 险</w:t>
            </w:r>
            <w:r>
              <w:rPr>
                <w:spacing w:val="-26"/>
              </w:rPr>
              <w:t xml:space="preserve"> </w:t>
            </w:r>
            <w:r>
              <w:rPr>
                <w:spacing w:val="-12"/>
              </w:rPr>
              <w:t>管</w:t>
            </w:r>
            <w:r>
              <w:rPr>
                <w:spacing w:val="-29"/>
              </w:rPr>
              <w:t xml:space="preserve"> </w:t>
            </w:r>
            <w:r>
              <w:rPr>
                <w:spacing w:val="-12"/>
              </w:rPr>
              <w:t>理</w:t>
            </w:r>
            <w:r>
              <w:rPr>
                <w:spacing w:val="-30"/>
              </w:rPr>
              <w:t xml:space="preserve"> </w:t>
            </w:r>
            <w:r>
              <w:rPr>
                <w:spacing w:val="-12"/>
              </w:rPr>
              <w:t>指</w:t>
            </w:r>
            <w:r>
              <w:rPr>
                <w:spacing w:val="-29"/>
              </w:rPr>
              <w:t xml:space="preserve"> </w:t>
            </w:r>
            <w:r>
              <w:rPr>
                <w:spacing w:val="-12"/>
              </w:rPr>
              <w:t>南</w:t>
            </w:r>
            <w:r>
              <w:rPr>
                <w:spacing w:val="-22"/>
              </w:rPr>
              <w:t xml:space="preserve"> </w:t>
            </w:r>
            <w:r>
              <w:rPr>
                <w:spacing w:val="-12"/>
              </w:rPr>
              <w:t>》</w:t>
            </w:r>
          </w:p>
          <w:p w14:paraId="26F6FEE2">
            <w:pPr>
              <w:pStyle w:val="7"/>
              <w:spacing w:before="3" w:line="234" w:lineRule="auto"/>
              <w:ind w:left="111" w:right="106" w:firstLine="14"/>
              <w:jc w:val="both"/>
            </w:pPr>
            <w:r>
              <w:rPr>
                <w:spacing w:val="-3"/>
              </w:rPr>
              <w:t>IS31000:2018</w:t>
            </w:r>
            <w:r>
              <w:rPr>
                <w:b/>
                <w:bCs/>
                <w:color w:val="FF0000"/>
                <w:spacing w:val="-3"/>
              </w:rPr>
              <w:t>,2019</w:t>
            </w:r>
            <w:r>
              <w:rPr>
                <w:color w:val="FF0000"/>
                <w:spacing w:val="-17"/>
              </w:rPr>
              <w:t xml:space="preserve"> </w:t>
            </w:r>
            <w:r>
              <w:rPr>
                <w:b/>
                <w:bCs/>
                <w:color w:val="FF0000"/>
                <w:spacing w:val="-3"/>
              </w:rPr>
              <w:t>年</w:t>
            </w:r>
            <w:r>
              <w:rPr>
                <w:color w:val="FF0000"/>
                <w:spacing w:val="-22"/>
              </w:rPr>
              <w:t xml:space="preserve"> </w:t>
            </w:r>
            <w:r>
              <w:rPr>
                <w:b/>
                <w:bCs/>
                <w:color w:val="FF0000"/>
                <w:spacing w:val="-3"/>
              </w:rPr>
              <w:t>6</w:t>
            </w:r>
            <w:r>
              <w:rPr>
                <w:color w:val="FF0000"/>
                <w:spacing w:val="-22"/>
              </w:rPr>
              <w:t xml:space="preserve"> </w:t>
            </w:r>
            <w:r>
              <w:rPr>
                <w:b/>
                <w:bCs/>
                <w:color w:val="FF0000"/>
                <w:spacing w:val="-3"/>
              </w:rPr>
              <w:t>月更新发布了《风险管理</w:t>
            </w:r>
            <w:r>
              <w:rPr>
                <w:b/>
                <w:bCs/>
                <w:color w:val="FF0000"/>
                <w:spacing w:val="-5"/>
              </w:rPr>
              <w:t>风险评估技术》ISO31010:2019,2022</w:t>
            </w:r>
            <w:r>
              <w:rPr>
                <w:color w:val="FF0000"/>
                <w:spacing w:val="-36"/>
              </w:rPr>
              <w:t xml:space="preserve"> </w:t>
            </w:r>
            <w:r>
              <w:rPr>
                <w:b/>
                <w:bCs/>
                <w:color w:val="FF0000"/>
                <w:spacing w:val="-5"/>
              </w:rPr>
              <w:t>年</w:t>
            </w:r>
            <w:r>
              <w:rPr>
                <w:color w:val="FF0000"/>
                <w:spacing w:val="-44"/>
              </w:rPr>
              <w:t xml:space="preserve"> </w:t>
            </w:r>
            <w:r>
              <w:rPr>
                <w:b/>
                <w:bCs/>
                <w:color w:val="FF0000"/>
                <w:spacing w:val="-5"/>
              </w:rPr>
              <w:t>2</w:t>
            </w:r>
            <w:r>
              <w:rPr>
                <w:color w:val="FF0000"/>
                <w:spacing w:val="-41"/>
              </w:rPr>
              <w:t xml:space="preserve"> </w:t>
            </w:r>
            <w:r>
              <w:rPr>
                <w:b/>
                <w:bCs/>
                <w:color w:val="FF0000"/>
                <w:spacing w:val="-5"/>
              </w:rPr>
              <w:t>月发布了</w:t>
            </w:r>
            <w:r>
              <w:rPr>
                <w:b/>
                <w:bCs/>
                <w:color w:val="FF0000"/>
                <w:spacing w:val="-2"/>
              </w:rPr>
              <w:t>《风险管理术语》</w:t>
            </w:r>
            <w:r>
              <w:rPr>
                <w:color w:val="FF0000"/>
                <w:spacing w:val="-20"/>
              </w:rPr>
              <w:t xml:space="preserve"> </w:t>
            </w:r>
            <w:r>
              <w:rPr>
                <w:b/>
                <w:bCs/>
                <w:color w:val="FF0000"/>
                <w:spacing w:val="-2"/>
              </w:rPr>
              <w:t>ISO31073:2022。我国等同采用</w:t>
            </w:r>
            <w:r>
              <w:rPr>
                <w:b/>
                <w:bCs/>
                <w:color w:val="FF0000"/>
                <w:spacing w:val="-1"/>
              </w:rPr>
              <w:t>相应标准，</w:t>
            </w:r>
            <w:r>
              <w:rPr>
                <w:spacing w:val="-1"/>
              </w:rPr>
              <w:t>分别发布了国家标准《风险管理指南》</w:t>
            </w:r>
            <w:r>
              <w:rPr>
                <w:spacing w:val="17"/>
              </w:rPr>
              <w:t xml:space="preserve"> </w:t>
            </w:r>
            <w:r>
              <w:rPr>
                <w:spacing w:val="-5"/>
              </w:rPr>
              <w:t xml:space="preserve">GB/T24353—2022  </w:t>
            </w:r>
            <w:r>
              <w:rPr>
                <w:b/>
                <w:bCs/>
                <w:color w:val="FF0000"/>
                <w:spacing w:val="-5"/>
              </w:rPr>
              <w:t>和</w:t>
            </w:r>
            <w:r>
              <w:rPr>
                <w:color w:val="FF0000"/>
                <w:spacing w:val="19"/>
              </w:rPr>
              <w:t xml:space="preserve"> </w:t>
            </w:r>
            <w:r>
              <w:rPr>
                <w:b/>
                <w:bCs/>
                <w:color w:val="FF0000"/>
                <w:spacing w:val="-5"/>
              </w:rPr>
              <w:t>《</w:t>
            </w:r>
            <w:r>
              <w:rPr>
                <w:color w:val="FF0000"/>
                <w:spacing w:val="46"/>
              </w:rPr>
              <w:t xml:space="preserve"> </w:t>
            </w:r>
            <w:r>
              <w:rPr>
                <w:b/>
                <w:bCs/>
                <w:color w:val="FF0000"/>
                <w:spacing w:val="-5"/>
              </w:rPr>
              <w:t>风</w:t>
            </w:r>
            <w:r>
              <w:rPr>
                <w:color w:val="FF0000"/>
                <w:spacing w:val="35"/>
              </w:rPr>
              <w:t xml:space="preserve"> </w:t>
            </w:r>
            <w:r>
              <w:rPr>
                <w:b/>
                <w:bCs/>
                <w:color w:val="FF0000"/>
                <w:spacing w:val="-5"/>
              </w:rPr>
              <w:t>险</w:t>
            </w:r>
            <w:r>
              <w:rPr>
                <w:color w:val="FF0000"/>
                <w:spacing w:val="26"/>
              </w:rPr>
              <w:t xml:space="preserve"> </w:t>
            </w:r>
            <w:r>
              <w:rPr>
                <w:b/>
                <w:bCs/>
                <w:color w:val="FF0000"/>
                <w:spacing w:val="-5"/>
              </w:rPr>
              <w:t>管</w:t>
            </w:r>
            <w:r>
              <w:rPr>
                <w:color w:val="FF0000"/>
                <w:spacing w:val="26"/>
              </w:rPr>
              <w:t xml:space="preserve"> </w:t>
            </w:r>
            <w:r>
              <w:rPr>
                <w:b/>
                <w:bCs/>
                <w:color w:val="FF0000"/>
                <w:spacing w:val="-5"/>
              </w:rPr>
              <w:t>理</w:t>
            </w:r>
            <w:r>
              <w:rPr>
                <w:color w:val="FF0000"/>
                <w:spacing w:val="25"/>
              </w:rPr>
              <w:t xml:space="preserve"> </w:t>
            </w:r>
            <w:r>
              <w:rPr>
                <w:b/>
                <w:bCs/>
                <w:color w:val="FF0000"/>
                <w:spacing w:val="-5"/>
              </w:rPr>
              <w:t>术</w:t>
            </w:r>
            <w:r>
              <w:rPr>
                <w:color w:val="FF0000"/>
                <w:spacing w:val="20"/>
              </w:rPr>
              <w:t xml:space="preserve"> </w:t>
            </w:r>
            <w:r>
              <w:rPr>
                <w:b/>
                <w:bCs/>
                <w:color w:val="FF0000"/>
                <w:spacing w:val="-5"/>
              </w:rPr>
              <w:t>语</w:t>
            </w:r>
            <w:r>
              <w:rPr>
                <w:color w:val="FF0000"/>
                <w:spacing w:val="33"/>
              </w:rPr>
              <w:t xml:space="preserve"> </w:t>
            </w:r>
            <w:r>
              <w:rPr>
                <w:b/>
                <w:bCs/>
                <w:color w:val="FF0000"/>
                <w:spacing w:val="-5"/>
              </w:rPr>
              <w:t>》</w:t>
            </w:r>
            <w:r>
              <w:rPr>
                <w:color w:val="FF0000"/>
              </w:rPr>
              <w:t xml:space="preserve"> </w:t>
            </w:r>
            <w:r>
              <w:rPr>
                <w:b/>
                <w:bCs/>
                <w:color w:val="FF0000"/>
                <w:spacing w:val="-2"/>
              </w:rPr>
              <w:t>GB/T23694—2024。</w:t>
            </w:r>
          </w:p>
        </w:tc>
      </w:tr>
      <w:tr w14:paraId="53533B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3" w:hRule="atLeast"/>
        </w:trPr>
        <w:tc>
          <w:tcPr>
            <w:tcW w:w="4779" w:type="dxa"/>
            <w:vAlign w:val="top"/>
          </w:tcPr>
          <w:p w14:paraId="7D28E258">
            <w:pPr>
              <w:pStyle w:val="7"/>
              <w:spacing w:before="68" w:line="182" w:lineRule="auto"/>
              <w:ind w:left="112"/>
            </w:pPr>
            <w:r>
              <w:rPr>
                <w:b/>
                <w:bCs/>
                <w:color w:val="FF0000"/>
                <w:spacing w:val="-3"/>
              </w:rPr>
              <w:t>P76</w:t>
            </w:r>
          </w:p>
          <w:p w14:paraId="6AAD8070">
            <w:pPr>
              <w:pStyle w:val="7"/>
              <w:spacing w:before="31" w:line="219" w:lineRule="auto"/>
              <w:ind w:left="119"/>
            </w:pPr>
            <w:r>
              <w:rPr>
                <w:b/>
                <w:bCs/>
                <w:spacing w:val="-3"/>
              </w:rPr>
              <w:t>2.3.1</w:t>
            </w:r>
            <w:r>
              <w:rPr>
                <w:spacing w:val="-42"/>
              </w:rPr>
              <w:t xml:space="preserve"> </w:t>
            </w:r>
            <w:r>
              <w:rPr>
                <w:b/>
                <w:bCs/>
                <w:spacing w:val="-3"/>
              </w:rPr>
              <w:t>项目管理标准及价值交付</w:t>
            </w:r>
          </w:p>
          <w:p w14:paraId="508BEC6D">
            <w:pPr>
              <w:pStyle w:val="7"/>
              <w:spacing w:before="23" w:line="220" w:lineRule="auto"/>
              <w:ind w:left="132"/>
            </w:pPr>
            <w:r>
              <w:rPr>
                <w:spacing w:val="-3"/>
              </w:rPr>
              <w:t>1)国际项目管理标准</w:t>
            </w:r>
          </w:p>
          <w:p w14:paraId="51626160">
            <w:pPr>
              <w:pStyle w:val="7"/>
              <w:spacing w:before="21"/>
              <w:ind w:left="116" w:right="102" w:firstLine="1"/>
            </w:pPr>
            <w:r>
              <w:rPr>
                <w:spacing w:val="8"/>
              </w:rPr>
              <w:t>《项目管理知识体系指南(</w:t>
            </w:r>
            <w:r>
              <w:t>PMBOK</w:t>
            </w:r>
            <w:r>
              <w:rPr>
                <w:spacing w:val="8"/>
              </w:rPr>
              <w:t>®</w:t>
            </w:r>
            <w:r>
              <w:t>Guide</w:t>
            </w:r>
            <w:r>
              <w:rPr>
                <w:spacing w:val="8"/>
              </w:rPr>
              <w:t>)(第 7</w:t>
            </w:r>
            <w:r>
              <w:rPr>
                <w:spacing w:val="2"/>
              </w:rPr>
              <w:t>版)》不再沿用过去的基本过程组和知识领</w:t>
            </w:r>
            <w:r>
              <w:rPr>
                <w:spacing w:val="1"/>
              </w:rPr>
              <w:t>域架</w:t>
            </w:r>
            <w:r>
              <w:rPr>
                <w:spacing w:val="-3"/>
              </w:rPr>
              <w:t>构，而是提出了基于价值交付的 12 项原则和 8</w:t>
            </w:r>
            <w:r>
              <w:rPr>
                <w:spacing w:val="-2"/>
              </w:rPr>
              <w:t>个绩效域。</w:t>
            </w:r>
          </w:p>
          <w:p w14:paraId="05D733F0">
            <w:pPr>
              <w:pStyle w:val="7"/>
              <w:spacing w:before="9" w:line="238" w:lineRule="auto"/>
              <w:ind w:left="115" w:right="75" w:firstLine="4"/>
              <w:jc w:val="both"/>
            </w:pPr>
            <w:r>
              <w:rPr>
                <w:color w:val="FF0000"/>
                <w:spacing w:val="-3"/>
              </w:rPr>
              <w:t>项目管理 12 项原则：①成为勤勉、尊重和关心</w:t>
            </w:r>
            <w:r>
              <w:rPr>
                <w:color w:val="FF0000"/>
                <w:spacing w:val="-4"/>
              </w:rPr>
              <w:t>他人的管家；②营造协作的项目团队环境；③有</w:t>
            </w:r>
            <w:r>
              <w:rPr>
                <w:color w:val="FF0000"/>
                <w:spacing w:val="-2"/>
              </w:rPr>
              <w:t>效的利益相关者参与；④聚焦于价值；⑤识别、</w:t>
            </w:r>
            <w:r>
              <w:rPr>
                <w:color w:val="FF0000"/>
                <w:spacing w:val="-4"/>
              </w:rPr>
              <w:t>评估和响应系统交互；⑥展现领导力行为；⑦根</w:t>
            </w:r>
            <w:r>
              <w:rPr>
                <w:color w:val="FF0000"/>
                <w:spacing w:val="-3"/>
              </w:rPr>
              <w:t>据环境进行裁剪；⑧将质量融入过程和可交付成</w:t>
            </w:r>
            <w:r>
              <w:rPr>
                <w:color w:val="FF0000"/>
                <w:spacing w:val="-6"/>
              </w:rPr>
              <w:t>果中；⑨驾驭复杂性；⑩优化风险应对；</w:t>
            </w:r>
            <w:r>
              <w:rPr>
                <w:rFonts w:ascii="Cambria Math" w:hAnsi="Cambria Math" w:eastAsia="Cambria Math" w:cs="Cambria Math"/>
                <w:color w:val="FF0000"/>
                <w:spacing w:val="-6"/>
              </w:rPr>
              <w:t>⑪</w:t>
            </w:r>
            <w:r>
              <w:rPr>
                <w:color w:val="FF0000"/>
                <w:spacing w:val="-6"/>
              </w:rPr>
              <w:t>拥抱适应性和韧性；</w:t>
            </w:r>
            <w:r>
              <w:rPr>
                <w:rFonts w:ascii="Cambria Math" w:hAnsi="Cambria Math" w:eastAsia="Cambria Math" w:cs="Cambria Math"/>
                <w:color w:val="FF0000"/>
                <w:spacing w:val="-6"/>
              </w:rPr>
              <w:t>⑫</w:t>
            </w:r>
            <w:r>
              <w:rPr>
                <w:color w:val="FF0000"/>
                <w:spacing w:val="-6"/>
              </w:rPr>
              <w:t>为实现预期的未来状态而驱动</w:t>
            </w:r>
            <w:r>
              <w:rPr>
                <w:color w:val="FF0000"/>
                <w:spacing w:val="-9"/>
              </w:rPr>
              <w:t>变革。</w:t>
            </w:r>
          </w:p>
          <w:p w14:paraId="192728EA">
            <w:pPr>
              <w:pStyle w:val="7"/>
              <w:spacing w:before="4" w:line="218" w:lineRule="auto"/>
              <w:ind w:left="119"/>
            </w:pPr>
            <w:r>
              <w:rPr>
                <w:color w:val="FF0000"/>
                <w:spacing w:val="-3"/>
              </w:rPr>
              <w:t>项目管理</w:t>
            </w:r>
            <w:r>
              <w:rPr>
                <w:color w:val="FF0000"/>
                <w:spacing w:val="-46"/>
              </w:rPr>
              <w:t xml:space="preserve"> </w:t>
            </w:r>
            <w:r>
              <w:rPr>
                <w:color w:val="FF0000"/>
                <w:spacing w:val="-3"/>
              </w:rPr>
              <w:t>8</w:t>
            </w:r>
            <w:r>
              <w:rPr>
                <w:color w:val="FF0000"/>
                <w:spacing w:val="-46"/>
              </w:rPr>
              <w:t xml:space="preserve"> </w:t>
            </w:r>
            <w:r>
              <w:rPr>
                <w:color w:val="FF0000"/>
                <w:spacing w:val="-3"/>
              </w:rPr>
              <w:t>个绩效域：①利益相关者；②团队；</w:t>
            </w:r>
          </w:p>
          <w:p w14:paraId="23C596C5">
            <w:pPr>
              <w:pStyle w:val="7"/>
              <w:spacing w:before="27" w:line="228" w:lineRule="auto"/>
              <w:ind w:left="114" w:right="94"/>
              <w:jc w:val="both"/>
            </w:pPr>
            <w:r>
              <w:rPr>
                <w:color w:val="FF0000"/>
                <w:spacing w:val="-3"/>
              </w:rPr>
              <w:t>③开发方法和生命周期；④规划；⑤项目工作；</w:t>
            </w:r>
            <w:r>
              <w:rPr>
                <w:color w:val="FF0000"/>
                <w:spacing w:val="6"/>
              </w:rPr>
              <w:t xml:space="preserve"> </w:t>
            </w:r>
            <w:r>
              <w:rPr>
                <w:color w:val="FF0000"/>
                <w:spacing w:val="-3"/>
              </w:rPr>
              <w:t>⑥交付；⑦测量；⑧不确定性。这些是有效地交</w:t>
            </w:r>
            <w:r>
              <w:rPr>
                <w:color w:val="FF0000"/>
                <w:spacing w:val="-2"/>
              </w:rPr>
              <w:t>付项目成果至关重要的相关活动。</w:t>
            </w:r>
          </w:p>
        </w:tc>
        <w:tc>
          <w:tcPr>
            <w:tcW w:w="5081" w:type="dxa"/>
            <w:vAlign w:val="top"/>
          </w:tcPr>
          <w:p w14:paraId="51D27AA4">
            <w:pPr>
              <w:pStyle w:val="7"/>
              <w:spacing w:before="31" w:line="220" w:lineRule="auto"/>
              <w:ind w:left="104"/>
            </w:pPr>
            <w:r>
              <w:rPr>
                <w:b/>
                <w:bCs/>
                <w:color w:val="FF0000"/>
                <w:spacing w:val="-2"/>
              </w:rPr>
              <w:t>【修改】P78</w:t>
            </w:r>
          </w:p>
          <w:p w14:paraId="4519DD0F">
            <w:pPr>
              <w:pStyle w:val="7"/>
              <w:spacing w:before="22" w:line="219" w:lineRule="auto"/>
              <w:ind w:left="117"/>
            </w:pPr>
            <w:r>
              <w:rPr>
                <w:b/>
                <w:bCs/>
                <w:spacing w:val="-3"/>
              </w:rPr>
              <w:t>2.3.1</w:t>
            </w:r>
            <w:r>
              <w:rPr>
                <w:spacing w:val="-43"/>
              </w:rPr>
              <w:t xml:space="preserve"> </w:t>
            </w:r>
            <w:r>
              <w:rPr>
                <w:b/>
                <w:bCs/>
                <w:spacing w:val="-3"/>
              </w:rPr>
              <w:t>项目管理标准及价值交付</w:t>
            </w:r>
          </w:p>
          <w:p w14:paraId="1062A8D8">
            <w:pPr>
              <w:pStyle w:val="7"/>
              <w:spacing w:before="23" w:line="220" w:lineRule="auto"/>
              <w:ind w:left="130"/>
            </w:pPr>
            <w:r>
              <w:rPr>
                <w:spacing w:val="-3"/>
              </w:rPr>
              <w:t>1)国际项目管理标准</w:t>
            </w:r>
          </w:p>
          <w:p w14:paraId="1D83DB81">
            <w:pPr>
              <w:pStyle w:val="7"/>
              <w:spacing w:before="22"/>
              <w:ind w:left="115" w:right="24"/>
            </w:pPr>
            <w:r>
              <w:rPr>
                <w:spacing w:val="-1"/>
              </w:rPr>
              <w:t>《项目管理知识体系指南(PMBOK®Gu</w:t>
            </w:r>
            <w:r>
              <w:rPr>
                <w:spacing w:val="-2"/>
              </w:rPr>
              <w:t>ide)(第</w:t>
            </w:r>
            <w:r>
              <w:rPr>
                <w:spacing w:val="-40"/>
              </w:rPr>
              <w:t xml:space="preserve"> </w:t>
            </w:r>
            <w:r>
              <w:rPr>
                <w:spacing w:val="-2"/>
              </w:rPr>
              <w:t>7</w:t>
            </w:r>
            <w:r>
              <w:rPr>
                <w:spacing w:val="-46"/>
              </w:rPr>
              <w:t xml:space="preserve"> </w:t>
            </w:r>
            <w:r>
              <w:rPr>
                <w:spacing w:val="-2"/>
              </w:rPr>
              <w:t>版)》</w:t>
            </w:r>
            <w:r>
              <w:t>不再沿用过去的基本过程组和知识领域架构，而是</w:t>
            </w:r>
            <w:r>
              <w:rPr>
                <w:spacing w:val="-4"/>
              </w:rPr>
              <w:t>提出了基于价值交付的 12 项原则和 8 个绩效域。</w:t>
            </w:r>
          </w:p>
          <w:p w14:paraId="0FDE9AEE">
            <w:pPr>
              <w:pStyle w:val="7"/>
              <w:spacing w:before="3" w:line="239" w:lineRule="auto"/>
              <w:ind w:left="115" w:right="106" w:firstLine="1"/>
              <w:jc w:val="both"/>
            </w:pPr>
            <w:r>
              <w:rPr>
                <w:b/>
                <w:bCs/>
                <w:color w:val="FF0000"/>
                <w:spacing w:val="-4"/>
              </w:rPr>
              <w:t>2025</w:t>
            </w:r>
            <w:r>
              <w:rPr>
                <w:color w:val="FF0000"/>
                <w:spacing w:val="-4"/>
              </w:rPr>
              <w:t xml:space="preserve"> </w:t>
            </w:r>
            <w:r>
              <w:rPr>
                <w:b/>
                <w:bCs/>
                <w:color w:val="FF0000"/>
                <w:spacing w:val="-4"/>
              </w:rPr>
              <w:t>年</w:t>
            </w:r>
            <w:r>
              <w:rPr>
                <w:color w:val="FF0000"/>
                <w:spacing w:val="-23"/>
              </w:rPr>
              <w:t xml:space="preserve"> </w:t>
            </w:r>
            <w:r>
              <w:rPr>
                <w:b/>
                <w:bCs/>
                <w:color w:val="FF0000"/>
                <w:spacing w:val="-4"/>
              </w:rPr>
              <w:t>PMI</w:t>
            </w:r>
            <w:r>
              <w:rPr>
                <w:color w:val="FF0000"/>
                <w:spacing w:val="-4"/>
              </w:rPr>
              <w:t xml:space="preserve"> </w:t>
            </w:r>
            <w:r>
              <w:rPr>
                <w:b/>
                <w:bCs/>
                <w:color w:val="FF0000"/>
                <w:spacing w:val="-4"/>
              </w:rPr>
              <w:t>发布的《项目管理知识</w:t>
            </w:r>
            <w:r>
              <w:rPr>
                <w:b/>
                <w:bCs/>
                <w:color w:val="FF0000"/>
                <w:spacing w:val="-5"/>
              </w:rPr>
              <w:t>体系指南(第</w:t>
            </w:r>
            <w:r>
              <w:rPr>
                <w:color w:val="FF0000"/>
                <w:spacing w:val="-19"/>
              </w:rPr>
              <w:t xml:space="preserve"> </w:t>
            </w:r>
            <w:r>
              <w:rPr>
                <w:b/>
                <w:bCs/>
                <w:color w:val="FF0000"/>
                <w:spacing w:val="-5"/>
              </w:rPr>
              <w:t>8</w:t>
            </w:r>
            <w:r>
              <w:rPr>
                <w:b/>
                <w:bCs/>
                <w:color w:val="FF0000"/>
                <w:spacing w:val="-8"/>
              </w:rPr>
              <w:t>版)》又将项目管理原则精简为</w:t>
            </w:r>
            <w:r>
              <w:rPr>
                <w:color w:val="FF0000"/>
                <w:spacing w:val="-35"/>
              </w:rPr>
              <w:t xml:space="preserve"> </w:t>
            </w:r>
            <w:r>
              <w:rPr>
                <w:b/>
                <w:bCs/>
                <w:color w:val="FF0000"/>
                <w:spacing w:val="-8"/>
              </w:rPr>
              <w:t>6</w:t>
            </w:r>
            <w:r>
              <w:rPr>
                <w:color w:val="FF0000"/>
                <w:spacing w:val="-43"/>
              </w:rPr>
              <w:t xml:space="preserve"> </w:t>
            </w:r>
            <w:r>
              <w:rPr>
                <w:b/>
                <w:bCs/>
                <w:color w:val="FF0000"/>
                <w:spacing w:val="-8"/>
              </w:rPr>
              <w:t>项，将项目管理绩效域整合为</w:t>
            </w:r>
            <w:r>
              <w:rPr>
                <w:color w:val="FF0000"/>
                <w:spacing w:val="-31"/>
              </w:rPr>
              <w:t xml:space="preserve"> </w:t>
            </w:r>
            <w:r>
              <w:rPr>
                <w:b/>
                <w:bCs/>
                <w:color w:val="FF0000"/>
                <w:spacing w:val="-8"/>
              </w:rPr>
              <w:t>7</w:t>
            </w:r>
            <w:r>
              <w:rPr>
                <w:color w:val="FF0000"/>
                <w:spacing w:val="-46"/>
              </w:rPr>
              <w:t xml:space="preserve"> </w:t>
            </w:r>
            <w:r>
              <w:rPr>
                <w:b/>
                <w:bCs/>
                <w:color w:val="FF0000"/>
                <w:spacing w:val="-8"/>
              </w:rPr>
              <w:t>个，并重新引入“过程”,增加了人工</w:t>
            </w:r>
            <w:r>
              <w:rPr>
                <w:b/>
                <w:bCs/>
                <w:color w:val="FF0000"/>
                <w:spacing w:val="-4"/>
              </w:rPr>
              <w:t>智能(AI)应用和可持续项目管理等内容。</w:t>
            </w:r>
          </w:p>
          <w:p w14:paraId="30F97DE0">
            <w:pPr>
              <w:pStyle w:val="7"/>
              <w:spacing w:line="239" w:lineRule="auto"/>
              <w:ind w:left="113" w:right="106" w:firstLine="4"/>
              <w:jc w:val="both"/>
            </w:pPr>
            <w:r>
              <w:rPr>
                <w:b/>
                <w:bCs/>
                <w:color w:val="FF0000"/>
                <w:spacing w:val="-3"/>
              </w:rPr>
              <w:t>项目管理</w:t>
            </w:r>
            <w:r>
              <w:rPr>
                <w:color w:val="FF0000"/>
                <w:spacing w:val="-42"/>
              </w:rPr>
              <w:t xml:space="preserve"> </w:t>
            </w:r>
            <w:r>
              <w:rPr>
                <w:b/>
                <w:bCs/>
                <w:color w:val="FF0000"/>
                <w:spacing w:val="-3"/>
              </w:rPr>
              <w:t>6</w:t>
            </w:r>
            <w:r>
              <w:rPr>
                <w:color w:val="FF0000"/>
                <w:spacing w:val="-40"/>
              </w:rPr>
              <w:t xml:space="preserve"> </w:t>
            </w:r>
            <w:r>
              <w:rPr>
                <w:b/>
                <w:bCs/>
                <w:color w:val="FF0000"/>
                <w:spacing w:val="-3"/>
              </w:rPr>
              <w:t>项原则：①采用整体视角；②聚</w:t>
            </w:r>
            <w:r>
              <w:rPr>
                <w:b/>
                <w:bCs/>
                <w:color w:val="FF0000"/>
                <w:spacing w:val="-4"/>
              </w:rPr>
              <w:t>焦于价</w:t>
            </w:r>
            <w:r>
              <w:rPr>
                <w:b/>
                <w:bCs/>
                <w:color w:val="FF0000"/>
                <w:spacing w:val="-2"/>
              </w:rPr>
              <w:t>值；③将质量嵌入过程和可交付成果；④成为负责任的领导者；⑤在所有项目领域整合可持续性；⑥</w:t>
            </w:r>
            <w:r>
              <w:rPr>
                <w:b/>
                <w:bCs/>
                <w:color w:val="FF0000"/>
                <w:spacing w:val="-7"/>
              </w:rPr>
              <w:t>构建赋能文化。</w:t>
            </w:r>
          </w:p>
          <w:p w14:paraId="64249060">
            <w:pPr>
              <w:pStyle w:val="7"/>
              <w:spacing w:before="2"/>
              <w:ind w:left="115" w:right="106" w:firstLine="2"/>
              <w:jc w:val="both"/>
            </w:pPr>
            <w:r>
              <w:rPr>
                <w:b/>
                <w:bCs/>
                <w:color w:val="FF0000"/>
                <w:spacing w:val="-3"/>
              </w:rPr>
              <w:t>项目管理</w:t>
            </w:r>
            <w:r>
              <w:rPr>
                <w:color w:val="FF0000"/>
                <w:spacing w:val="-38"/>
              </w:rPr>
              <w:t xml:space="preserve"> </w:t>
            </w:r>
            <w:r>
              <w:rPr>
                <w:b/>
                <w:bCs/>
                <w:color w:val="FF0000"/>
                <w:spacing w:val="-3"/>
              </w:rPr>
              <w:t>7</w:t>
            </w:r>
            <w:r>
              <w:rPr>
                <w:color w:val="FF0000"/>
                <w:spacing w:val="-44"/>
              </w:rPr>
              <w:t xml:space="preserve"> </w:t>
            </w:r>
            <w:r>
              <w:rPr>
                <w:b/>
                <w:bCs/>
                <w:color w:val="FF0000"/>
                <w:spacing w:val="-3"/>
              </w:rPr>
              <w:t>个绩效域：①治理绩效域；②范</w:t>
            </w:r>
            <w:r>
              <w:rPr>
                <w:b/>
                <w:bCs/>
                <w:color w:val="FF0000"/>
                <w:spacing w:val="-4"/>
              </w:rPr>
              <w:t>围绩效</w:t>
            </w:r>
            <w:r>
              <w:rPr>
                <w:b/>
                <w:bCs/>
                <w:color w:val="FF0000"/>
                <w:spacing w:val="-2"/>
              </w:rPr>
              <w:t>域；③进度绩效域；④财务绩效域；⑤相关方绩效</w:t>
            </w:r>
            <w:r>
              <w:rPr>
                <w:b/>
                <w:bCs/>
                <w:color w:val="FF0000"/>
                <w:spacing w:val="-4"/>
              </w:rPr>
              <w:t>域；⑥资源绩效域；⑦风险绩效域。</w:t>
            </w:r>
          </w:p>
        </w:tc>
      </w:tr>
      <w:tr w14:paraId="305185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4779" w:type="dxa"/>
            <w:tcBorders>
              <w:bottom w:val="nil"/>
            </w:tcBorders>
            <w:vAlign w:val="top"/>
          </w:tcPr>
          <w:p w14:paraId="5FE92905">
            <w:pPr>
              <w:pStyle w:val="7"/>
              <w:spacing w:before="35" w:line="197" w:lineRule="auto"/>
              <w:ind w:left="112"/>
            </w:pPr>
            <w:r>
              <w:rPr>
                <w:b/>
                <w:bCs/>
                <w:color w:val="FF0000"/>
                <w:spacing w:val="-3"/>
              </w:rPr>
              <w:t>P77-78</w:t>
            </w:r>
          </w:p>
        </w:tc>
        <w:tc>
          <w:tcPr>
            <w:tcW w:w="5081" w:type="dxa"/>
            <w:tcBorders>
              <w:bottom w:val="nil"/>
            </w:tcBorders>
            <w:vAlign w:val="top"/>
          </w:tcPr>
          <w:p w14:paraId="36384ACE">
            <w:pPr>
              <w:pStyle w:val="7"/>
              <w:spacing w:before="35" w:line="197" w:lineRule="auto"/>
              <w:ind w:left="104"/>
            </w:pPr>
            <w:r>
              <w:rPr>
                <w:b/>
                <w:bCs/>
                <w:color w:val="FF0000"/>
                <w:spacing w:val="-2"/>
              </w:rPr>
              <w:t>【新增】P80</w:t>
            </w:r>
          </w:p>
        </w:tc>
      </w:tr>
      <w:tr w14:paraId="610FFB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4779" w:type="dxa"/>
            <w:tcBorders>
              <w:top w:val="nil"/>
              <w:bottom w:val="nil"/>
            </w:tcBorders>
            <w:vAlign w:val="top"/>
          </w:tcPr>
          <w:p w14:paraId="268AD606">
            <w:pPr>
              <w:pStyle w:val="7"/>
              <w:spacing w:before="39" w:line="198" w:lineRule="auto"/>
              <w:ind w:left="119"/>
            </w:pPr>
            <w:r>
              <w:rPr>
                <w:b/>
                <w:bCs/>
                <w:spacing w:val="-3"/>
              </w:rPr>
              <w:t>2.3.1</w:t>
            </w:r>
            <w:r>
              <w:rPr>
                <w:spacing w:val="-42"/>
              </w:rPr>
              <w:t xml:space="preserve"> </w:t>
            </w:r>
            <w:r>
              <w:rPr>
                <w:b/>
                <w:bCs/>
                <w:spacing w:val="-3"/>
              </w:rPr>
              <w:t>项目管理标准及价值交付</w:t>
            </w:r>
          </w:p>
        </w:tc>
        <w:tc>
          <w:tcPr>
            <w:tcW w:w="5081" w:type="dxa"/>
            <w:tcBorders>
              <w:top w:val="nil"/>
              <w:bottom w:val="nil"/>
            </w:tcBorders>
            <w:vAlign w:val="top"/>
          </w:tcPr>
          <w:p w14:paraId="51639B8F">
            <w:pPr>
              <w:pStyle w:val="7"/>
              <w:spacing w:before="39" w:line="198" w:lineRule="auto"/>
              <w:ind w:left="117"/>
            </w:pPr>
            <w:r>
              <w:rPr>
                <w:b/>
                <w:bCs/>
                <w:spacing w:val="-3"/>
              </w:rPr>
              <w:t>2.3.1</w:t>
            </w:r>
            <w:r>
              <w:rPr>
                <w:spacing w:val="-43"/>
              </w:rPr>
              <w:t xml:space="preserve"> </w:t>
            </w:r>
            <w:r>
              <w:rPr>
                <w:b/>
                <w:bCs/>
                <w:spacing w:val="-3"/>
              </w:rPr>
              <w:t>项目管理标准及价值交付</w:t>
            </w:r>
          </w:p>
        </w:tc>
      </w:tr>
      <w:tr w14:paraId="4791CA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4779" w:type="dxa"/>
            <w:tcBorders>
              <w:top w:val="nil"/>
              <w:bottom w:val="nil"/>
            </w:tcBorders>
            <w:vAlign w:val="top"/>
          </w:tcPr>
          <w:p w14:paraId="712D8F68">
            <w:pPr>
              <w:pStyle w:val="7"/>
              <w:spacing w:before="39" w:line="198" w:lineRule="auto"/>
              <w:ind w:left="132"/>
            </w:pPr>
            <w:r>
              <w:rPr>
                <w:spacing w:val="-3"/>
              </w:rPr>
              <w:t>1)国际项目管理标准</w:t>
            </w:r>
          </w:p>
        </w:tc>
        <w:tc>
          <w:tcPr>
            <w:tcW w:w="5081" w:type="dxa"/>
            <w:tcBorders>
              <w:top w:val="nil"/>
              <w:bottom w:val="nil"/>
            </w:tcBorders>
            <w:vAlign w:val="top"/>
          </w:tcPr>
          <w:p w14:paraId="73C31B4C">
            <w:pPr>
              <w:pStyle w:val="7"/>
              <w:spacing w:before="39" w:line="198" w:lineRule="auto"/>
              <w:ind w:left="130"/>
            </w:pPr>
            <w:r>
              <w:rPr>
                <w:spacing w:val="-3"/>
              </w:rPr>
              <w:t>1)国际项目管理标准</w:t>
            </w:r>
          </w:p>
        </w:tc>
      </w:tr>
      <w:tr w14:paraId="347E90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 w:hRule="atLeast"/>
        </w:trPr>
        <w:tc>
          <w:tcPr>
            <w:tcW w:w="4779" w:type="dxa"/>
            <w:tcBorders>
              <w:top w:val="nil"/>
            </w:tcBorders>
            <w:vAlign w:val="top"/>
          </w:tcPr>
          <w:p w14:paraId="063AA3D7">
            <w:pPr>
              <w:pStyle w:val="7"/>
              <w:spacing w:before="39" w:line="211" w:lineRule="auto"/>
              <w:ind w:left="119"/>
            </w:pPr>
            <w:r>
              <w:rPr>
                <w:spacing w:val="-4"/>
              </w:rPr>
              <w:t>2020</w:t>
            </w:r>
            <w:r>
              <w:rPr>
                <w:spacing w:val="-28"/>
              </w:rPr>
              <w:t xml:space="preserve"> </w:t>
            </w:r>
            <w:r>
              <w:rPr>
                <w:spacing w:val="-4"/>
              </w:rPr>
              <w:t>年，ISO/TC258</w:t>
            </w:r>
            <w:r>
              <w:rPr>
                <w:spacing w:val="-42"/>
              </w:rPr>
              <w:t xml:space="preserve"> </w:t>
            </w:r>
            <w:r>
              <w:rPr>
                <w:spacing w:val="-4"/>
              </w:rPr>
              <w:t>正式发布了最新的项目管理</w:t>
            </w:r>
          </w:p>
        </w:tc>
        <w:tc>
          <w:tcPr>
            <w:tcW w:w="5081" w:type="dxa"/>
            <w:tcBorders>
              <w:top w:val="nil"/>
            </w:tcBorders>
            <w:vAlign w:val="top"/>
          </w:tcPr>
          <w:p w14:paraId="511138E8">
            <w:pPr>
              <w:pStyle w:val="7"/>
              <w:spacing w:before="39" w:line="211" w:lineRule="auto"/>
              <w:ind w:left="117"/>
            </w:pPr>
            <w:r>
              <w:rPr>
                <w:spacing w:val="-1"/>
              </w:rPr>
              <w:t>2020</w:t>
            </w:r>
            <w:r>
              <w:rPr>
                <w:spacing w:val="-45"/>
              </w:rPr>
              <w:t xml:space="preserve"> </w:t>
            </w:r>
            <w:r>
              <w:rPr>
                <w:spacing w:val="-1"/>
              </w:rPr>
              <w:t>年，ISO/TC258</w:t>
            </w:r>
            <w:r>
              <w:rPr>
                <w:spacing w:val="-42"/>
              </w:rPr>
              <w:t xml:space="preserve"> </w:t>
            </w:r>
            <w:r>
              <w:rPr>
                <w:spacing w:val="-1"/>
              </w:rPr>
              <w:t>正式发布了最新的</w:t>
            </w:r>
            <w:r>
              <w:rPr>
                <w:spacing w:val="-2"/>
              </w:rPr>
              <w:t>项目管理国</w:t>
            </w:r>
          </w:p>
        </w:tc>
      </w:tr>
    </w:tbl>
    <w:p w14:paraId="5BCE6662">
      <w:pPr>
        <w:spacing w:line="146" w:lineRule="exact"/>
        <w:rPr>
          <w:rFonts w:ascii="Arial"/>
          <w:sz w:val="12"/>
        </w:rPr>
      </w:pPr>
    </w:p>
    <w:p w14:paraId="5CF8E757">
      <w:pPr>
        <w:spacing w:line="146" w:lineRule="exact"/>
        <w:rPr>
          <w:rFonts w:ascii="Arial" w:hAnsi="Arial" w:eastAsia="Arial" w:cs="Arial"/>
          <w:sz w:val="12"/>
          <w:szCs w:val="12"/>
        </w:rPr>
        <w:sectPr>
          <w:footerReference r:id="rId10"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681453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4" w:hRule="atLeast"/>
        </w:trPr>
        <w:tc>
          <w:tcPr>
            <w:tcW w:w="4779" w:type="dxa"/>
            <w:vAlign w:val="top"/>
          </w:tcPr>
          <w:p w14:paraId="296C5995">
            <w:pPr>
              <w:pStyle w:val="7"/>
              <w:spacing w:before="34"/>
              <w:ind w:left="114" w:right="101" w:firstLine="23"/>
            </w:pPr>
            <w:r>
              <w:rPr>
                <w:spacing w:val="-5"/>
              </w:rPr>
              <w:t>国际标准《项目管理指南：项目、项目群和项目</w:t>
            </w:r>
            <w:r>
              <w:rPr>
                <w:spacing w:val="-11"/>
              </w:rPr>
              <w:t>组</w:t>
            </w:r>
            <w:r>
              <w:rPr>
                <w:spacing w:val="14"/>
              </w:rPr>
              <w:t xml:space="preserve">       </w:t>
            </w:r>
            <w:r>
              <w:rPr>
                <w:spacing w:val="-11"/>
              </w:rPr>
              <w:t>合</w:t>
            </w:r>
            <w:r>
              <w:rPr>
                <w:spacing w:val="16"/>
              </w:rPr>
              <w:t xml:space="preserve">       </w:t>
            </w:r>
            <w:r>
              <w:rPr>
                <w:spacing w:val="-11"/>
              </w:rPr>
              <w:t>管</w:t>
            </w:r>
            <w:r>
              <w:rPr>
                <w:spacing w:val="15"/>
              </w:rPr>
              <w:t xml:space="preserve">       </w:t>
            </w:r>
            <w:r>
              <w:rPr>
                <w:spacing w:val="-11"/>
              </w:rPr>
              <w:t>理</w:t>
            </w:r>
            <w:r>
              <w:t xml:space="preserve">        </w:t>
            </w:r>
            <w:r>
              <w:rPr>
                <w:spacing w:val="-11"/>
              </w:rPr>
              <w:t>》</w:t>
            </w:r>
            <w:r>
              <w:rPr>
                <w:spacing w:val="7"/>
              </w:rPr>
              <w:t xml:space="preserve"> </w:t>
            </w:r>
            <w:r>
              <w:t>(Project,programmeandportfolioman</w:t>
            </w:r>
            <w:r>
              <w:rPr>
                <w:spacing w:val="-1"/>
              </w:rPr>
              <w:t>agement</w:t>
            </w:r>
            <w:r>
              <w:t xml:space="preserve"> ——Guidanceonprojectmanagement)ISO</w:t>
            </w:r>
            <w:r>
              <w:rPr>
                <w:spacing w:val="-1"/>
              </w:rPr>
              <w:t>21502:</w:t>
            </w:r>
            <w:r>
              <w:t xml:space="preserve"> </w:t>
            </w:r>
            <w:r>
              <w:rPr>
                <w:spacing w:val="-10"/>
              </w:rPr>
              <w:t>2020, 全 面 改</w:t>
            </w:r>
            <w:r>
              <w:rPr>
                <w:spacing w:val="-17"/>
              </w:rPr>
              <w:t xml:space="preserve"> </w:t>
            </w:r>
            <w:r>
              <w:rPr>
                <w:spacing w:val="-10"/>
              </w:rPr>
              <w:t>进 了 《 项</w:t>
            </w:r>
            <w:r>
              <w:rPr>
                <w:spacing w:val="30"/>
              </w:rPr>
              <w:t xml:space="preserve"> </w:t>
            </w:r>
            <w:r>
              <w:rPr>
                <w:spacing w:val="-10"/>
              </w:rPr>
              <w:t>目 管 理</w:t>
            </w:r>
            <w:r>
              <w:rPr>
                <w:spacing w:val="-11"/>
              </w:rPr>
              <w:t xml:space="preserve"> 指 南 》</w:t>
            </w:r>
            <w:r>
              <w:t xml:space="preserve"> ISO</w:t>
            </w:r>
            <w:r>
              <w:rPr>
                <w:spacing w:val="2"/>
              </w:rPr>
              <w:t>21500:2012,旨在为所有组织(包括公</w:t>
            </w:r>
            <w:r>
              <w:rPr>
                <w:spacing w:val="1"/>
              </w:rPr>
              <w:t>共、私</w:t>
            </w:r>
            <w:r>
              <w:rPr>
                <w:spacing w:val="-2"/>
              </w:rPr>
              <w:t>人和慈善机构)的项目管理提供指南。</w:t>
            </w:r>
          </w:p>
        </w:tc>
        <w:tc>
          <w:tcPr>
            <w:tcW w:w="5081" w:type="dxa"/>
            <w:vAlign w:val="top"/>
          </w:tcPr>
          <w:p w14:paraId="40802FC5">
            <w:pPr>
              <w:pStyle w:val="7"/>
              <w:spacing w:before="32"/>
              <w:ind w:left="119" w:right="129" w:firstLine="10"/>
            </w:pPr>
            <w:r>
              <w:rPr>
                <w:spacing w:val="-1"/>
              </w:rPr>
              <w:t>际标准《项目管理指南：项目、项目群和项</w:t>
            </w:r>
            <w:r>
              <w:rPr>
                <w:spacing w:val="-2"/>
              </w:rPr>
              <w:t>目组合</w:t>
            </w:r>
            <w:r>
              <w:rPr>
                <w:spacing w:val="-5"/>
              </w:rPr>
              <w:t>管理》</w:t>
            </w:r>
          </w:p>
          <w:p w14:paraId="1BBE4384">
            <w:pPr>
              <w:pStyle w:val="7"/>
              <w:spacing w:before="2" w:line="239" w:lineRule="auto"/>
              <w:ind w:left="111" w:right="109" w:firstLine="41"/>
            </w:pPr>
            <w:r>
              <w:rPr>
                <w:spacing w:val="-1"/>
              </w:rPr>
              <w:t>(Project,programmeandportfoliomanagem</w:t>
            </w:r>
            <w:r>
              <w:rPr>
                <w:spacing w:val="-2"/>
              </w:rPr>
              <w:t>ent——</w:t>
            </w:r>
            <w:r>
              <w:t xml:space="preserve"> Guidanceonprojectmanagement)ISO21502:</w:t>
            </w:r>
            <w:r>
              <w:rPr>
                <w:spacing w:val="-1"/>
              </w:rPr>
              <w:t>2020,全</w:t>
            </w:r>
            <w:r>
              <w:t>面改进了《项目管理指南》ISO21500:20</w:t>
            </w:r>
            <w:r>
              <w:rPr>
                <w:spacing w:val="-1"/>
              </w:rPr>
              <w:t>12,旨在为</w:t>
            </w:r>
            <w:r>
              <w:t>所有组织(包括公共、私人和慈善机构)的项</w:t>
            </w:r>
            <w:r>
              <w:rPr>
                <w:spacing w:val="-1"/>
              </w:rPr>
              <w:t>目管理</w:t>
            </w:r>
            <w:r>
              <w:rPr>
                <w:spacing w:val="-2"/>
              </w:rPr>
              <w:t>提供指南。</w:t>
            </w:r>
            <w:r>
              <w:rPr>
                <w:b/>
                <w:bCs/>
                <w:color w:val="FF0000"/>
                <w:spacing w:val="-2"/>
              </w:rPr>
              <w:t>2022</w:t>
            </w:r>
            <w:r>
              <w:rPr>
                <w:color w:val="FF0000"/>
                <w:spacing w:val="-46"/>
              </w:rPr>
              <w:t xml:space="preserve"> </w:t>
            </w:r>
            <w:r>
              <w:rPr>
                <w:b/>
                <w:bCs/>
                <w:color w:val="FF0000"/>
                <w:spacing w:val="-2"/>
              </w:rPr>
              <w:t>年，ISO/TC258</w:t>
            </w:r>
            <w:r>
              <w:rPr>
                <w:color w:val="FF0000"/>
                <w:spacing w:val="-44"/>
              </w:rPr>
              <w:t xml:space="preserve"> </w:t>
            </w:r>
            <w:r>
              <w:rPr>
                <w:b/>
                <w:bCs/>
                <w:color w:val="FF0000"/>
                <w:spacing w:val="-2"/>
              </w:rPr>
              <w:t>又发布了</w:t>
            </w:r>
            <w:r>
              <w:rPr>
                <w:b/>
                <w:bCs/>
                <w:color w:val="FF0000"/>
                <w:spacing w:val="-3"/>
              </w:rPr>
              <w:t>修订后的</w:t>
            </w:r>
            <w:r>
              <w:rPr>
                <w:b/>
                <w:bCs/>
                <w:color w:val="FF0000"/>
                <w:spacing w:val="-4"/>
              </w:rPr>
              <w:t>《项目群管理指南》</w:t>
            </w:r>
          </w:p>
          <w:p w14:paraId="4B4808F1">
            <w:pPr>
              <w:pStyle w:val="7"/>
              <w:spacing w:before="2" w:line="239" w:lineRule="auto"/>
              <w:ind w:left="112" w:right="205" w:firstLine="40"/>
            </w:pPr>
            <w:r>
              <w:rPr>
                <w:b/>
                <w:bCs/>
                <w:color w:val="FF0000"/>
                <w:spacing w:val="-3"/>
              </w:rPr>
              <w:t>(Project,programmeandportfoliomanagement—</w:t>
            </w:r>
            <w:r>
              <w:rPr>
                <w:color w:val="FF0000"/>
                <w:spacing w:val="8"/>
              </w:rPr>
              <w:t xml:space="preserve"> </w:t>
            </w:r>
            <w:r>
              <w:rPr>
                <w:b/>
                <w:bCs/>
                <w:color w:val="FF0000"/>
                <w:spacing w:val="-2"/>
              </w:rPr>
              <w:t>—Guidanceonprogrammemanagement)(ISO21503:2</w:t>
            </w:r>
            <w:r>
              <w:rPr>
                <w:color w:val="FF0000"/>
                <w:spacing w:val="13"/>
              </w:rPr>
              <w:t xml:space="preserve"> </w:t>
            </w:r>
            <w:r>
              <w:rPr>
                <w:b/>
                <w:bCs/>
                <w:color w:val="FF0000"/>
                <w:spacing w:val="-3"/>
              </w:rPr>
              <w:t>022)和《项目组合管理指南》</w:t>
            </w:r>
          </w:p>
          <w:p w14:paraId="30A253EC">
            <w:pPr>
              <w:pStyle w:val="7"/>
              <w:spacing w:before="2" w:line="229" w:lineRule="auto"/>
              <w:ind w:left="112" w:right="205" w:firstLine="40"/>
            </w:pPr>
            <w:r>
              <w:rPr>
                <w:b/>
                <w:bCs/>
                <w:color w:val="FF0000"/>
                <w:spacing w:val="-3"/>
              </w:rPr>
              <w:t>(Project,programmeandportfoliomanagement—</w:t>
            </w:r>
            <w:r>
              <w:rPr>
                <w:color w:val="FF0000"/>
                <w:spacing w:val="8"/>
              </w:rPr>
              <w:t xml:space="preserve"> </w:t>
            </w:r>
            <w:r>
              <w:rPr>
                <w:b/>
                <w:bCs/>
                <w:color w:val="FF0000"/>
                <w:spacing w:val="-2"/>
              </w:rPr>
              <w:t>—Guidanceonportfoliomanagement)(ISO21504:2</w:t>
            </w:r>
            <w:r>
              <w:rPr>
                <w:color w:val="FF0000"/>
                <w:spacing w:val="13"/>
              </w:rPr>
              <w:t xml:space="preserve"> </w:t>
            </w:r>
            <w:r>
              <w:rPr>
                <w:b/>
                <w:bCs/>
                <w:color w:val="FF0000"/>
                <w:spacing w:val="-3"/>
              </w:rPr>
              <w:t>022)。</w:t>
            </w:r>
          </w:p>
        </w:tc>
      </w:tr>
      <w:tr w14:paraId="70BA82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4" w:hRule="atLeast"/>
        </w:trPr>
        <w:tc>
          <w:tcPr>
            <w:tcW w:w="4779" w:type="dxa"/>
            <w:vAlign w:val="top"/>
          </w:tcPr>
          <w:p w14:paraId="4EDA20B0">
            <w:pPr>
              <w:pStyle w:val="7"/>
              <w:spacing w:before="30" w:line="220" w:lineRule="auto"/>
              <w:ind w:left="106"/>
            </w:pPr>
            <w:r>
              <w:rPr>
                <w:b/>
                <w:bCs/>
                <w:color w:val="FF0000"/>
                <w:spacing w:val="-2"/>
              </w:rPr>
              <w:t>【删除】P81</w:t>
            </w:r>
          </w:p>
          <w:p w14:paraId="692E9AB6">
            <w:pPr>
              <w:pStyle w:val="7"/>
              <w:spacing w:before="23" w:line="219" w:lineRule="auto"/>
              <w:ind w:left="119"/>
            </w:pPr>
            <w:r>
              <w:rPr>
                <w:b/>
                <w:bCs/>
                <w:spacing w:val="-3"/>
              </w:rPr>
              <w:t>2.3.1</w:t>
            </w:r>
            <w:r>
              <w:rPr>
                <w:spacing w:val="-42"/>
              </w:rPr>
              <w:t xml:space="preserve"> </w:t>
            </w:r>
            <w:r>
              <w:rPr>
                <w:b/>
                <w:bCs/>
                <w:spacing w:val="-3"/>
              </w:rPr>
              <w:t>项目管理标准及价值交付</w:t>
            </w:r>
          </w:p>
          <w:p w14:paraId="5106846F">
            <w:pPr>
              <w:pStyle w:val="7"/>
              <w:spacing w:before="24" w:line="219" w:lineRule="auto"/>
              <w:ind w:left="119"/>
            </w:pPr>
            <w:r>
              <w:rPr>
                <w:spacing w:val="-2"/>
              </w:rPr>
              <w:t>2.价值交付</w:t>
            </w:r>
          </w:p>
          <w:p w14:paraId="215F45B7">
            <w:pPr>
              <w:pStyle w:val="7"/>
              <w:spacing w:before="24" w:line="219" w:lineRule="auto"/>
              <w:ind w:left="132"/>
            </w:pPr>
            <w:r>
              <w:rPr>
                <w:spacing w:val="-3"/>
              </w:rPr>
              <w:t>1)价值交付系统</w:t>
            </w:r>
          </w:p>
          <w:p w14:paraId="245472AD">
            <w:pPr>
              <w:pStyle w:val="7"/>
              <w:spacing w:before="76" w:line="284" w:lineRule="auto"/>
              <w:ind w:left="147" w:right="143" w:firstLine="1"/>
            </w:pPr>
            <w:r>
              <w:rPr>
                <w:spacing w:val="6"/>
              </w:rPr>
              <w:t>《项目管理知识体系指南</w:t>
            </w:r>
            <w:r>
              <w:rPr>
                <w:spacing w:val="-74"/>
              </w:rPr>
              <w:t xml:space="preserve"> </w:t>
            </w:r>
            <w:r>
              <w:rPr>
                <w:color w:val="FF0000"/>
                <w:spacing w:val="-62"/>
                <w:u w:val="single" w:color="auto"/>
              </w:rPr>
              <w:t xml:space="preserve"> </w:t>
            </w:r>
            <w:r>
              <w:rPr>
                <w:b/>
                <w:bCs/>
                <w:color w:val="FF0000"/>
                <w:spacing w:val="6"/>
                <w:u w:val="single" w:color="auto"/>
              </w:rPr>
              <w:t>(第</w:t>
            </w:r>
            <w:r>
              <w:rPr>
                <w:color w:val="FF0000"/>
                <w:spacing w:val="6"/>
                <w:u w:val="single" w:color="auto"/>
              </w:rPr>
              <w:t xml:space="preserve"> </w:t>
            </w:r>
            <w:r>
              <w:rPr>
                <w:b/>
                <w:bCs/>
                <w:color w:val="FF0000"/>
                <w:spacing w:val="6"/>
                <w:u w:val="single" w:color="auto"/>
              </w:rPr>
              <w:t>7</w:t>
            </w:r>
            <w:r>
              <w:rPr>
                <w:color w:val="FF0000"/>
                <w:spacing w:val="-31"/>
                <w:u w:val="single" w:color="auto"/>
              </w:rPr>
              <w:t xml:space="preserve"> </w:t>
            </w:r>
            <w:r>
              <w:rPr>
                <w:b/>
                <w:bCs/>
                <w:color w:val="FF0000"/>
                <w:spacing w:val="6"/>
                <w:u w:val="single" w:color="auto"/>
              </w:rPr>
              <w:t>版)</w:t>
            </w:r>
            <w:r>
              <w:rPr>
                <w:spacing w:val="6"/>
              </w:rPr>
              <w:t>》提出，</w:t>
            </w:r>
            <w:r>
              <w:rPr>
                <w:spacing w:val="23"/>
              </w:rPr>
              <w:t>一个符合组织战</w:t>
            </w:r>
            <w:r>
              <w:rPr>
                <w:spacing w:val="-60"/>
              </w:rPr>
              <w:t xml:space="preserve"> </w:t>
            </w:r>
            <w:r>
              <w:rPr>
                <w:spacing w:val="23"/>
              </w:rPr>
              <w:t>略的价值交付系统可有多</w:t>
            </w:r>
            <w:r>
              <w:rPr>
                <w:spacing w:val="12"/>
              </w:rPr>
              <w:t>种组件，包括项目组合、项目群、项目、产品和运营，可以单独或共同使用多种组件来创造价值，这些组件共同组成一个符合组织</w:t>
            </w:r>
            <w:r>
              <w:rPr>
                <w:spacing w:val="13"/>
              </w:rPr>
              <w:t>战略的价值交付系统。具体而言，价值交付</w:t>
            </w:r>
            <w:r>
              <w:rPr>
                <w:spacing w:val="2"/>
              </w:rPr>
              <w:t>系统需要考虑以下内容：</w:t>
            </w:r>
          </w:p>
        </w:tc>
        <w:tc>
          <w:tcPr>
            <w:tcW w:w="5081" w:type="dxa"/>
            <w:vAlign w:val="top"/>
          </w:tcPr>
          <w:p w14:paraId="5A30B629">
            <w:pPr>
              <w:pStyle w:val="7"/>
              <w:spacing w:before="67" w:line="182" w:lineRule="auto"/>
              <w:ind w:left="110"/>
            </w:pPr>
            <w:r>
              <w:rPr>
                <w:b/>
                <w:bCs/>
                <w:color w:val="FF0000"/>
                <w:spacing w:val="-3"/>
              </w:rPr>
              <w:t>P84</w:t>
            </w:r>
          </w:p>
          <w:p w14:paraId="580CE02A">
            <w:pPr>
              <w:pStyle w:val="7"/>
              <w:spacing w:before="32" w:line="219" w:lineRule="auto"/>
              <w:ind w:left="117"/>
            </w:pPr>
            <w:r>
              <w:rPr>
                <w:b/>
                <w:bCs/>
                <w:spacing w:val="-3"/>
              </w:rPr>
              <w:t>2.3.1</w:t>
            </w:r>
            <w:r>
              <w:rPr>
                <w:spacing w:val="-43"/>
              </w:rPr>
              <w:t xml:space="preserve"> </w:t>
            </w:r>
            <w:r>
              <w:rPr>
                <w:b/>
                <w:bCs/>
                <w:spacing w:val="-3"/>
              </w:rPr>
              <w:t>项目管理标准及价值交付</w:t>
            </w:r>
          </w:p>
          <w:p w14:paraId="00CBDB38">
            <w:pPr>
              <w:pStyle w:val="7"/>
              <w:spacing w:before="24" w:line="219" w:lineRule="auto"/>
              <w:ind w:left="117"/>
            </w:pPr>
            <w:r>
              <w:rPr>
                <w:spacing w:val="-2"/>
              </w:rPr>
              <w:t>2.价值交付</w:t>
            </w:r>
          </w:p>
          <w:p w14:paraId="7E24F2A2">
            <w:pPr>
              <w:pStyle w:val="7"/>
              <w:spacing w:before="24" w:line="219" w:lineRule="auto"/>
              <w:ind w:left="130"/>
            </w:pPr>
            <w:r>
              <w:rPr>
                <w:spacing w:val="-3"/>
              </w:rPr>
              <w:t>1)价值交付系统</w:t>
            </w:r>
          </w:p>
          <w:p w14:paraId="196A30E0">
            <w:pPr>
              <w:pStyle w:val="7"/>
              <w:spacing w:before="24"/>
              <w:ind w:left="116" w:right="109" w:hanging="1"/>
            </w:pPr>
            <w:r>
              <w:t>《项目管理知识体系指南》提出，一个符合组织战</w:t>
            </w:r>
            <w:r>
              <w:rPr>
                <w:spacing w:val="-1"/>
              </w:rPr>
              <w:t>略的价值交付系统可有多种组件，包括项目</w:t>
            </w:r>
            <w:r>
              <w:rPr>
                <w:spacing w:val="-2"/>
              </w:rPr>
              <w:t>组合、</w:t>
            </w:r>
            <w:r>
              <w:t>项目群、项目、产品和运营，可以单独或共同使用多种组件来创造价值，这些组件共同组成一个符合</w:t>
            </w:r>
            <w:r>
              <w:rPr>
                <w:spacing w:val="-1"/>
              </w:rPr>
              <w:t>组织战略的价值交付系统。具体而言，价值交付系</w:t>
            </w:r>
            <w:r>
              <w:rPr>
                <w:spacing w:val="-5"/>
              </w:rPr>
              <w:t>统需要考虑以下内容：</w:t>
            </w:r>
          </w:p>
        </w:tc>
      </w:tr>
      <w:tr w14:paraId="389664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779" w:type="dxa"/>
            <w:shd w:val="clear" w:color="auto" w:fill="FFFF00"/>
            <w:vAlign w:val="top"/>
          </w:tcPr>
          <w:p w14:paraId="0998C559">
            <w:pPr>
              <w:pStyle w:val="7"/>
              <w:spacing w:before="30" w:line="209" w:lineRule="auto"/>
              <w:ind w:left="572"/>
            </w:pPr>
            <w:r>
              <w:rPr>
                <w:b/>
                <w:bCs/>
                <w:spacing w:val="-4"/>
              </w:rPr>
              <w:t>第</w:t>
            </w:r>
            <w:r>
              <w:rPr>
                <w:spacing w:val="-35"/>
              </w:rPr>
              <w:t xml:space="preserve"> </w:t>
            </w:r>
            <w:r>
              <w:rPr>
                <w:b/>
                <w:bCs/>
                <w:spacing w:val="-4"/>
              </w:rPr>
              <w:t>3</w:t>
            </w:r>
            <w:r>
              <w:rPr>
                <w:spacing w:val="-39"/>
              </w:rPr>
              <w:t xml:space="preserve"> </w:t>
            </w:r>
            <w:r>
              <w:rPr>
                <w:b/>
                <w:bCs/>
                <w:spacing w:val="-4"/>
              </w:rPr>
              <w:t>章</w:t>
            </w:r>
            <w:r>
              <w:rPr>
                <w:spacing w:val="-4"/>
              </w:rPr>
              <w:t xml:space="preserve"> </w:t>
            </w:r>
            <w:r>
              <w:rPr>
                <w:b/>
                <w:bCs/>
                <w:spacing w:val="-4"/>
              </w:rPr>
              <w:t>建设工程招标投标与合同管理</w:t>
            </w:r>
          </w:p>
        </w:tc>
        <w:tc>
          <w:tcPr>
            <w:tcW w:w="5081" w:type="dxa"/>
            <w:shd w:val="clear" w:color="auto" w:fill="FFFF00"/>
            <w:vAlign w:val="top"/>
          </w:tcPr>
          <w:p w14:paraId="122C1A65">
            <w:pPr>
              <w:pStyle w:val="7"/>
              <w:spacing w:before="30" w:line="209" w:lineRule="auto"/>
              <w:ind w:left="721"/>
            </w:pPr>
            <w:r>
              <w:rPr>
                <w:b/>
                <w:bCs/>
                <w:spacing w:val="-4"/>
              </w:rPr>
              <w:t>第</w:t>
            </w:r>
            <w:r>
              <w:rPr>
                <w:spacing w:val="-35"/>
              </w:rPr>
              <w:t xml:space="preserve"> </w:t>
            </w:r>
            <w:r>
              <w:rPr>
                <w:b/>
                <w:bCs/>
                <w:spacing w:val="-4"/>
              </w:rPr>
              <w:t>3</w:t>
            </w:r>
            <w:r>
              <w:rPr>
                <w:spacing w:val="-38"/>
              </w:rPr>
              <w:t xml:space="preserve"> </w:t>
            </w:r>
            <w:r>
              <w:rPr>
                <w:b/>
                <w:bCs/>
                <w:spacing w:val="-4"/>
              </w:rPr>
              <w:t>章</w:t>
            </w:r>
            <w:r>
              <w:rPr>
                <w:spacing w:val="-4"/>
              </w:rPr>
              <w:t xml:space="preserve"> </w:t>
            </w:r>
            <w:r>
              <w:rPr>
                <w:b/>
                <w:bCs/>
                <w:spacing w:val="-4"/>
              </w:rPr>
              <w:t>建设工程招标投标与合同管理</w:t>
            </w:r>
          </w:p>
        </w:tc>
      </w:tr>
      <w:tr w14:paraId="0F2A82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2" w:hRule="atLeast"/>
        </w:trPr>
        <w:tc>
          <w:tcPr>
            <w:tcW w:w="4779" w:type="dxa"/>
            <w:vAlign w:val="top"/>
          </w:tcPr>
          <w:p w14:paraId="4E89FB3E">
            <w:pPr>
              <w:pStyle w:val="7"/>
              <w:spacing w:before="68" w:line="182" w:lineRule="auto"/>
              <w:ind w:left="112"/>
            </w:pPr>
            <w:r>
              <w:rPr>
                <w:b/>
                <w:bCs/>
                <w:color w:val="FF0000"/>
                <w:spacing w:val="-3"/>
              </w:rPr>
              <w:t>P87</w:t>
            </w:r>
          </w:p>
          <w:p w14:paraId="30637793">
            <w:pPr>
              <w:pStyle w:val="7"/>
              <w:spacing w:before="32" w:line="221" w:lineRule="auto"/>
              <w:ind w:left="120"/>
            </w:pPr>
            <w:r>
              <w:rPr>
                <w:b/>
                <w:bCs/>
                <w:spacing w:val="-4"/>
              </w:rPr>
              <w:t>3.1</w:t>
            </w:r>
            <w:r>
              <w:rPr>
                <w:spacing w:val="-42"/>
              </w:rPr>
              <w:t xml:space="preserve"> </w:t>
            </w:r>
            <w:r>
              <w:rPr>
                <w:b/>
                <w:bCs/>
                <w:spacing w:val="-4"/>
              </w:rPr>
              <w:t>工程招标与投标</w:t>
            </w:r>
          </w:p>
          <w:p w14:paraId="55B1F2B4">
            <w:pPr>
              <w:pStyle w:val="7"/>
              <w:spacing w:before="20" w:line="235" w:lineRule="auto"/>
              <w:ind w:left="116" w:right="102" w:firstLine="2"/>
              <w:jc w:val="both"/>
            </w:pPr>
            <w:r>
              <w:rPr>
                <w:spacing w:val="7"/>
              </w:rPr>
              <w:t>工程招标投标是指招标人通过发布招标公告或</w:t>
            </w:r>
            <w:r>
              <w:rPr>
                <w:spacing w:val="-4"/>
              </w:rPr>
              <w:t>发出投标邀请函方式提出工程招标条件后，建筑</w:t>
            </w:r>
            <w:r>
              <w:rPr>
                <w:spacing w:val="7"/>
              </w:rPr>
              <w:t>企业通过递交投标文件参加竞争工程任务的一</w:t>
            </w:r>
            <w:r>
              <w:rPr>
                <w:spacing w:val="2"/>
              </w:rPr>
              <w:t>种交易方式。根据《中华人民共和国民法典》,</w:t>
            </w:r>
            <w:r>
              <w:rPr>
                <w:spacing w:val="-4"/>
              </w:rPr>
              <w:t>要约和承诺是订立合同的必经环节。</w:t>
            </w:r>
            <w:r>
              <w:rPr>
                <w:color w:val="FF0000"/>
                <w:spacing w:val="-4"/>
              </w:rPr>
              <w:t>建设单位招标属于要约邀请，建筑企业投标即属于要约，这</w:t>
            </w:r>
            <w:r>
              <w:rPr>
                <w:color w:val="FF0000"/>
                <w:spacing w:val="-2"/>
              </w:rPr>
              <w:t>是签订工程合同的重要环节。</w:t>
            </w:r>
          </w:p>
        </w:tc>
        <w:tc>
          <w:tcPr>
            <w:tcW w:w="5081" w:type="dxa"/>
            <w:vAlign w:val="top"/>
          </w:tcPr>
          <w:p w14:paraId="52235D42">
            <w:pPr>
              <w:pStyle w:val="7"/>
              <w:spacing w:before="31" w:line="220" w:lineRule="auto"/>
              <w:ind w:left="104"/>
            </w:pPr>
            <w:r>
              <w:rPr>
                <w:b/>
                <w:bCs/>
                <w:color w:val="FF0000"/>
                <w:spacing w:val="-2"/>
              </w:rPr>
              <w:t>【修改】P89</w:t>
            </w:r>
          </w:p>
          <w:p w14:paraId="493B4D4C">
            <w:pPr>
              <w:pStyle w:val="7"/>
              <w:spacing w:before="23" w:line="221" w:lineRule="auto"/>
              <w:ind w:left="118"/>
            </w:pPr>
            <w:r>
              <w:rPr>
                <w:b/>
                <w:bCs/>
                <w:spacing w:val="-4"/>
              </w:rPr>
              <w:t>3.1</w:t>
            </w:r>
            <w:r>
              <w:rPr>
                <w:spacing w:val="-42"/>
              </w:rPr>
              <w:t xml:space="preserve"> </w:t>
            </w:r>
            <w:r>
              <w:rPr>
                <w:b/>
                <w:bCs/>
                <w:spacing w:val="-4"/>
              </w:rPr>
              <w:t>工程招标与投标</w:t>
            </w:r>
          </w:p>
          <w:p w14:paraId="7B5BCC42">
            <w:pPr>
              <w:pStyle w:val="7"/>
              <w:spacing w:before="20" w:line="235" w:lineRule="auto"/>
              <w:ind w:left="112" w:right="106" w:firstLine="4"/>
              <w:jc w:val="both"/>
            </w:pPr>
            <w:r>
              <w:t>工程招标投标是指招标人通过发布招标公告或发出投标邀请函方式提出工程招标条件后，建筑企业通</w:t>
            </w:r>
            <w:r>
              <w:rPr>
                <w:spacing w:val="10"/>
              </w:rPr>
              <w:t>过递交投标文件参加竞争工程任务的一种交易方</w:t>
            </w:r>
            <w:r>
              <w:rPr>
                <w:spacing w:val="-4"/>
              </w:rPr>
              <w:t>式。根据《中华人民共和国民法典》,订立合</w:t>
            </w:r>
            <w:r>
              <w:rPr>
                <w:spacing w:val="-5"/>
              </w:rPr>
              <w:t>同通常</w:t>
            </w:r>
            <w:r>
              <w:rPr>
                <w:spacing w:val="-1"/>
              </w:rPr>
              <w:t>需要经过要约和承诺环节。</w:t>
            </w:r>
            <w:r>
              <w:rPr>
                <w:b/>
                <w:bCs/>
                <w:color w:val="FF0000"/>
                <w:spacing w:val="-1"/>
              </w:rPr>
              <w:t>建设单位招标属于要约</w:t>
            </w:r>
            <w:r>
              <w:rPr>
                <w:b/>
                <w:bCs/>
                <w:color w:val="FF0000"/>
                <w:spacing w:val="-2"/>
              </w:rPr>
              <w:t>邀请，建筑企业投标即属于要约，建设单位发出中</w:t>
            </w:r>
            <w:r>
              <w:rPr>
                <w:b/>
                <w:bCs/>
                <w:color w:val="FF0000"/>
                <w:spacing w:val="-6"/>
              </w:rPr>
              <w:t>标通知书即属于承诺。</w:t>
            </w:r>
          </w:p>
        </w:tc>
      </w:tr>
      <w:tr w14:paraId="1197D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8" w:hRule="atLeast"/>
        </w:trPr>
        <w:tc>
          <w:tcPr>
            <w:tcW w:w="4779" w:type="dxa"/>
            <w:vAlign w:val="top"/>
          </w:tcPr>
          <w:p w14:paraId="1F433730">
            <w:pPr>
              <w:pStyle w:val="7"/>
              <w:spacing w:before="32" w:line="220" w:lineRule="auto"/>
              <w:ind w:left="106"/>
            </w:pPr>
            <w:r>
              <w:rPr>
                <w:b/>
                <w:bCs/>
                <w:color w:val="FF0000"/>
                <w:spacing w:val="-2"/>
              </w:rPr>
              <w:t>【删除、修改】P106</w:t>
            </w:r>
          </w:p>
          <w:p w14:paraId="7B8EA1CF">
            <w:pPr>
              <w:pStyle w:val="7"/>
              <w:spacing w:before="23" w:line="220" w:lineRule="auto"/>
              <w:ind w:left="120"/>
            </w:pPr>
            <w:r>
              <w:rPr>
                <w:spacing w:val="-2"/>
              </w:rPr>
              <w:t>3.1.4</w:t>
            </w:r>
            <w:r>
              <w:rPr>
                <w:spacing w:val="-42"/>
              </w:rPr>
              <w:t xml:space="preserve"> </w:t>
            </w:r>
            <w:r>
              <w:rPr>
                <w:spacing w:val="-2"/>
              </w:rPr>
              <w:t>工程总承包投标</w:t>
            </w:r>
          </w:p>
          <w:p w14:paraId="2AD7EC5E">
            <w:pPr>
              <w:pStyle w:val="7"/>
              <w:spacing w:before="22" w:line="219" w:lineRule="auto"/>
              <w:ind w:left="119"/>
            </w:pPr>
            <w:r>
              <w:rPr>
                <w:spacing w:val="-1"/>
              </w:rPr>
              <w:t>2.工程总承包投标报价工作要点</w:t>
            </w:r>
          </w:p>
          <w:p w14:paraId="7EE5C479">
            <w:pPr>
              <w:pStyle w:val="7"/>
              <w:spacing w:before="24" w:line="219" w:lineRule="auto"/>
              <w:ind w:left="155"/>
            </w:pPr>
            <w:r>
              <w:rPr>
                <w:spacing w:val="7"/>
              </w:rPr>
              <w:t>(4)确定投标报价。</w:t>
            </w:r>
          </w:p>
          <w:p w14:paraId="7311912E">
            <w:pPr>
              <w:pStyle w:val="7"/>
              <w:spacing w:before="25" w:line="234" w:lineRule="auto"/>
              <w:ind w:left="114" w:right="100"/>
            </w:pPr>
            <w:r>
              <w:rPr>
                <w:b/>
                <w:bCs/>
                <w:color w:val="FF0000"/>
                <w:spacing w:val="6"/>
              </w:rPr>
              <w:t>③确定最终报价。</w:t>
            </w:r>
            <w:r>
              <w:rPr>
                <w:spacing w:val="6"/>
              </w:rPr>
              <w:t>投标报价的决策应以工程成本测算为依据，综合考虑设计费用、工程总承</w:t>
            </w:r>
            <w:r>
              <w:rPr>
                <w:spacing w:val="7"/>
              </w:rPr>
              <w:t>包管理费、利润等。要结合工程项目特点、市场条件，在分析以往类似工程竞标情况和本工程潜在竞争对手情况的基础上，</w:t>
            </w:r>
            <w:r>
              <w:rPr>
                <w:b/>
                <w:bCs/>
                <w:color w:val="FF0000"/>
                <w:spacing w:val="7"/>
              </w:rPr>
              <w:t>通过优化投标</w:t>
            </w:r>
            <w:r>
              <w:rPr>
                <w:b/>
                <w:bCs/>
                <w:color w:val="FF0000"/>
                <w:spacing w:val="-6"/>
              </w:rPr>
              <w:t>报价后确定最终报价。</w:t>
            </w:r>
          </w:p>
        </w:tc>
        <w:tc>
          <w:tcPr>
            <w:tcW w:w="5081" w:type="dxa"/>
            <w:vAlign w:val="top"/>
          </w:tcPr>
          <w:p w14:paraId="3E1FBD1D">
            <w:pPr>
              <w:pStyle w:val="7"/>
              <w:spacing w:before="32" w:line="220" w:lineRule="auto"/>
              <w:ind w:left="104"/>
            </w:pPr>
            <w:r>
              <w:rPr>
                <w:b/>
                <w:bCs/>
                <w:color w:val="FF0000"/>
                <w:spacing w:val="-2"/>
              </w:rPr>
              <w:t>【修改】P108</w:t>
            </w:r>
          </w:p>
          <w:p w14:paraId="25597814">
            <w:pPr>
              <w:pStyle w:val="7"/>
              <w:spacing w:before="23" w:line="220" w:lineRule="auto"/>
              <w:ind w:left="118"/>
            </w:pPr>
            <w:r>
              <w:rPr>
                <w:spacing w:val="-2"/>
              </w:rPr>
              <w:t>3.1.4</w:t>
            </w:r>
            <w:r>
              <w:rPr>
                <w:spacing w:val="-43"/>
              </w:rPr>
              <w:t xml:space="preserve"> </w:t>
            </w:r>
            <w:r>
              <w:rPr>
                <w:spacing w:val="-2"/>
              </w:rPr>
              <w:t>工程总承包投标</w:t>
            </w:r>
          </w:p>
          <w:p w14:paraId="255AC15D">
            <w:pPr>
              <w:pStyle w:val="7"/>
              <w:spacing w:before="22" w:line="219" w:lineRule="auto"/>
              <w:ind w:left="117"/>
            </w:pPr>
            <w:r>
              <w:rPr>
                <w:spacing w:val="-1"/>
              </w:rPr>
              <w:t>2.工程总承包投标报价工作要点</w:t>
            </w:r>
          </w:p>
          <w:p w14:paraId="717356E8">
            <w:pPr>
              <w:pStyle w:val="7"/>
              <w:spacing w:before="24" w:line="219" w:lineRule="auto"/>
              <w:ind w:left="153"/>
            </w:pPr>
            <w:r>
              <w:rPr>
                <w:spacing w:val="7"/>
              </w:rPr>
              <w:t>(4)确定投标报价。</w:t>
            </w:r>
          </w:p>
          <w:p w14:paraId="7345457F">
            <w:pPr>
              <w:pStyle w:val="7"/>
              <w:spacing w:before="20" w:line="236" w:lineRule="auto"/>
              <w:ind w:left="114" w:right="105" w:hanging="2"/>
            </w:pPr>
            <w:r>
              <w:rPr>
                <w:b/>
                <w:bCs/>
                <w:color w:val="FF0000"/>
              </w:rPr>
              <w:t>③提出报价方案。</w:t>
            </w:r>
            <w:r>
              <w:t>投标报价的决策应以工程成</w:t>
            </w:r>
            <w:r>
              <w:rPr>
                <w:spacing w:val="-1"/>
              </w:rPr>
              <w:t>本测</w:t>
            </w:r>
            <w:r>
              <w:t>算为依据，并综合考虑设计费用、工程总承包管理费、利润等。要结合工程项目特点、市场条件，在分析以往类似工程竞标情况和本工程潜在竞争对手</w:t>
            </w:r>
            <w:r>
              <w:rPr>
                <w:spacing w:val="-4"/>
              </w:rPr>
              <w:t>情况的基础上</w:t>
            </w:r>
            <w:r>
              <w:rPr>
                <w:b/>
                <w:bCs/>
                <w:color w:val="FF0000"/>
                <w:spacing w:val="-4"/>
              </w:rPr>
              <w:t>提出报价方案。</w:t>
            </w:r>
          </w:p>
        </w:tc>
      </w:tr>
      <w:tr w14:paraId="1FDC2D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6" w:hRule="atLeast"/>
        </w:trPr>
        <w:tc>
          <w:tcPr>
            <w:tcW w:w="4779" w:type="dxa"/>
            <w:vAlign w:val="top"/>
          </w:tcPr>
          <w:p w14:paraId="6DCBA62C">
            <w:pPr>
              <w:pStyle w:val="7"/>
              <w:spacing w:before="33" w:line="220" w:lineRule="auto"/>
              <w:ind w:left="106"/>
            </w:pPr>
            <w:r>
              <w:rPr>
                <w:b/>
                <w:bCs/>
                <w:color w:val="FF0000"/>
                <w:spacing w:val="-2"/>
              </w:rPr>
              <w:t>【删除】P106</w:t>
            </w:r>
          </w:p>
          <w:p w14:paraId="5BF8F144">
            <w:pPr>
              <w:pStyle w:val="7"/>
              <w:spacing w:before="23" w:line="220" w:lineRule="auto"/>
              <w:ind w:left="120"/>
            </w:pPr>
            <w:r>
              <w:rPr>
                <w:spacing w:val="-3"/>
              </w:rPr>
              <w:t>3.2</w:t>
            </w:r>
            <w:r>
              <w:rPr>
                <w:spacing w:val="-39"/>
              </w:rPr>
              <w:t xml:space="preserve"> </w:t>
            </w:r>
            <w:r>
              <w:rPr>
                <w:spacing w:val="-3"/>
              </w:rPr>
              <w:t>工程合同管理</w:t>
            </w:r>
          </w:p>
          <w:p w14:paraId="451125F4">
            <w:pPr>
              <w:pStyle w:val="7"/>
              <w:spacing w:before="23" w:line="211" w:lineRule="auto"/>
              <w:ind w:left="117"/>
            </w:pPr>
            <w:r>
              <w:rPr>
                <w:b/>
                <w:bCs/>
                <w:color w:val="FF0000"/>
                <w:spacing w:val="-12"/>
              </w:rPr>
              <w:t>合同管理是指合同当事人依法订立、履行、变更、</w:t>
            </w:r>
          </w:p>
        </w:tc>
        <w:tc>
          <w:tcPr>
            <w:tcW w:w="5081" w:type="dxa"/>
            <w:vAlign w:val="top"/>
          </w:tcPr>
          <w:p w14:paraId="2DCDE3B2">
            <w:pPr>
              <w:pStyle w:val="7"/>
              <w:spacing w:before="70" w:line="182" w:lineRule="auto"/>
              <w:ind w:left="110"/>
            </w:pPr>
            <w:r>
              <w:rPr>
                <w:b/>
                <w:bCs/>
                <w:color w:val="FF0000"/>
                <w:spacing w:val="-3"/>
              </w:rPr>
              <w:t>P108</w:t>
            </w:r>
          </w:p>
          <w:p w14:paraId="1D5336C1">
            <w:pPr>
              <w:pStyle w:val="7"/>
              <w:spacing w:before="32" w:line="220" w:lineRule="auto"/>
              <w:ind w:left="118"/>
            </w:pPr>
            <w:r>
              <w:rPr>
                <w:spacing w:val="-3"/>
              </w:rPr>
              <w:t>3.2</w:t>
            </w:r>
            <w:r>
              <w:rPr>
                <w:spacing w:val="-40"/>
              </w:rPr>
              <w:t xml:space="preserve"> </w:t>
            </w:r>
            <w:r>
              <w:rPr>
                <w:spacing w:val="-3"/>
              </w:rPr>
              <w:t>工程合同管理</w:t>
            </w:r>
          </w:p>
          <w:p w14:paraId="17B5DB5D">
            <w:pPr>
              <w:pStyle w:val="7"/>
              <w:spacing w:before="23" w:line="211" w:lineRule="auto"/>
              <w:ind w:left="115"/>
            </w:pPr>
            <w:r>
              <w:t>合同管理是建设工程项目管理的核心内容，因为建</w:t>
            </w:r>
          </w:p>
        </w:tc>
      </w:tr>
    </w:tbl>
    <w:p w14:paraId="7474AC21">
      <w:pPr>
        <w:rPr>
          <w:rFonts w:ascii="Arial"/>
          <w:sz w:val="21"/>
        </w:rPr>
      </w:pPr>
    </w:p>
    <w:p w14:paraId="63A3EE53">
      <w:pPr>
        <w:rPr>
          <w:rFonts w:ascii="Arial" w:hAnsi="Arial" w:eastAsia="Arial" w:cs="Arial"/>
          <w:sz w:val="21"/>
          <w:szCs w:val="21"/>
        </w:rPr>
        <w:sectPr>
          <w:footerReference r:id="rId11"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13AF9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3" w:hRule="atLeast"/>
        </w:trPr>
        <w:tc>
          <w:tcPr>
            <w:tcW w:w="4779" w:type="dxa"/>
            <w:vAlign w:val="top"/>
          </w:tcPr>
          <w:p w14:paraId="73BE1187">
            <w:pPr>
              <w:pStyle w:val="7"/>
              <w:spacing w:before="32" w:line="235" w:lineRule="auto"/>
              <w:ind w:left="116" w:right="25" w:hanging="1"/>
              <w:jc w:val="both"/>
            </w:pPr>
            <w:r>
              <w:rPr>
                <w:b/>
                <w:bCs/>
                <w:color w:val="FF0000"/>
                <w:spacing w:val="-6"/>
              </w:rPr>
              <w:t>解除、转让、终止合同等一系列行为的总称。</w:t>
            </w:r>
            <w:r>
              <w:rPr>
                <w:spacing w:val="-6"/>
              </w:rPr>
              <w:t>合</w:t>
            </w:r>
            <w:r>
              <w:rPr>
                <w:spacing w:val="-4"/>
              </w:rPr>
              <w:t>同管理是建设工程项目管理的核心内容，因为建</w:t>
            </w:r>
            <w:r>
              <w:rPr>
                <w:spacing w:val="7"/>
              </w:rPr>
              <w:t>设工程项目目标的设置与控制均以合同为主要</w:t>
            </w:r>
            <w:r>
              <w:rPr>
                <w:spacing w:val="-10"/>
              </w:rPr>
              <w:t>依据。对一级建造师而言，不仅会涉及施工合同、</w:t>
            </w:r>
            <w:r>
              <w:rPr>
                <w:spacing w:val="-4"/>
              </w:rPr>
              <w:t>专业分包合同、劳务分包合同及材料设备采购合</w:t>
            </w:r>
            <w:r>
              <w:rPr>
                <w:spacing w:val="-2"/>
              </w:rPr>
              <w:t>同的管理，而且还会涉及工程总承包合同管理。</w:t>
            </w:r>
          </w:p>
        </w:tc>
        <w:tc>
          <w:tcPr>
            <w:tcW w:w="5081" w:type="dxa"/>
            <w:vAlign w:val="top"/>
          </w:tcPr>
          <w:p w14:paraId="3086CB62">
            <w:pPr>
              <w:pStyle w:val="7"/>
              <w:spacing w:before="31" w:line="241" w:lineRule="auto"/>
              <w:ind w:left="113" w:right="109" w:firstLine="4"/>
              <w:jc w:val="both"/>
            </w:pPr>
            <w:r>
              <w:rPr>
                <w:spacing w:val="10"/>
              </w:rPr>
              <w:t>设工程项目目标的设置与控制均以合同为主要依</w:t>
            </w:r>
            <w:r>
              <w:t>据。对一级建造师而言，不仅会涉及施工合同、专业分包合同、劳务分包合同及材料设备采购合同的</w:t>
            </w:r>
            <w:r>
              <w:rPr>
                <w:spacing w:val="-1"/>
              </w:rPr>
              <w:t>管理，而且还会涉及工程总承包合同管理。</w:t>
            </w:r>
          </w:p>
        </w:tc>
      </w:tr>
      <w:tr w14:paraId="0B6952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3" w:hRule="atLeast"/>
        </w:trPr>
        <w:tc>
          <w:tcPr>
            <w:tcW w:w="4779" w:type="dxa"/>
            <w:vAlign w:val="top"/>
          </w:tcPr>
          <w:p w14:paraId="271EB762">
            <w:pPr>
              <w:pStyle w:val="7"/>
              <w:spacing w:before="65" w:line="182" w:lineRule="auto"/>
              <w:ind w:left="112"/>
            </w:pPr>
            <w:r>
              <w:rPr>
                <w:b/>
                <w:bCs/>
                <w:color w:val="FF0000"/>
                <w:spacing w:val="-3"/>
              </w:rPr>
              <w:t>P107</w:t>
            </w:r>
          </w:p>
          <w:p w14:paraId="3C6D91FE">
            <w:pPr>
              <w:pStyle w:val="7"/>
              <w:spacing w:before="32" w:line="220" w:lineRule="auto"/>
              <w:ind w:left="120"/>
            </w:pPr>
            <w:r>
              <w:rPr>
                <w:b/>
                <w:bCs/>
                <w:spacing w:val="-4"/>
              </w:rPr>
              <w:t>3.2.1</w:t>
            </w:r>
            <w:r>
              <w:rPr>
                <w:spacing w:val="-41"/>
              </w:rPr>
              <w:t xml:space="preserve"> </w:t>
            </w:r>
            <w:r>
              <w:rPr>
                <w:b/>
                <w:bCs/>
                <w:spacing w:val="-4"/>
              </w:rPr>
              <w:t>施工合同管理</w:t>
            </w:r>
          </w:p>
          <w:p w14:paraId="55CF94ED">
            <w:pPr>
              <w:pStyle w:val="7"/>
              <w:spacing w:before="23" w:line="220" w:lineRule="auto"/>
              <w:ind w:left="119"/>
            </w:pPr>
            <w:r>
              <w:rPr>
                <w:b/>
                <w:bCs/>
                <w:spacing w:val="-3"/>
              </w:rPr>
              <w:t>2.施工合同订立管理</w:t>
            </w:r>
          </w:p>
          <w:p w14:paraId="44862F62">
            <w:pPr>
              <w:pStyle w:val="7"/>
              <w:spacing w:before="23" w:line="220" w:lineRule="auto"/>
              <w:ind w:left="155"/>
            </w:pPr>
            <w:r>
              <w:rPr>
                <w:spacing w:val="-5"/>
              </w:rPr>
              <w:t>(2)承包人主要义务</w:t>
            </w:r>
          </w:p>
          <w:p w14:paraId="16B98F16">
            <w:pPr>
              <w:pStyle w:val="7"/>
              <w:spacing w:before="20" w:line="235" w:lineRule="auto"/>
              <w:ind w:left="115" w:right="103" w:hanging="1"/>
            </w:pPr>
            <w:r>
              <w:rPr>
                <w:spacing w:val="-3"/>
              </w:rPr>
              <w:t>C.施工安全管理措施计划。承包人应在施工现场</w:t>
            </w:r>
            <w:r>
              <w:rPr>
                <w:spacing w:val="-4"/>
              </w:rPr>
              <w:t>配备专职安全生产管理人员，针对危险性较大的分部分项工程应编制专项施工方案，经监理人审</w:t>
            </w:r>
            <w:r>
              <w:rPr>
                <w:spacing w:val="-3"/>
              </w:rPr>
              <w:t>查批准后方可实施。</w:t>
            </w:r>
          </w:p>
          <w:p w14:paraId="6C916E9B">
            <w:pPr>
              <w:pStyle w:val="7"/>
              <w:spacing w:before="23" w:line="233" w:lineRule="auto"/>
              <w:ind w:left="114" w:right="93" w:hanging="2"/>
            </w:pPr>
            <w:r>
              <w:rPr>
                <w:spacing w:val="-3"/>
              </w:rPr>
              <w:t>D.环境保护措施计划。承包人应按合同约定的环境保护工作内容，编制施工环境保护措施计划，</w:t>
            </w:r>
            <w:r>
              <w:rPr>
                <w:spacing w:val="-1"/>
              </w:rPr>
              <w:t>报送监理人审批。</w:t>
            </w:r>
          </w:p>
        </w:tc>
        <w:tc>
          <w:tcPr>
            <w:tcW w:w="5081" w:type="dxa"/>
            <w:vAlign w:val="top"/>
          </w:tcPr>
          <w:p w14:paraId="3A8B2951">
            <w:pPr>
              <w:pStyle w:val="7"/>
              <w:spacing w:before="28" w:line="221" w:lineRule="auto"/>
              <w:ind w:left="104"/>
            </w:pPr>
            <w:r>
              <w:rPr>
                <w:b/>
                <w:bCs/>
                <w:color w:val="FF0000"/>
                <w:spacing w:val="-2"/>
              </w:rPr>
              <w:t>【新增】P109</w:t>
            </w:r>
          </w:p>
          <w:p w14:paraId="119290DC">
            <w:pPr>
              <w:pStyle w:val="7"/>
              <w:spacing w:before="22" w:line="220" w:lineRule="auto"/>
              <w:ind w:left="118"/>
            </w:pPr>
            <w:r>
              <w:rPr>
                <w:b/>
                <w:bCs/>
                <w:spacing w:val="-4"/>
              </w:rPr>
              <w:t>3.2.1</w:t>
            </w:r>
            <w:r>
              <w:rPr>
                <w:spacing w:val="-41"/>
              </w:rPr>
              <w:t xml:space="preserve"> </w:t>
            </w:r>
            <w:r>
              <w:rPr>
                <w:b/>
                <w:bCs/>
                <w:spacing w:val="-4"/>
              </w:rPr>
              <w:t>施工合同管理</w:t>
            </w:r>
          </w:p>
          <w:p w14:paraId="58D99A5F">
            <w:pPr>
              <w:pStyle w:val="7"/>
              <w:spacing w:before="23" w:line="220" w:lineRule="auto"/>
              <w:ind w:left="117"/>
            </w:pPr>
            <w:r>
              <w:rPr>
                <w:b/>
                <w:bCs/>
                <w:spacing w:val="-3"/>
              </w:rPr>
              <w:t>2.施工合同订立管理</w:t>
            </w:r>
          </w:p>
          <w:p w14:paraId="466F1B6A">
            <w:pPr>
              <w:pStyle w:val="7"/>
              <w:spacing w:before="23" w:line="220" w:lineRule="auto"/>
              <w:ind w:left="153"/>
            </w:pPr>
            <w:r>
              <w:rPr>
                <w:spacing w:val="-5"/>
              </w:rPr>
              <w:t>(2)承包人主要义务</w:t>
            </w:r>
          </w:p>
          <w:p w14:paraId="40C92F8E">
            <w:pPr>
              <w:pStyle w:val="7"/>
              <w:spacing w:before="20" w:line="235" w:lineRule="auto"/>
              <w:ind w:left="115" w:right="107" w:hanging="3"/>
            </w:pPr>
            <w:r>
              <w:rPr>
                <w:b/>
                <w:bCs/>
                <w:color w:val="FF0000"/>
                <w:spacing w:val="-2"/>
              </w:rPr>
              <w:t>C.工艺试验措施计划。承包人应按合同约定或监理人指示进行现场工艺试验。监理人认为必要时，应由承包人根据监理人提出的工艺试验要求，编制工</w:t>
            </w:r>
            <w:r>
              <w:rPr>
                <w:b/>
                <w:bCs/>
                <w:color w:val="FF0000"/>
                <w:spacing w:val="-5"/>
              </w:rPr>
              <w:t>艺试验措施计划，并报监理人审批。</w:t>
            </w:r>
          </w:p>
          <w:p w14:paraId="50A0CDC5">
            <w:pPr>
              <w:pStyle w:val="7"/>
              <w:spacing w:before="23" w:line="235" w:lineRule="auto"/>
              <w:ind w:left="115" w:right="110" w:hanging="5"/>
            </w:pPr>
            <w:r>
              <w:t>D.施工安全措施计划。承包人应在施工现场配备专职安全生产管理人员，针对危险性较大的分部分项工程应编制专项施工方案，经监理人审查批准后方</w:t>
            </w:r>
            <w:r>
              <w:rPr>
                <w:spacing w:val="-8"/>
              </w:rPr>
              <w:t>可实施。</w:t>
            </w:r>
          </w:p>
          <w:p w14:paraId="0CF18781">
            <w:pPr>
              <w:pStyle w:val="7"/>
              <w:spacing w:before="19" w:line="230" w:lineRule="auto"/>
              <w:ind w:left="114" w:right="110" w:hanging="3"/>
            </w:pPr>
            <w:r>
              <w:t>E.施工环保措施计划。承包人应按合同约定的环境保护工作内容，编制施工环保措施计划，报送监理</w:t>
            </w:r>
            <w:r>
              <w:rPr>
                <w:spacing w:val="-8"/>
              </w:rPr>
              <w:t>人审批。</w:t>
            </w:r>
          </w:p>
        </w:tc>
      </w:tr>
      <w:tr w14:paraId="0C3D47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2" w:hRule="atLeast"/>
        </w:trPr>
        <w:tc>
          <w:tcPr>
            <w:tcW w:w="4779" w:type="dxa"/>
            <w:vAlign w:val="top"/>
          </w:tcPr>
          <w:p w14:paraId="28253F5E">
            <w:pPr>
              <w:pStyle w:val="7"/>
              <w:spacing w:before="66" w:line="182" w:lineRule="auto"/>
              <w:ind w:left="112"/>
            </w:pPr>
            <w:r>
              <w:rPr>
                <w:b/>
                <w:bCs/>
                <w:color w:val="FF0000"/>
                <w:spacing w:val="-3"/>
              </w:rPr>
              <w:t>P114</w:t>
            </w:r>
          </w:p>
          <w:p w14:paraId="154E6840">
            <w:pPr>
              <w:pStyle w:val="7"/>
              <w:spacing w:before="32" w:line="220" w:lineRule="auto"/>
              <w:ind w:left="120"/>
            </w:pPr>
            <w:r>
              <w:rPr>
                <w:b/>
                <w:bCs/>
                <w:spacing w:val="-4"/>
              </w:rPr>
              <w:t>3.2.1</w:t>
            </w:r>
            <w:r>
              <w:rPr>
                <w:spacing w:val="-41"/>
              </w:rPr>
              <w:t xml:space="preserve"> </w:t>
            </w:r>
            <w:r>
              <w:rPr>
                <w:b/>
                <w:bCs/>
                <w:spacing w:val="-4"/>
              </w:rPr>
              <w:t>施工合同管理</w:t>
            </w:r>
          </w:p>
          <w:p w14:paraId="12E3B09B">
            <w:pPr>
              <w:pStyle w:val="7"/>
              <w:spacing w:before="23" w:line="220" w:lineRule="auto"/>
              <w:ind w:left="120"/>
            </w:pPr>
            <w:r>
              <w:rPr>
                <w:spacing w:val="-2"/>
              </w:rPr>
              <w:t>3）工程计量与支付管理</w:t>
            </w:r>
          </w:p>
          <w:p w14:paraId="17EC7D84">
            <w:pPr>
              <w:pStyle w:val="7"/>
              <w:spacing w:before="23" w:line="220" w:lineRule="auto"/>
              <w:ind w:left="122"/>
            </w:pPr>
            <w:r>
              <w:rPr>
                <w:spacing w:val="-4"/>
              </w:rPr>
              <w:t>（2）预付款</w:t>
            </w:r>
          </w:p>
          <w:p w14:paraId="6FFF95AA">
            <w:pPr>
              <w:pStyle w:val="7"/>
              <w:spacing w:before="30" w:line="239" w:lineRule="auto"/>
              <w:ind w:left="116" w:right="100" w:firstLine="1"/>
            </w:pPr>
            <w:r>
              <w:rPr>
                <w:spacing w:val="-4"/>
              </w:rPr>
              <w:t>预付款的具体比例通常会参照《建设工程工程量</w:t>
            </w:r>
            <w:r>
              <w:rPr>
                <w:spacing w:val="-3"/>
              </w:rPr>
              <w:t>清单计价规范》GB50500—2013(以下简称《计价</w:t>
            </w:r>
            <w:r>
              <w:rPr>
                <w:spacing w:val="2"/>
              </w:rPr>
              <w:t>规范》)规定，在专用合同条款中约定。《计价</w:t>
            </w:r>
            <w:r>
              <w:rPr>
                <w:spacing w:val="-3"/>
              </w:rPr>
              <w:t>规范》明确规定，包工包料工程的预付款支</w:t>
            </w:r>
            <w:r>
              <w:rPr>
                <w:spacing w:val="-4"/>
              </w:rPr>
              <w:t>付比</w:t>
            </w:r>
            <w:r>
              <w:rPr>
                <w:spacing w:val="2"/>
              </w:rPr>
              <w:t>例不得低于签约合同价(扣除暂列金额)的 10</w:t>
            </w:r>
            <w:r>
              <w:rPr>
                <w:spacing w:val="1"/>
              </w:rPr>
              <w:t>%,</w:t>
            </w:r>
            <w:r>
              <w:rPr>
                <w:spacing w:val="-2"/>
              </w:rPr>
              <w:t>不宜高于签约合同价(扣除暂列金额)的</w:t>
            </w:r>
            <w:r>
              <w:rPr>
                <w:spacing w:val="-28"/>
              </w:rPr>
              <w:t xml:space="preserve"> </w:t>
            </w:r>
            <w:r>
              <w:rPr>
                <w:spacing w:val="-2"/>
              </w:rPr>
              <w:t>30%。发</w:t>
            </w:r>
            <w:r>
              <w:rPr>
                <w:spacing w:val="2"/>
              </w:rPr>
              <w:t>包人应在收到支付申请的 7 天内进行核实后向</w:t>
            </w:r>
            <w:r>
              <w:rPr>
                <w:spacing w:val="-4"/>
              </w:rPr>
              <w:t>承包人发出预付款支付证书，并在签发支付证书</w:t>
            </w:r>
            <w:r>
              <w:rPr>
                <w:spacing w:val="-5"/>
              </w:rPr>
              <w:t>后的</w:t>
            </w:r>
            <w:r>
              <w:rPr>
                <w:spacing w:val="-31"/>
              </w:rPr>
              <w:t xml:space="preserve"> </w:t>
            </w:r>
            <w:r>
              <w:rPr>
                <w:spacing w:val="-5"/>
              </w:rPr>
              <w:t>7</w:t>
            </w:r>
            <w:r>
              <w:rPr>
                <w:spacing w:val="-41"/>
              </w:rPr>
              <w:t xml:space="preserve"> </w:t>
            </w:r>
            <w:r>
              <w:rPr>
                <w:spacing w:val="-5"/>
              </w:rPr>
              <w:t>天内向承包人支付预付款。发包人没有按</w:t>
            </w:r>
            <w:r>
              <w:rPr>
                <w:spacing w:val="-4"/>
              </w:rPr>
              <w:t>合同约定按时支付预付款的，承包人可催告发包</w:t>
            </w:r>
            <w:r>
              <w:rPr>
                <w:spacing w:val="-5"/>
              </w:rPr>
              <w:t>人支付；发包人在预付款期满后的</w:t>
            </w:r>
            <w:r>
              <w:rPr>
                <w:spacing w:val="-28"/>
              </w:rPr>
              <w:t xml:space="preserve"> </w:t>
            </w:r>
            <w:r>
              <w:rPr>
                <w:spacing w:val="-5"/>
              </w:rPr>
              <w:t>7</w:t>
            </w:r>
            <w:r>
              <w:rPr>
                <w:spacing w:val="-41"/>
              </w:rPr>
              <w:t xml:space="preserve"> </w:t>
            </w:r>
            <w:r>
              <w:rPr>
                <w:spacing w:val="-5"/>
              </w:rPr>
              <w:t>天内仍未支</w:t>
            </w:r>
            <w:r>
              <w:rPr>
                <w:spacing w:val="-1"/>
              </w:rPr>
              <w:t>付的，承包人可在付款期满后的第8</w:t>
            </w:r>
            <w:r>
              <w:rPr>
                <w:spacing w:val="-41"/>
              </w:rPr>
              <w:t xml:space="preserve"> </w:t>
            </w:r>
            <w:r>
              <w:rPr>
                <w:spacing w:val="-1"/>
              </w:rPr>
              <w:t>天起暂</w:t>
            </w:r>
            <w:r>
              <w:rPr>
                <w:spacing w:val="-2"/>
              </w:rPr>
              <w:t>停施</w:t>
            </w:r>
            <w:r>
              <w:rPr>
                <w:spacing w:val="-3"/>
              </w:rPr>
              <w:t>工。发包人应承担由此增加的费用和(或)延误的工期，并向承包人支付合理利润。</w:t>
            </w:r>
          </w:p>
          <w:p w14:paraId="70CCF395">
            <w:pPr>
              <w:pStyle w:val="7"/>
              <w:spacing w:before="11" w:line="236" w:lineRule="auto"/>
              <w:ind w:left="115" w:right="101" w:firstLine="2"/>
            </w:pPr>
            <w:r>
              <w:rPr>
                <w:spacing w:val="-4"/>
              </w:rPr>
              <w:t>《计价规范》对安全文明施工费的预付也作出明</w:t>
            </w:r>
            <w:r>
              <w:rPr>
                <w:spacing w:val="-3"/>
              </w:rPr>
              <w:t>确规定。发包人应在工程开工后的 28 天内预付</w:t>
            </w:r>
            <w:r>
              <w:rPr>
                <w:spacing w:val="7"/>
              </w:rPr>
              <w:t>不低于当年施工进度计划的安全文明施工费总</w:t>
            </w:r>
            <w:r>
              <w:rPr>
                <w:spacing w:val="1"/>
              </w:rPr>
              <w:t>额的 60%,其余部分按照提前安排的原则进行分</w:t>
            </w:r>
            <w:r>
              <w:rPr>
                <w:spacing w:val="-3"/>
              </w:rPr>
              <w:t>解，与进度款同期支付。发包人没有按时支付安</w:t>
            </w:r>
            <w:r>
              <w:rPr>
                <w:spacing w:val="-4"/>
              </w:rPr>
              <w:t>全文明施工费的，承包人可催告发包人支付；发</w:t>
            </w:r>
            <w:r>
              <w:rPr>
                <w:spacing w:val="-5"/>
              </w:rPr>
              <w:t>包人在付款期满后的</w:t>
            </w:r>
            <w:r>
              <w:rPr>
                <w:spacing w:val="-27"/>
              </w:rPr>
              <w:t xml:space="preserve"> </w:t>
            </w:r>
            <w:r>
              <w:rPr>
                <w:spacing w:val="-5"/>
              </w:rPr>
              <w:t>7</w:t>
            </w:r>
            <w:r>
              <w:rPr>
                <w:spacing w:val="-45"/>
              </w:rPr>
              <w:t xml:space="preserve"> </w:t>
            </w:r>
            <w:r>
              <w:rPr>
                <w:spacing w:val="-5"/>
              </w:rPr>
              <w:t>天内仍未支付的，若发生</w:t>
            </w:r>
            <w:r>
              <w:rPr>
                <w:spacing w:val="-4"/>
              </w:rPr>
              <w:t>安全事故，发包人应承担连带责任。承包人对安全文明施工费应专款专用，在财务账目中单独列</w:t>
            </w:r>
            <w:r>
              <w:rPr>
                <w:spacing w:val="-3"/>
              </w:rPr>
              <w:t>项备查，不得挪作他用，否则发包人有权要求其</w:t>
            </w:r>
            <w:r>
              <w:rPr>
                <w:spacing w:val="7"/>
              </w:rPr>
              <w:t>限期改正；逾期未改正的，造成的损失和(或)</w:t>
            </w:r>
          </w:p>
        </w:tc>
        <w:tc>
          <w:tcPr>
            <w:tcW w:w="5081" w:type="dxa"/>
            <w:vAlign w:val="top"/>
          </w:tcPr>
          <w:p w14:paraId="6B894DF9">
            <w:pPr>
              <w:pStyle w:val="7"/>
              <w:spacing w:before="30" w:line="220" w:lineRule="auto"/>
              <w:ind w:left="104"/>
            </w:pPr>
            <w:r>
              <w:rPr>
                <w:b/>
                <w:bCs/>
                <w:color w:val="FF0000"/>
                <w:spacing w:val="-2"/>
              </w:rPr>
              <w:t>【修改】P116</w:t>
            </w:r>
          </w:p>
          <w:p w14:paraId="5E1E25C4">
            <w:pPr>
              <w:pStyle w:val="7"/>
              <w:spacing w:before="23" w:line="220" w:lineRule="auto"/>
              <w:ind w:left="118"/>
            </w:pPr>
            <w:r>
              <w:rPr>
                <w:b/>
                <w:bCs/>
                <w:spacing w:val="-4"/>
              </w:rPr>
              <w:t>3.2.1</w:t>
            </w:r>
            <w:r>
              <w:rPr>
                <w:spacing w:val="-41"/>
              </w:rPr>
              <w:t xml:space="preserve"> </w:t>
            </w:r>
            <w:r>
              <w:rPr>
                <w:b/>
                <w:bCs/>
                <w:spacing w:val="-4"/>
              </w:rPr>
              <w:t>施工合同管理</w:t>
            </w:r>
          </w:p>
          <w:p w14:paraId="45BA2AD5">
            <w:pPr>
              <w:pStyle w:val="7"/>
              <w:spacing w:before="23" w:line="220" w:lineRule="auto"/>
              <w:ind w:left="118"/>
            </w:pPr>
            <w:r>
              <w:rPr>
                <w:spacing w:val="-2"/>
              </w:rPr>
              <w:t>3）工程计量与支付管理</w:t>
            </w:r>
          </w:p>
          <w:p w14:paraId="6190E9BE">
            <w:pPr>
              <w:pStyle w:val="7"/>
              <w:spacing w:before="23" w:line="220" w:lineRule="auto"/>
              <w:ind w:left="120"/>
            </w:pPr>
            <w:r>
              <w:rPr>
                <w:spacing w:val="-4"/>
              </w:rPr>
              <w:t>（2）预付款</w:t>
            </w:r>
          </w:p>
          <w:p w14:paraId="4169B213">
            <w:pPr>
              <w:pStyle w:val="7"/>
              <w:spacing w:before="13"/>
              <w:ind w:left="111" w:right="107" w:firstLine="3"/>
            </w:pPr>
            <w:r>
              <w:rPr>
                <w:spacing w:val="-11"/>
              </w:rPr>
              <w:t>《</w:t>
            </w:r>
            <w:r>
              <w:rPr>
                <w:spacing w:val="43"/>
              </w:rPr>
              <w:t xml:space="preserve"> </w:t>
            </w:r>
            <w:r>
              <w:rPr>
                <w:b/>
                <w:bCs/>
                <w:color w:val="FF0000"/>
                <w:spacing w:val="-11"/>
              </w:rPr>
              <w:t>建</w:t>
            </w:r>
            <w:r>
              <w:rPr>
                <w:color w:val="FF0000"/>
                <w:spacing w:val="-11"/>
              </w:rPr>
              <w:t xml:space="preserve"> </w:t>
            </w:r>
            <w:r>
              <w:rPr>
                <w:b/>
                <w:bCs/>
                <w:color w:val="FF0000"/>
                <w:spacing w:val="-11"/>
              </w:rPr>
              <w:t>设</w:t>
            </w:r>
            <w:r>
              <w:rPr>
                <w:color w:val="FF0000"/>
                <w:spacing w:val="11"/>
              </w:rPr>
              <w:t xml:space="preserve"> </w:t>
            </w:r>
            <w:r>
              <w:rPr>
                <w:b/>
                <w:bCs/>
                <w:color w:val="FF0000"/>
                <w:spacing w:val="-11"/>
              </w:rPr>
              <w:t>工</w:t>
            </w:r>
            <w:r>
              <w:rPr>
                <w:color w:val="FF0000"/>
                <w:spacing w:val="-11"/>
              </w:rPr>
              <w:t xml:space="preserve"> </w:t>
            </w:r>
            <w:r>
              <w:rPr>
                <w:b/>
                <w:bCs/>
                <w:color w:val="FF0000"/>
                <w:spacing w:val="-11"/>
              </w:rPr>
              <w:t>程</w:t>
            </w:r>
            <w:r>
              <w:rPr>
                <w:color w:val="FF0000"/>
                <w:spacing w:val="14"/>
              </w:rPr>
              <w:t xml:space="preserve"> </w:t>
            </w:r>
            <w:r>
              <w:rPr>
                <w:b/>
                <w:bCs/>
                <w:color w:val="FF0000"/>
                <w:spacing w:val="-11"/>
              </w:rPr>
              <w:t>工</w:t>
            </w:r>
            <w:r>
              <w:rPr>
                <w:color w:val="FF0000"/>
                <w:spacing w:val="8"/>
              </w:rPr>
              <w:t xml:space="preserve"> </w:t>
            </w:r>
            <w:r>
              <w:rPr>
                <w:b/>
                <w:bCs/>
                <w:color w:val="FF0000"/>
                <w:spacing w:val="-11"/>
              </w:rPr>
              <w:t>程</w:t>
            </w:r>
            <w:r>
              <w:rPr>
                <w:color w:val="FF0000"/>
                <w:spacing w:val="9"/>
              </w:rPr>
              <w:t xml:space="preserve"> </w:t>
            </w:r>
            <w:r>
              <w:rPr>
                <w:b/>
                <w:bCs/>
                <w:color w:val="FF0000"/>
                <w:spacing w:val="-11"/>
              </w:rPr>
              <w:t>量</w:t>
            </w:r>
            <w:r>
              <w:rPr>
                <w:color w:val="FF0000"/>
                <w:spacing w:val="8"/>
              </w:rPr>
              <w:t xml:space="preserve"> </w:t>
            </w:r>
            <w:r>
              <w:rPr>
                <w:b/>
                <w:bCs/>
                <w:color w:val="FF0000"/>
                <w:spacing w:val="-11"/>
              </w:rPr>
              <w:t>清</w:t>
            </w:r>
            <w:r>
              <w:rPr>
                <w:color w:val="FF0000"/>
                <w:spacing w:val="11"/>
              </w:rPr>
              <w:t xml:space="preserve"> </w:t>
            </w:r>
            <w:r>
              <w:rPr>
                <w:b/>
                <w:bCs/>
                <w:color w:val="FF0000"/>
                <w:spacing w:val="-11"/>
              </w:rPr>
              <w:t>单</w:t>
            </w:r>
            <w:r>
              <w:rPr>
                <w:color w:val="FF0000"/>
                <w:spacing w:val="11"/>
              </w:rPr>
              <w:t xml:space="preserve"> </w:t>
            </w:r>
            <w:r>
              <w:rPr>
                <w:b/>
                <w:bCs/>
                <w:color w:val="FF0000"/>
                <w:spacing w:val="-11"/>
              </w:rPr>
              <w:t>计</w:t>
            </w:r>
            <w:r>
              <w:rPr>
                <w:color w:val="FF0000"/>
                <w:spacing w:val="10"/>
              </w:rPr>
              <w:t xml:space="preserve"> </w:t>
            </w:r>
            <w:r>
              <w:rPr>
                <w:b/>
                <w:bCs/>
                <w:color w:val="FF0000"/>
                <w:spacing w:val="-11"/>
              </w:rPr>
              <w:t>价</w:t>
            </w:r>
            <w:r>
              <w:rPr>
                <w:color w:val="FF0000"/>
                <w:spacing w:val="10"/>
              </w:rPr>
              <w:t xml:space="preserve"> </w:t>
            </w:r>
            <w:r>
              <w:rPr>
                <w:b/>
                <w:bCs/>
                <w:color w:val="FF0000"/>
                <w:spacing w:val="-11"/>
              </w:rPr>
              <w:t>标</w:t>
            </w:r>
            <w:r>
              <w:rPr>
                <w:color w:val="FF0000"/>
                <w:spacing w:val="10"/>
              </w:rPr>
              <w:t xml:space="preserve"> </w:t>
            </w:r>
            <w:r>
              <w:rPr>
                <w:b/>
                <w:bCs/>
                <w:color w:val="FF0000"/>
                <w:spacing w:val="-11"/>
              </w:rPr>
              <w:t>准</w:t>
            </w:r>
            <w:r>
              <w:rPr>
                <w:color w:val="FF0000"/>
                <w:spacing w:val="21"/>
              </w:rPr>
              <w:t xml:space="preserve"> </w:t>
            </w:r>
            <w:r>
              <w:rPr>
                <w:b/>
                <w:bCs/>
                <w:color w:val="FF0000"/>
                <w:spacing w:val="-11"/>
              </w:rPr>
              <w:t>》</w:t>
            </w:r>
            <w:r>
              <w:rPr>
                <w:color w:val="FF0000"/>
              </w:rPr>
              <w:t xml:space="preserve"> </w:t>
            </w:r>
            <w:r>
              <w:rPr>
                <w:b/>
                <w:bCs/>
                <w:color w:val="FF0000"/>
                <w:spacing w:val="-2"/>
              </w:rPr>
              <w:t>GB/T50500—2024</w:t>
            </w:r>
            <w:r>
              <w:rPr>
                <w:color w:val="FF0000"/>
                <w:spacing w:val="-2"/>
              </w:rPr>
              <w:t xml:space="preserve"> </w:t>
            </w:r>
            <w:r>
              <w:rPr>
                <w:b/>
                <w:bCs/>
                <w:color w:val="FF0000"/>
                <w:spacing w:val="-2"/>
              </w:rPr>
              <w:t>规定，发包人应按合同约定向承包人支付预付款，且不应向承包人收取预付款的利息。合同工程的预付款金额可依据合同约定按合同价款及预付款支付比例计算确定。作为预付款计算</w:t>
            </w:r>
            <w:r>
              <w:rPr>
                <w:b/>
                <w:bCs/>
                <w:color w:val="FF0000"/>
                <w:spacing w:val="8"/>
              </w:rPr>
              <w:t>依据的合同价款应扣除合同总价所包含的暂列金</w:t>
            </w:r>
            <w:r>
              <w:rPr>
                <w:b/>
                <w:bCs/>
                <w:color w:val="FF0000"/>
                <w:spacing w:val="-2"/>
              </w:rPr>
              <w:t>额、计日工价款及专业工程暂估价。对于跨年度实施的重大工程的预付款，可按已获发包人批准的承包人施工组织设计及年度工程进度计划、合同清单的合同价款等，分解形成相应年度计划中应完成工程的合同价款总额，并按合同约定的预付款支付比例逐年预付。承包人应在合同约定时间内将预付款支付申请提交给发包人审核，发包人应在收到支付申请后按合同约定的时间完成审核并向承包人支付</w:t>
            </w:r>
            <w:r>
              <w:rPr>
                <w:b/>
                <w:bCs/>
                <w:color w:val="FF0000"/>
                <w:spacing w:val="-8"/>
              </w:rPr>
              <w:t>预付款。发包人应在工程开工后</w:t>
            </w:r>
            <w:r>
              <w:rPr>
                <w:color w:val="FF0000"/>
                <w:spacing w:val="-32"/>
              </w:rPr>
              <w:t xml:space="preserve"> </w:t>
            </w:r>
            <w:r>
              <w:rPr>
                <w:b/>
                <w:bCs/>
                <w:color w:val="FF0000"/>
                <w:spacing w:val="-8"/>
              </w:rPr>
              <w:t>28</w:t>
            </w:r>
            <w:r>
              <w:rPr>
                <w:color w:val="FF0000"/>
                <w:spacing w:val="-42"/>
              </w:rPr>
              <w:t xml:space="preserve"> </w:t>
            </w:r>
            <w:r>
              <w:rPr>
                <w:b/>
                <w:bCs/>
                <w:color w:val="FF0000"/>
                <w:spacing w:val="-8"/>
              </w:rPr>
              <w:t>天内预付不低于</w:t>
            </w:r>
            <w:r>
              <w:rPr>
                <w:b/>
                <w:bCs/>
                <w:color w:val="FF0000"/>
                <w:spacing w:val="-2"/>
              </w:rPr>
              <w:t>安全生产措施费总额的</w:t>
            </w:r>
            <w:r>
              <w:rPr>
                <w:color w:val="FF0000"/>
                <w:spacing w:val="-2"/>
              </w:rPr>
              <w:t xml:space="preserve"> </w:t>
            </w:r>
            <w:r>
              <w:rPr>
                <w:b/>
                <w:bCs/>
                <w:color w:val="FF0000"/>
                <w:spacing w:val="-2"/>
              </w:rPr>
              <w:t>50%给承包人，其余部分应按照提前安排的原则进行分解，并与工程进度款同期支付。对跨年度实施的重大工程，预付的安全生产措施费总额可按年度工程进度计划分解计算。发承包双方在计算应付工程进度款时，不应扣回预付的安全生产措施费。承包人对安全生产措施费应专款专用，不得挪作他用，并应在财务账目中单独列</w:t>
            </w:r>
            <w:r>
              <w:rPr>
                <w:b/>
                <w:bCs/>
                <w:color w:val="FF0000"/>
                <w:spacing w:val="-9"/>
              </w:rPr>
              <w:t>项备查。</w:t>
            </w:r>
          </w:p>
        </w:tc>
      </w:tr>
    </w:tbl>
    <w:p w14:paraId="1BE8B685">
      <w:pPr>
        <w:spacing w:line="165" w:lineRule="exact"/>
        <w:rPr>
          <w:rFonts w:ascii="Arial"/>
          <w:sz w:val="14"/>
        </w:rPr>
      </w:pPr>
    </w:p>
    <w:p w14:paraId="50AD7D8A">
      <w:pPr>
        <w:spacing w:line="165" w:lineRule="exact"/>
        <w:rPr>
          <w:rFonts w:ascii="Arial" w:hAnsi="Arial" w:eastAsia="Arial" w:cs="Arial"/>
          <w:sz w:val="14"/>
          <w:szCs w:val="14"/>
        </w:rPr>
        <w:sectPr>
          <w:footerReference r:id="rId12"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6973C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779" w:type="dxa"/>
            <w:vAlign w:val="top"/>
          </w:tcPr>
          <w:p w14:paraId="15756C4C">
            <w:pPr>
              <w:pStyle w:val="7"/>
              <w:spacing w:before="33" w:line="211" w:lineRule="auto"/>
              <w:ind w:left="117"/>
            </w:pPr>
            <w:r>
              <w:rPr>
                <w:spacing w:val="-1"/>
              </w:rPr>
              <w:t>延误的工期由承包人承担。</w:t>
            </w:r>
          </w:p>
        </w:tc>
        <w:tc>
          <w:tcPr>
            <w:tcW w:w="5081" w:type="dxa"/>
            <w:vAlign w:val="top"/>
          </w:tcPr>
          <w:p w14:paraId="4A916512">
            <w:pPr>
              <w:rPr>
                <w:rFonts w:ascii="Arial"/>
                <w:sz w:val="21"/>
              </w:rPr>
            </w:pPr>
          </w:p>
        </w:tc>
      </w:tr>
      <w:tr w14:paraId="567201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5" w:hRule="atLeast"/>
        </w:trPr>
        <w:tc>
          <w:tcPr>
            <w:tcW w:w="4779" w:type="dxa"/>
            <w:vAlign w:val="top"/>
          </w:tcPr>
          <w:p w14:paraId="044C6AF4">
            <w:pPr>
              <w:pStyle w:val="7"/>
              <w:spacing w:before="65" w:line="182" w:lineRule="auto"/>
              <w:ind w:left="112"/>
            </w:pPr>
            <w:r>
              <w:rPr>
                <w:b/>
                <w:bCs/>
                <w:color w:val="FF0000"/>
                <w:spacing w:val="-3"/>
              </w:rPr>
              <w:t>P114</w:t>
            </w:r>
          </w:p>
          <w:p w14:paraId="1B21CF79">
            <w:pPr>
              <w:pStyle w:val="7"/>
              <w:spacing w:before="32" w:line="220" w:lineRule="auto"/>
              <w:ind w:left="120"/>
            </w:pPr>
            <w:r>
              <w:rPr>
                <w:b/>
                <w:bCs/>
                <w:spacing w:val="-4"/>
              </w:rPr>
              <w:t>3.2.1</w:t>
            </w:r>
            <w:r>
              <w:rPr>
                <w:spacing w:val="-41"/>
              </w:rPr>
              <w:t xml:space="preserve"> </w:t>
            </w:r>
            <w:r>
              <w:rPr>
                <w:b/>
                <w:bCs/>
                <w:spacing w:val="-4"/>
              </w:rPr>
              <w:t>施工合同管理</w:t>
            </w:r>
          </w:p>
          <w:p w14:paraId="5EF80EB7">
            <w:pPr>
              <w:pStyle w:val="7"/>
              <w:spacing w:before="23" w:line="220" w:lineRule="auto"/>
              <w:ind w:left="120"/>
            </w:pPr>
            <w:r>
              <w:rPr>
                <w:spacing w:val="-2"/>
              </w:rPr>
              <w:t>3）工程计量与支付管理</w:t>
            </w:r>
          </w:p>
          <w:p w14:paraId="41A2D91B">
            <w:pPr>
              <w:pStyle w:val="7"/>
              <w:spacing w:before="23" w:line="220" w:lineRule="auto"/>
              <w:ind w:left="122"/>
            </w:pPr>
            <w:r>
              <w:rPr>
                <w:spacing w:val="-4"/>
              </w:rPr>
              <w:t>（2）预付款</w:t>
            </w:r>
          </w:p>
          <w:p w14:paraId="4076FEA0">
            <w:pPr>
              <w:pStyle w:val="7"/>
              <w:spacing w:before="21" w:line="236" w:lineRule="auto"/>
              <w:ind w:left="114" w:right="101"/>
            </w:pPr>
            <w:r>
              <w:rPr>
                <w:spacing w:val="-3"/>
              </w:rPr>
              <w:t>③预付款的扣回与还清。预付款在进度付款中扣</w:t>
            </w:r>
            <w:r>
              <w:rPr>
                <w:spacing w:val="-4"/>
              </w:rPr>
              <w:t>回，扣回办法在专用合同条款中约定。在颁发工</w:t>
            </w:r>
            <w:r>
              <w:rPr>
                <w:spacing w:val="-3"/>
              </w:rPr>
              <w:t>程接收证书前，由于不可抗力或其他原因解</w:t>
            </w:r>
            <w:r>
              <w:rPr>
                <w:spacing w:val="-4"/>
              </w:rPr>
              <w:t>除合同时，预付款尚未扣清的，尚未扣清的预付款余</w:t>
            </w:r>
            <w:r>
              <w:rPr>
                <w:spacing w:val="-2"/>
              </w:rPr>
              <w:t>额应作为承包人的到期应付款。</w:t>
            </w:r>
          </w:p>
          <w:p w14:paraId="25AF0AB7">
            <w:pPr>
              <w:pStyle w:val="7"/>
              <w:spacing w:before="24"/>
              <w:ind w:left="115" w:right="101" w:firstLine="2"/>
              <w:jc w:val="both"/>
            </w:pPr>
            <w:r>
              <w:rPr>
                <w:spacing w:val="-4"/>
              </w:rPr>
              <w:t>《计价规范》规定，预付款应从每一个支付期应支付给承包人的工程进度款中扣回，直到扣回的金额达到合同约定的预付款金额为止。发包人应</w:t>
            </w:r>
            <w:r>
              <w:rPr>
                <w:spacing w:val="-3"/>
              </w:rPr>
              <w:t>在预付款扣完后的 14 天内将预付款保函退还给</w:t>
            </w:r>
            <w:r>
              <w:rPr>
                <w:spacing w:val="-7"/>
              </w:rPr>
              <w:t>承包人。</w:t>
            </w:r>
          </w:p>
        </w:tc>
        <w:tc>
          <w:tcPr>
            <w:tcW w:w="5081" w:type="dxa"/>
            <w:vAlign w:val="top"/>
          </w:tcPr>
          <w:p w14:paraId="572CE423">
            <w:pPr>
              <w:pStyle w:val="7"/>
              <w:spacing w:before="28" w:line="220" w:lineRule="auto"/>
              <w:ind w:left="104"/>
            </w:pPr>
            <w:r>
              <w:rPr>
                <w:b/>
                <w:bCs/>
                <w:color w:val="FF0000"/>
                <w:spacing w:val="-2"/>
              </w:rPr>
              <w:t>【修改】P116</w:t>
            </w:r>
          </w:p>
          <w:p w14:paraId="42DE3190">
            <w:pPr>
              <w:pStyle w:val="7"/>
              <w:spacing w:before="23" w:line="220" w:lineRule="auto"/>
              <w:ind w:left="118"/>
            </w:pPr>
            <w:r>
              <w:rPr>
                <w:b/>
                <w:bCs/>
                <w:spacing w:val="-4"/>
              </w:rPr>
              <w:t>3.2.1</w:t>
            </w:r>
            <w:r>
              <w:rPr>
                <w:spacing w:val="-41"/>
              </w:rPr>
              <w:t xml:space="preserve"> </w:t>
            </w:r>
            <w:r>
              <w:rPr>
                <w:b/>
                <w:bCs/>
                <w:spacing w:val="-4"/>
              </w:rPr>
              <w:t>施工合同管理</w:t>
            </w:r>
          </w:p>
          <w:p w14:paraId="776A661A">
            <w:pPr>
              <w:pStyle w:val="7"/>
              <w:spacing w:before="23" w:line="220" w:lineRule="auto"/>
              <w:ind w:left="118"/>
            </w:pPr>
            <w:r>
              <w:rPr>
                <w:spacing w:val="-2"/>
              </w:rPr>
              <w:t>3）工程计量与支付管理</w:t>
            </w:r>
          </w:p>
          <w:p w14:paraId="01A12E87">
            <w:pPr>
              <w:pStyle w:val="7"/>
              <w:spacing w:before="23" w:line="220" w:lineRule="auto"/>
              <w:ind w:left="120"/>
            </w:pPr>
            <w:r>
              <w:rPr>
                <w:spacing w:val="-4"/>
              </w:rPr>
              <w:t>（2）预付款</w:t>
            </w:r>
          </w:p>
          <w:p w14:paraId="0F8A7973">
            <w:pPr>
              <w:pStyle w:val="7"/>
              <w:spacing w:before="22" w:line="236" w:lineRule="auto"/>
              <w:ind w:left="113" w:right="47" w:hanging="1"/>
            </w:pPr>
            <w:r>
              <w:rPr>
                <w:spacing w:val="-7"/>
              </w:rPr>
              <w:t>③预付款的扣回与还清。预付款在进度付款中扣回，</w:t>
            </w:r>
            <w:r>
              <w:t>扣回办法在专用合同条款中约定。在颁发工程接收证书前，由于不可抗力或其他原因解除合同时，预付款尚未扣清的，尚未扣清的预付款余额应作为承</w:t>
            </w:r>
            <w:r>
              <w:rPr>
                <w:spacing w:val="-3"/>
              </w:rPr>
              <w:t>包人的到期应付款。</w:t>
            </w:r>
          </w:p>
          <w:p w14:paraId="33DC752F">
            <w:pPr>
              <w:pStyle w:val="7"/>
              <w:spacing w:before="26" w:line="236" w:lineRule="auto"/>
              <w:ind w:left="111" w:right="107" w:firstLine="3"/>
              <w:jc w:val="both"/>
            </w:pPr>
            <w:r>
              <w:rPr>
                <w:b/>
                <w:bCs/>
                <w:color w:val="FF0000"/>
                <w:spacing w:val="-11"/>
              </w:rPr>
              <w:t>《</w:t>
            </w:r>
            <w:r>
              <w:rPr>
                <w:color w:val="FF0000"/>
                <w:spacing w:val="40"/>
              </w:rPr>
              <w:t xml:space="preserve"> </w:t>
            </w:r>
            <w:r>
              <w:rPr>
                <w:b/>
                <w:bCs/>
                <w:color w:val="FF0000"/>
                <w:spacing w:val="-11"/>
              </w:rPr>
              <w:t>建</w:t>
            </w:r>
            <w:r>
              <w:rPr>
                <w:color w:val="FF0000"/>
                <w:spacing w:val="-11"/>
              </w:rPr>
              <w:t xml:space="preserve"> </w:t>
            </w:r>
            <w:r>
              <w:rPr>
                <w:b/>
                <w:bCs/>
                <w:color w:val="FF0000"/>
                <w:spacing w:val="-11"/>
              </w:rPr>
              <w:t>设</w:t>
            </w:r>
            <w:r>
              <w:rPr>
                <w:color w:val="FF0000"/>
                <w:spacing w:val="14"/>
              </w:rPr>
              <w:t xml:space="preserve"> </w:t>
            </w:r>
            <w:r>
              <w:rPr>
                <w:b/>
                <w:bCs/>
                <w:color w:val="FF0000"/>
                <w:spacing w:val="-11"/>
              </w:rPr>
              <w:t>工</w:t>
            </w:r>
            <w:r>
              <w:rPr>
                <w:color w:val="FF0000"/>
                <w:spacing w:val="-11"/>
              </w:rPr>
              <w:t xml:space="preserve"> </w:t>
            </w:r>
            <w:r>
              <w:rPr>
                <w:b/>
                <w:bCs/>
                <w:color w:val="FF0000"/>
                <w:spacing w:val="-11"/>
              </w:rPr>
              <w:t>程</w:t>
            </w:r>
            <w:r>
              <w:rPr>
                <w:color w:val="FF0000"/>
                <w:spacing w:val="12"/>
              </w:rPr>
              <w:t xml:space="preserve"> </w:t>
            </w:r>
            <w:r>
              <w:rPr>
                <w:b/>
                <w:bCs/>
                <w:color w:val="FF0000"/>
                <w:spacing w:val="-11"/>
              </w:rPr>
              <w:t>工</w:t>
            </w:r>
            <w:r>
              <w:rPr>
                <w:color w:val="FF0000"/>
                <w:spacing w:val="8"/>
              </w:rPr>
              <w:t xml:space="preserve"> </w:t>
            </w:r>
            <w:r>
              <w:rPr>
                <w:b/>
                <w:bCs/>
                <w:color w:val="FF0000"/>
                <w:spacing w:val="-11"/>
              </w:rPr>
              <w:t>程</w:t>
            </w:r>
            <w:r>
              <w:rPr>
                <w:color w:val="FF0000"/>
                <w:spacing w:val="8"/>
              </w:rPr>
              <w:t xml:space="preserve"> </w:t>
            </w:r>
            <w:r>
              <w:rPr>
                <w:b/>
                <w:bCs/>
                <w:color w:val="FF0000"/>
                <w:spacing w:val="-11"/>
              </w:rPr>
              <w:t>量</w:t>
            </w:r>
            <w:r>
              <w:rPr>
                <w:color w:val="FF0000"/>
                <w:spacing w:val="9"/>
              </w:rPr>
              <w:t xml:space="preserve"> </w:t>
            </w:r>
            <w:r>
              <w:rPr>
                <w:b/>
                <w:bCs/>
                <w:color w:val="FF0000"/>
                <w:spacing w:val="-11"/>
              </w:rPr>
              <w:t>清</w:t>
            </w:r>
            <w:r>
              <w:rPr>
                <w:color w:val="FF0000"/>
                <w:spacing w:val="11"/>
              </w:rPr>
              <w:t xml:space="preserve"> </w:t>
            </w:r>
            <w:r>
              <w:rPr>
                <w:b/>
                <w:bCs/>
                <w:color w:val="FF0000"/>
                <w:spacing w:val="-11"/>
              </w:rPr>
              <w:t>单</w:t>
            </w:r>
            <w:r>
              <w:rPr>
                <w:color w:val="FF0000"/>
                <w:spacing w:val="11"/>
              </w:rPr>
              <w:t xml:space="preserve"> </w:t>
            </w:r>
            <w:r>
              <w:rPr>
                <w:b/>
                <w:bCs/>
                <w:color w:val="FF0000"/>
                <w:spacing w:val="-11"/>
              </w:rPr>
              <w:t>计</w:t>
            </w:r>
            <w:r>
              <w:rPr>
                <w:color w:val="FF0000"/>
                <w:spacing w:val="10"/>
              </w:rPr>
              <w:t xml:space="preserve"> </w:t>
            </w:r>
            <w:r>
              <w:rPr>
                <w:b/>
                <w:bCs/>
                <w:color w:val="FF0000"/>
                <w:spacing w:val="-11"/>
              </w:rPr>
              <w:t>价</w:t>
            </w:r>
            <w:r>
              <w:rPr>
                <w:color w:val="FF0000"/>
                <w:spacing w:val="9"/>
              </w:rPr>
              <w:t xml:space="preserve"> </w:t>
            </w:r>
            <w:r>
              <w:rPr>
                <w:b/>
                <w:bCs/>
                <w:color w:val="FF0000"/>
                <w:spacing w:val="-11"/>
              </w:rPr>
              <w:t>标</w:t>
            </w:r>
            <w:r>
              <w:rPr>
                <w:color w:val="FF0000"/>
                <w:spacing w:val="11"/>
              </w:rPr>
              <w:t xml:space="preserve"> </w:t>
            </w:r>
            <w:r>
              <w:rPr>
                <w:b/>
                <w:bCs/>
                <w:color w:val="FF0000"/>
                <w:spacing w:val="-11"/>
              </w:rPr>
              <w:t>准</w:t>
            </w:r>
            <w:r>
              <w:rPr>
                <w:color w:val="FF0000"/>
                <w:spacing w:val="21"/>
              </w:rPr>
              <w:t xml:space="preserve"> </w:t>
            </w:r>
            <w:r>
              <w:rPr>
                <w:b/>
                <w:bCs/>
                <w:color w:val="FF0000"/>
                <w:spacing w:val="-11"/>
              </w:rPr>
              <w:t>》</w:t>
            </w:r>
            <w:r>
              <w:rPr>
                <w:color w:val="FF0000"/>
              </w:rPr>
              <w:t xml:space="preserve"> </w:t>
            </w:r>
            <w:r>
              <w:rPr>
                <w:b/>
                <w:bCs/>
                <w:color w:val="FF0000"/>
                <w:spacing w:val="-2"/>
              </w:rPr>
              <w:t>GB/T50500—2024</w:t>
            </w:r>
            <w:r>
              <w:rPr>
                <w:color w:val="FF0000"/>
                <w:spacing w:val="-2"/>
              </w:rPr>
              <w:t xml:space="preserve"> </w:t>
            </w:r>
            <w:r>
              <w:rPr>
                <w:b/>
                <w:bCs/>
                <w:color w:val="FF0000"/>
                <w:spacing w:val="-2"/>
              </w:rPr>
              <w:t>规定，预付款应按合同约定在履行过程中扣回，合同没约定或约定不明的，可选择当累计完成工程总值达到合同总价的一定比例后一次扣回或分次扣回的方式。选择分次扣回方式的，预付款可从每一个支付期应支付给承包人的工程进</w:t>
            </w:r>
            <w:r>
              <w:rPr>
                <w:b/>
                <w:bCs/>
                <w:color w:val="FF0000"/>
                <w:spacing w:val="-3"/>
              </w:rPr>
              <w:t>度款或施工过程结算款中按比例扣回，直到扣回的</w:t>
            </w:r>
            <w:r>
              <w:rPr>
                <w:b/>
                <w:bCs/>
                <w:color w:val="FF0000"/>
                <w:spacing w:val="-2"/>
              </w:rPr>
              <w:t>金额达到合同约定的预付款金额为止。提前解除合同的，尚未扣回的预付款应在合同终止结算时全部</w:t>
            </w:r>
            <w:r>
              <w:rPr>
                <w:b/>
                <w:bCs/>
                <w:color w:val="FF0000"/>
                <w:spacing w:val="-11"/>
              </w:rPr>
              <w:t>扣回。</w:t>
            </w:r>
          </w:p>
        </w:tc>
      </w:tr>
      <w:tr w14:paraId="73103B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8" w:hRule="atLeast"/>
        </w:trPr>
        <w:tc>
          <w:tcPr>
            <w:tcW w:w="4779" w:type="dxa"/>
            <w:vAlign w:val="top"/>
          </w:tcPr>
          <w:p w14:paraId="7576282A">
            <w:pPr>
              <w:pStyle w:val="7"/>
              <w:spacing w:before="30" w:line="220" w:lineRule="auto"/>
              <w:ind w:left="106"/>
            </w:pPr>
            <w:r>
              <w:rPr>
                <w:b/>
                <w:bCs/>
                <w:color w:val="FF0000"/>
                <w:spacing w:val="-2"/>
              </w:rPr>
              <w:t>【删除】P115</w:t>
            </w:r>
          </w:p>
          <w:p w14:paraId="0FE1BA52">
            <w:pPr>
              <w:pStyle w:val="7"/>
              <w:spacing w:before="23" w:line="220" w:lineRule="auto"/>
              <w:ind w:left="120"/>
            </w:pPr>
            <w:r>
              <w:rPr>
                <w:b/>
                <w:bCs/>
                <w:spacing w:val="-4"/>
              </w:rPr>
              <w:t>3.2.1</w:t>
            </w:r>
            <w:r>
              <w:rPr>
                <w:spacing w:val="-41"/>
              </w:rPr>
              <w:t xml:space="preserve"> </w:t>
            </w:r>
            <w:r>
              <w:rPr>
                <w:b/>
                <w:bCs/>
                <w:spacing w:val="-4"/>
              </w:rPr>
              <w:t>施工合同管理</w:t>
            </w:r>
          </w:p>
          <w:p w14:paraId="30ED4856">
            <w:pPr>
              <w:pStyle w:val="7"/>
              <w:spacing w:before="23" w:line="220" w:lineRule="auto"/>
              <w:ind w:left="120"/>
            </w:pPr>
            <w:r>
              <w:rPr>
                <w:spacing w:val="-2"/>
              </w:rPr>
              <w:t>3）工程计量与支付管理</w:t>
            </w:r>
          </w:p>
          <w:p w14:paraId="63BE5424">
            <w:pPr>
              <w:pStyle w:val="7"/>
              <w:spacing w:before="23" w:line="220" w:lineRule="auto"/>
              <w:ind w:left="122"/>
            </w:pPr>
            <w:r>
              <w:rPr>
                <w:b/>
                <w:bCs/>
                <w:spacing w:val="-5"/>
              </w:rPr>
              <w:t>（3）工程进度付款</w:t>
            </w:r>
          </w:p>
          <w:p w14:paraId="77AAFA18">
            <w:pPr>
              <w:pStyle w:val="7"/>
              <w:spacing w:before="29" w:line="239" w:lineRule="auto"/>
              <w:ind w:left="115" w:right="61" w:firstLine="2"/>
              <w:jc w:val="both"/>
            </w:pPr>
            <w:r>
              <w:rPr>
                <w:b/>
                <w:bCs/>
                <w:color w:val="FF0000"/>
                <w:spacing w:val="-4"/>
              </w:rPr>
              <w:t>《计价规范》强调应按照合同约定支付进度款。</w:t>
            </w:r>
            <w:r>
              <w:rPr>
                <w:b/>
                <w:bCs/>
                <w:color w:val="FF0000"/>
                <w:spacing w:val="-6"/>
              </w:rPr>
              <w:t>工程进度款的支付应按期中结算价款总额计，不低于</w:t>
            </w:r>
            <w:r>
              <w:rPr>
                <w:color w:val="FF0000"/>
                <w:spacing w:val="-44"/>
              </w:rPr>
              <w:t xml:space="preserve"> </w:t>
            </w:r>
            <w:r>
              <w:rPr>
                <w:b/>
                <w:bCs/>
                <w:color w:val="FF0000"/>
                <w:spacing w:val="-6"/>
              </w:rPr>
              <w:t>60%,不高于</w:t>
            </w:r>
            <w:r>
              <w:rPr>
                <w:color w:val="FF0000"/>
                <w:spacing w:val="-46"/>
              </w:rPr>
              <w:t xml:space="preserve"> </w:t>
            </w:r>
            <w:r>
              <w:rPr>
                <w:b/>
                <w:bCs/>
                <w:color w:val="FF0000"/>
                <w:spacing w:val="-6"/>
              </w:rPr>
              <w:t>90%。发包人提供的甲供材料金额，应按照发包人签约提供的单价和数量从进度款支付中扣出，列入本期应扣减的金额中。承包</w:t>
            </w:r>
            <w:r>
              <w:rPr>
                <w:b/>
                <w:bCs/>
                <w:color w:val="FF0000"/>
                <w:spacing w:val="5"/>
              </w:rPr>
              <w:t>人现场签证和得到发包人确认的索赔金额列入</w:t>
            </w:r>
            <w:r>
              <w:rPr>
                <w:b/>
                <w:bCs/>
                <w:color w:val="FF0000"/>
                <w:spacing w:val="-6"/>
              </w:rPr>
              <w:t>本周期应增加的金额中。对于发包人未按照《计</w:t>
            </w:r>
            <w:r>
              <w:rPr>
                <w:b/>
                <w:bCs/>
                <w:color w:val="FF0000"/>
                <w:spacing w:val="-9"/>
              </w:rPr>
              <w:t>价规范》支付进度款的，</w:t>
            </w:r>
            <w:r>
              <w:rPr>
                <w:color w:val="FF0000"/>
                <w:spacing w:val="-39"/>
              </w:rPr>
              <w:t xml:space="preserve"> </w:t>
            </w:r>
            <w:r>
              <w:rPr>
                <w:b/>
                <w:bCs/>
                <w:color w:val="FF0000"/>
                <w:spacing w:val="-9"/>
              </w:rPr>
              <w:t>承包人可催告发包人支</w:t>
            </w:r>
            <w:r>
              <w:rPr>
                <w:b/>
                <w:bCs/>
                <w:color w:val="FF0000"/>
                <w:spacing w:val="-6"/>
              </w:rPr>
              <w:t>付，并有权获得延迟支付的利息；发包人在付款</w:t>
            </w:r>
            <w:r>
              <w:rPr>
                <w:b/>
                <w:bCs/>
                <w:color w:val="FF0000"/>
                <w:spacing w:val="-7"/>
              </w:rPr>
              <w:t>期满后的</w:t>
            </w:r>
            <w:r>
              <w:rPr>
                <w:color w:val="FF0000"/>
                <w:spacing w:val="-36"/>
              </w:rPr>
              <w:t xml:space="preserve"> </w:t>
            </w:r>
            <w:r>
              <w:rPr>
                <w:b/>
                <w:bCs/>
                <w:color w:val="FF0000"/>
                <w:spacing w:val="-7"/>
              </w:rPr>
              <w:t>7</w:t>
            </w:r>
            <w:r>
              <w:rPr>
                <w:color w:val="FF0000"/>
                <w:spacing w:val="-42"/>
              </w:rPr>
              <w:t xml:space="preserve"> </w:t>
            </w:r>
            <w:r>
              <w:rPr>
                <w:b/>
                <w:bCs/>
                <w:color w:val="FF0000"/>
                <w:spacing w:val="-7"/>
              </w:rPr>
              <w:t>天内仍未支付的，承包人可在付款期满后的第</w:t>
            </w:r>
            <w:r>
              <w:rPr>
                <w:color w:val="FF0000"/>
                <w:spacing w:val="-36"/>
              </w:rPr>
              <w:t xml:space="preserve"> </w:t>
            </w:r>
            <w:r>
              <w:rPr>
                <w:b/>
                <w:bCs/>
                <w:color w:val="FF0000"/>
                <w:spacing w:val="-7"/>
              </w:rPr>
              <w:t>8</w:t>
            </w:r>
            <w:r>
              <w:rPr>
                <w:color w:val="FF0000"/>
                <w:spacing w:val="-42"/>
              </w:rPr>
              <w:t xml:space="preserve"> </w:t>
            </w:r>
            <w:r>
              <w:rPr>
                <w:b/>
                <w:bCs/>
                <w:color w:val="FF0000"/>
                <w:spacing w:val="-7"/>
              </w:rPr>
              <w:t>天起暂停施工。发包人应承担由此增</w:t>
            </w:r>
            <w:r>
              <w:rPr>
                <w:b/>
                <w:bCs/>
                <w:color w:val="FF0000"/>
                <w:spacing w:val="-6"/>
              </w:rPr>
              <w:t>加的费用和(或)延误的工期，向承包人支付合理</w:t>
            </w:r>
            <w:r>
              <w:rPr>
                <w:b/>
                <w:bCs/>
                <w:color w:val="FF0000"/>
                <w:spacing w:val="-5"/>
              </w:rPr>
              <w:t>利润，并承担违约责任。</w:t>
            </w:r>
          </w:p>
          <w:p w14:paraId="11DBCBDF">
            <w:pPr>
              <w:pStyle w:val="7"/>
              <w:spacing w:before="5" w:line="237" w:lineRule="auto"/>
              <w:ind w:left="116" w:right="76" w:firstLine="1"/>
              <w:jc w:val="both"/>
            </w:pPr>
            <w:r>
              <w:rPr>
                <w:spacing w:val="7"/>
              </w:rPr>
              <w:t>《财政部住房城乡建设部关于完善建设工程价</w:t>
            </w:r>
            <w:r>
              <w:rPr>
                <w:spacing w:val="-1"/>
              </w:rPr>
              <w:t>款结算有关办法的通知》(财建〔2022〕183</w:t>
            </w:r>
            <w:r>
              <w:rPr>
                <w:spacing w:val="-39"/>
              </w:rPr>
              <w:t xml:space="preserve"> </w:t>
            </w:r>
            <w:r>
              <w:rPr>
                <w:spacing w:val="-1"/>
              </w:rPr>
              <w:t>号)</w:t>
            </w:r>
            <w:r>
              <w:rPr>
                <w:spacing w:val="-5"/>
              </w:rPr>
              <w:t>规定，自</w:t>
            </w:r>
            <w:r>
              <w:rPr>
                <w:spacing w:val="-36"/>
              </w:rPr>
              <w:t xml:space="preserve"> </w:t>
            </w:r>
            <w:r>
              <w:rPr>
                <w:spacing w:val="-5"/>
              </w:rPr>
              <w:t>2022</w:t>
            </w:r>
            <w:r>
              <w:rPr>
                <w:spacing w:val="-39"/>
              </w:rPr>
              <w:t xml:space="preserve"> </w:t>
            </w:r>
            <w:r>
              <w:rPr>
                <w:spacing w:val="-5"/>
              </w:rPr>
              <w:t>年</w:t>
            </w:r>
            <w:r>
              <w:rPr>
                <w:spacing w:val="-39"/>
              </w:rPr>
              <w:t xml:space="preserve"> </w:t>
            </w:r>
            <w:r>
              <w:rPr>
                <w:spacing w:val="-5"/>
              </w:rPr>
              <w:t>8</w:t>
            </w:r>
            <w:r>
              <w:rPr>
                <w:spacing w:val="-33"/>
              </w:rPr>
              <w:t xml:space="preserve"> </w:t>
            </w:r>
            <w:r>
              <w:rPr>
                <w:spacing w:val="-5"/>
              </w:rPr>
              <w:t>月</w:t>
            </w:r>
            <w:r>
              <w:rPr>
                <w:spacing w:val="-23"/>
              </w:rPr>
              <w:t xml:space="preserve"> </w:t>
            </w:r>
            <w:r>
              <w:rPr>
                <w:spacing w:val="-5"/>
              </w:rPr>
              <w:t>1 日起签订的工程合同，</w:t>
            </w:r>
            <w:r>
              <w:rPr>
                <w:spacing w:val="-4"/>
              </w:rPr>
              <w:t>提高建设工程进度款支付比例。政府机关、事业单位、国有企业建设工程进度款支付应不低于已</w:t>
            </w:r>
            <w:r>
              <w:rPr>
                <w:spacing w:val="1"/>
              </w:rPr>
              <w:t>完成工程价款的 80%;同时，在确保不超出工程</w:t>
            </w:r>
            <w:r>
              <w:rPr>
                <w:spacing w:val="7"/>
              </w:rPr>
              <w:t>总概(预)算以及工程决(结)算工作顺利开展的</w:t>
            </w:r>
            <w:r>
              <w:rPr>
                <w:spacing w:val="-4"/>
              </w:rPr>
              <w:t>前提下，除按合同约定保留不超过工程价款总额</w:t>
            </w:r>
            <w:r>
              <w:rPr>
                <w:spacing w:val="-3"/>
              </w:rPr>
              <w:t>3%的质量保证金外，进度款支付比例可由发承包</w:t>
            </w:r>
            <w:r>
              <w:rPr>
                <w:spacing w:val="7"/>
              </w:rPr>
              <w:t>双方根据项目实际情况自行确定。在结算过程</w:t>
            </w:r>
            <w:r>
              <w:rPr>
                <w:spacing w:val="-4"/>
              </w:rPr>
              <w:t>中，若发生进度款支付超出实际已完成工程价款</w:t>
            </w:r>
            <w:r>
              <w:rPr>
                <w:spacing w:val="-3"/>
              </w:rPr>
              <w:t>的情况，承包单位应按规定在结算后 30 日内向</w:t>
            </w:r>
            <w:r>
              <w:rPr>
                <w:spacing w:val="-2"/>
              </w:rPr>
              <w:t>发包单位返还多收到的工程进度款。当年开工、</w:t>
            </w:r>
          </w:p>
        </w:tc>
        <w:tc>
          <w:tcPr>
            <w:tcW w:w="5081" w:type="dxa"/>
            <w:vAlign w:val="top"/>
          </w:tcPr>
          <w:p w14:paraId="1BFC3795">
            <w:pPr>
              <w:pStyle w:val="7"/>
              <w:spacing w:before="67" w:line="182" w:lineRule="auto"/>
              <w:ind w:left="110"/>
            </w:pPr>
            <w:r>
              <w:rPr>
                <w:b/>
                <w:bCs/>
                <w:color w:val="FF0000"/>
                <w:spacing w:val="-3"/>
              </w:rPr>
              <w:t>P117</w:t>
            </w:r>
          </w:p>
          <w:p w14:paraId="67CD89B0">
            <w:pPr>
              <w:pStyle w:val="7"/>
              <w:spacing w:before="32" w:line="220" w:lineRule="auto"/>
              <w:ind w:left="118"/>
            </w:pPr>
            <w:r>
              <w:rPr>
                <w:b/>
                <w:bCs/>
                <w:spacing w:val="-4"/>
              </w:rPr>
              <w:t>3.2.1</w:t>
            </w:r>
            <w:r>
              <w:rPr>
                <w:spacing w:val="-41"/>
              </w:rPr>
              <w:t xml:space="preserve"> </w:t>
            </w:r>
            <w:r>
              <w:rPr>
                <w:b/>
                <w:bCs/>
                <w:spacing w:val="-4"/>
              </w:rPr>
              <w:t>施工合同管理</w:t>
            </w:r>
          </w:p>
          <w:p w14:paraId="44FC9BD0">
            <w:pPr>
              <w:pStyle w:val="7"/>
              <w:spacing w:before="23" w:line="220" w:lineRule="auto"/>
              <w:ind w:left="118"/>
            </w:pPr>
            <w:r>
              <w:rPr>
                <w:spacing w:val="-2"/>
              </w:rPr>
              <w:t>3）工程计量与支付管理</w:t>
            </w:r>
          </w:p>
          <w:p w14:paraId="2BBF54CE">
            <w:pPr>
              <w:pStyle w:val="7"/>
              <w:spacing w:before="23" w:line="220" w:lineRule="auto"/>
              <w:ind w:left="120"/>
            </w:pPr>
            <w:r>
              <w:rPr>
                <w:b/>
                <w:bCs/>
                <w:spacing w:val="-5"/>
              </w:rPr>
              <w:t>（3）工程进度付款</w:t>
            </w:r>
          </w:p>
          <w:p w14:paraId="785D0922">
            <w:pPr>
              <w:pStyle w:val="7"/>
              <w:spacing w:before="16"/>
              <w:ind w:left="113" w:right="28" w:firstLine="2"/>
              <w:jc w:val="both"/>
            </w:pPr>
            <w:r>
              <w:t>《财政部住房城乡建设部关于完善建设工程价款结</w:t>
            </w:r>
            <w:r>
              <w:rPr>
                <w:spacing w:val="-1"/>
              </w:rPr>
              <w:t>算有关办法的通知》</w:t>
            </w:r>
            <w:r>
              <w:rPr>
                <w:spacing w:val="-62"/>
              </w:rPr>
              <w:t xml:space="preserve"> </w:t>
            </w:r>
            <w:r>
              <w:rPr>
                <w:spacing w:val="-1"/>
              </w:rPr>
              <w:t>(财建〔2022〕1</w:t>
            </w:r>
            <w:r>
              <w:rPr>
                <w:spacing w:val="-2"/>
              </w:rPr>
              <w:t>83 号)规定，</w:t>
            </w:r>
            <w:r>
              <w:rPr>
                <w:spacing w:val="-6"/>
              </w:rPr>
              <w:t>自</w:t>
            </w:r>
            <w:r>
              <w:rPr>
                <w:spacing w:val="-43"/>
              </w:rPr>
              <w:t xml:space="preserve"> </w:t>
            </w:r>
            <w:r>
              <w:rPr>
                <w:spacing w:val="-6"/>
              </w:rPr>
              <w:t>2022</w:t>
            </w:r>
            <w:r>
              <w:rPr>
                <w:spacing w:val="-47"/>
              </w:rPr>
              <w:t xml:space="preserve"> </w:t>
            </w:r>
            <w:r>
              <w:rPr>
                <w:spacing w:val="-6"/>
              </w:rPr>
              <w:t>年8</w:t>
            </w:r>
            <w:r>
              <w:rPr>
                <w:spacing w:val="-41"/>
              </w:rPr>
              <w:t xml:space="preserve"> </w:t>
            </w:r>
            <w:r>
              <w:rPr>
                <w:spacing w:val="-6"/>
              </w:rPr>
              <w:t>月</w:t>
            </w:r>
            <w:r>
              <w:rPr>
                <w:spacing w:val="-30"/>
              </w:rPr>
              <w:t xml:space="preserve"> </w:t>
            </w:r>
            <w:r>
              <w:rPr>
                <w:spacing w:val="-6"/>
              </w:rPr>
              <w:t>1 日起签订的工程合同，提高</w:t>
            </w:r>
            <w:r>
              <w:rPr>
                <w:spacing w:val="-7"/>
              </w:rPr>
              <w:t>建设工</w:t>
            </w:r>
            <w:r>
              <w:t>程进度款支付比例。政府机关、事业单位、国有企业建设工程进度款支付应不低于已完成工程价款的80%;同时，在确保不超出工程总概(预)算以及工程决(结)算工作顺利开展的前提下，除按合同约定保</w:t>
            </w:r>
            <w:r>
              <w:rPr>
                <w:spacing w:val="-3"/>
              </w:rPr>
              <w:t>留不超过工程价款总额</w:t>
            </w:r>
            <w:r>
              <w:rPr>
                <w:spacing w:val="-27"/>
              </w:rPr>
              <w:t xml:space="preserve"> </w:t>
            </w:r>
            <w:r>
              <w:rPr>
                <w:spacing w:val="-3"/>
              </w:rPr>
              <w:t>3%的质量保证金外，进度款</w:t>
            </w:r>
            <w:r>
              <w:t>支付比例可由发承包双方根据项目实际情况自行确定。在结算过程中，若发生进度款支付超出实际已完成工程价款的情况，承包单位应按规定在结算后</w:t>
            </w:r>
            <w:r>
              <w:rPr>
                <w:spacing w:val="-4"/>
              </w:rPr>
              <w:t>30 日内向发包单位返还多收到的工程进度款。当年</w:t>
            </w:r>
            <w:r>
              <w:t>开工、当年不能竣工的新开工项目可以推行过程结算。发承包双方通过合同约定，将施工过程按时间或进度节点划分施工周期，对周期内已完成且无争</w:t>
            </w:r>
            <w:r>
              <w:rPr>
                <w:spacing w:val="-6"/>
              </w:rPr>
              <w:t>议的工程量(含变更、签证、索赔等)进行价款计算、</w:t>
            </w:r>
            <w:r>
              <w:t>确认和支付，支付金额不得超出已完工部分对应的批复概(预)算。经双方确认的过程结算文件作为竣工结算文件的组成部分，竣工后原则上不再重复审</w:t>
            </w:r>
            <w:r>
              <w:rPr>
                <w:spacing w:val="-10"/>
              </w:rPr>
              <w:t>核。</w:t>
            </w:r>
          </w:p>
        </w:tc>
      </w:tr>
    </w:tbl>
    <w:p w14:paraId="71D6748B">
      <w:pPr>
        <w:spacing w:line="165" w:lineRule="exact"/>
        <w:rPr>
          <w:rFonts w:ascii="Arial"/>
          <w:sz w:val="14"/>
        </w:rPr>
      </w:pPr>
    </w:p>
    <w:p w14:paraId="36CDBE72">
      <w:pPr>
        <w:spacing w:line="165" w:lineRule="exact"/>
        <w:rPr>
          <w:rFonts w:ascii="Arial" w:hAnsi="Arial" w:eastAsia="Arial" w:cs="Arial"/>
          <w:sz w:val="14"/>
          <w:szCs w:val="14"/>
        </w:rPr>
        <w:sectPr>
          <w:footerReference r:id="rId13"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4CCA90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1" w:hRule="atLeast"/>
        </w:trPr>
        <w:tc>
          <w:tcPr>
            <w:tcW w:w="4779" w:type="dxa"/>
            <w:vAlign w:val="top"/>
          </w:tcPr>
          <w:p w14:paraId="33FA565C">
            <w:pPr>
              <w:pStyle w:val="7"/>
              <w:spacing w:before="31" w:line="236" w:lineRule="auto"/>
              <w:ind w:left="114" w:right="76" w:firstLine="15"/>
              <w:jc w:val="both"/>
            </w:pPr>
            <w:r>
              <w:rPr>
                <w:spacing w:val="-3"/>
              </w:rPr>
              <w:t>当年不能竣工的新开工项目可以推行过程结算。</w:t>
            </w:r>
            <w:r>
              <w:rPr>
                <w:spacing w:val="-4"/>
              </w:rPr>
              <w:t>发承包双方通过合同约定，将施工过程按时间或</w:t>
            </w:r>
            <w:r>
              <w:rPr>
                <w:spacing w:val="-3"/>
              </w:rPr>
              <w:t>进度节点划分施工周期，对周期内已完成且无争议的工程量(含变更、签证、索赔等)进行价款计算、确认和支付，支付金额不得超出已完工部分对应的批复概(预)算。经双方确认的过程结算文</w:t>
            </w:r>
            <w:r>
              <w:rPr>
                <w:spacing w:val="-4"/>
              </w:rPr>
              <w:t>件作为竣工结算文件的组成部分，竣工后原则上不再重复审核。</w:t>
            </w:r>
          </w:p>
        </w:tc>
        <w:tc>
          <w:tcPr>
            <w:tcW w:w="5081" w:type="dxa"/>
            <w:vAlign w:val="top"/>
          </w:tcPr>
          <w:p w14:paraId="1C4A4EA8">
            <w:pPr>
              <w:rPr>
                <w:rFonts w:ascii="Arial"/>
                <w:sz w:val="21"/>
              </w:rPr>
            </w:pPr>
          </w:p>
        </w:tc>
      </w:tr>
      <w:tr w14:paraId="5DE4DD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7" w:hRule="atLeast"/>
        </w:trPr>
        <w:tc>
          <w:tcPr>
            <w:tcW w:w="4779" w:type="dxa"/>
            <w:vAlign w:val="top"/>
          </w:tcPr>
          <w:p w14:paraId="19CF787C">
            <w:pPr>
              <w:pStyle w:val="7"/>
              <w:spacing w:before="68" w:line="182" w:lineRule="auto"/>
              <w:ind w:left="112"/>
            </w:pPr>
            <w:r>
              <w:rPr>
                <w:b/>
                <w:bCs/>
                <w:color w:val="FF0000"/>
                <w:spacing w:val="-3"/>
              </w:rPr>
              <w:t>P118</w:t>
            </w:r>
          </w:p>
          <w:p w14:paraId="673C0AF5">
            <w:pPr>
              <w:pStyle w:val="7"/>
              <w:spacing w:before="32" w:line="220" w:lineRule="auto"/>
              <w:ind w:left="120"/>
            </w:pPr>
            <w:r>
              <w:rPr>
                <w:b/>
                <w:bCs/>
                <w:spacing w:val="-4"/>
              </w:rPr>
              <w:t>3.2.1</w:t>
            </w:r>
            <w:r>
              <w:rPr>
                <w:spacing w:val="-41"/>
              </w:rPr>
              <w:t xml:space="preserve"> </w:t>
            </w:r>
            <w:r>
              <w:rPr>
                <w:b/>
                <w:bCs/>
                <w:spacing w:val="-4"/>
              </w:rPr>
              <w:t>施工合同管理</w:t>
            </w:r>
          </w:p>
          <w:p w14:paraId="15312FA5">
            <w:pPr>
              <w:pStyle w:val="7"/>
              <w:spacing w:before="21" w:line="220" w:lineRule="auto"/>
              <w:ind w:left="120"/>
            </w:pPr>
            <w:r>
              <w:rPr>
                <w:b/>
                <w:bCs/>
                <w:spacing w:val="-5"/>
              </w:rPr>
              <w:t>5）变更管理</w:t>
            </w:r>
          </w:p>
          <w:p w14:paraId="348BA7A1">
            <w:pPr>
              <w:pStyle w:val="7"/>
              <w:spacing w:before="22" w:line="219" w:lineRule="auto"/>
              <w:ind w:left="122"/>
            </w:pPr>
            <w:r>
              <w:rPr>
                <w:b/>
                <w:bCs/>
                <w:spacing w:val="-5"/>
              </w:rPr>
              <w:t>（3）变更估价</w:t>
            </w:r>
          </w:p>
          <w:p w14:paraId="5816F031">
            <w:pPr>
              <w:pStyle w:val="7"/>
              <w:spacing w:before="27" w:line="239" w:lineRule="auto"/>
              <w:ind w:left="115" w:right="100" w:firstLine="2"/>
            </w:pPr>
            <w:r>
              <w:rPr>
                <w:spacing w:val="-4"/>
              </w:rPr>
              <w:t>《计价规范》针对上述情形①还规定，当工程变</w:t>
            </w:r>
            <w:r>
              <w:rPr>
                <w:spacing w:val="-2"/>
              </w:rPr>
              <w:t>更导致清单项目的工程量偏差超过</w:t>
            </w:r>
            <w:r>
              <w:rPr>
                <w:spacing w:val="-22"/>
              </w:rPr>
              <w:t xml:space="preserve"> </w:t>
            </w:r>
            <w:r>
              <w:rPr>
                <w:spacing w:val="-2"/>
              </w:rPr>
              <w:t>15%时，可调整综合单价，调整的原则为：当工程量增加</w:t>
            </w:r>
            <w:r>
              <w:rPr>
                <w:spacing w:val="-19"/>
              </w:rPr>
              <w:t xml:space="preserve"> </w:t>
            </w:r>
            <w:r>
              <w:rPr>
                <w:spacing w:val="-2"/>
              </w:rPr>
              <w:t>15%</w:t>
            </w:r>
            <w:r>
              <w:rPr>
                <w:spacing w:val="7"/>
              </w:rPr>
              <w:t>以上时，增加部分的工程量的综合单价应予调</w:t>
            </w:r>
            <w:r>
              <w:rPr>
                <w:spacing w:val="-2"/>
              </w:rPr>
              <w:t>低；当工程量减少</w:t>
            </w:r>
            <w:r>
              <w:rPr>
                <w:spacing w:val="-20"/>
              </w:rPr>
              <w:t xml:space="preserve"> </w:t>
            </w:r>
            <w:r>
              <w:rPr>
                <w:spacing w:val="-2"/>
              </w:rPr>
              <w:t>15%以上时，减少后剩余部分的工程量综合单价应予调高。</w:t>
            </w:r>
          </w:p>
          <w:p w14:paraId="7A40B0CE">
            <w:pPr>
              <w:pStyle w:val="7"/>
              <w:spacing w:before="4" w:line="239" w:lineRule="auto"/>
              <w:ind w:left="115" w:right="102" w:firstLine="2"/>
            </w:pPr>
            <w:r>
              <w:rPr>
                <w:spacing w:val="-4"/>
              </w:rPr>
              <w:t>《计价规范》针对上述情形③规定，由承包人根据变更工程资料、计量规则和计价办法、工程造</w:t>
            </w:r>
            <w:r>
              <w:rPr>
                <w:spacing w:val="7"/>
              </w:rPr>
              <w:t>价管理机构发布的信息价格和承包人报价浮动</w:t>
            </w:r>
            <w:r>
              <w:rPr>
                <w:spacing w:val="-4"/>
              </w:rPr>
              <w:t>率提出变更工程项目的单价，报发包人确认后调</w:t>
            </w:r>
            <w:r>
              <w:rPr>
                <w:spacing w:val="-1"/>
              </w:rPr>
              <w:t>整。承包人报价浮动率可按下列公式计算：</w:t>
            </w:r>
          </w:p>
          <w:p w14:paraId="011783D3">
            <w:pPr>
              <w:pStyle w:val="7"/>
              <w:spacing w:before="2" w:line="239" w:lineRule="auto"/>
              <w:ind w:left="117" w:right="102"/>
            </w:pPr>
            <w:r>
              <w:rPr>
                <w:spacing w:val="1"/>
              </w:rPr>
              <w:t>招标工程：承包人报价浮动率 L=(1-中标价/招</w:t>
            </w:r>
            <w:r>
              <w:rPr>
                <w:spacing w:val="-1"/>
              </w:rPr>
              <w:t>标控制价)×100%</w:t>
            </w:r>
          </w:p>
          <w:p w14:paraId="200B5D1F">
            <w:pPr>
              <w:pStyle w:val="7"/>
              <w:spacing w:before="1" w:line="238" w:lineRule="auto"/>
              <w:ind w:left="115" w:right="102" w:firstLine="4"/>
            </w:pPr>
            <w:r>
              <w:rPr>
                <w:spacing w:val="1"/>
              </w:rPr>
              <w:t>非招标工程：承包人报价浮动率 L=(1-报价值/</w:t>
            </w:r>
            <w:r>
              <w:rPr>
                <w:spacing w:val="-1"/>
              </w:rPr>
              <w:t>施工图预算)×100%</w:t>
            </w:r>
          </w:p>
          <w:p w14:paraId="01C23760">
            <w:pPr>
              <w:pStyle w:val="7"/>
              <w:spacing w:before="2" w:line="239" w:lineRule="auto"/>
              <w:ind w:left="116" w:right="103" w:firstLine="2"/>
            </w:pPr>
            <w:r>
              <w:rPr>
                <w:spacing w:val="-4"/>
              </w:rPr>
              <w:t>为此，承包人在提出变更工程项目的单价时，就</w:t>
            </w:r>
            <w:r>
              <w:rPr>
                <w:spacing w:val="-3"/>
              </w:rPr>
              <w:t>应提前考虑报价浮动率的影响。</w:t>
            </w:r>
          </w:p>
          <w:p w14:paraId="69571F1C">
            <w:pPr>
              <w:pStyle w:val="7"/>
              <w:spacing w:before="1" w:line="234" w:lineRule="auto"/>
              <w:ind w:left="115" w:right="101" w:firstLine="2"/>
            </w:pPr>
            <w:r>
              <w:rPr>
                <w:spacing w:val="-4"/>
              </w:rPr>
              <w:t>《计价规范》还提出，已标价工程量清单中没有适用也没有类似于变更工程项目，工程造价管理机构发布的信息价格缺价的，由承包人根据变更</w:t>
            </w:r>
            <w:r>
              <w:rPr>
                <w:spacing w:val="-3"/>
              </w:rPr>
              <w:t>工程资料、计量规则、计价办法和通过市场调查</w:t>
            </w:r>
            <w:r>
              <w:rPr>
                <w:spacing w:val="7"/>
              </w:rPr>
              <w:t>等取得有合法依据的市场价格提出变更工程项</w:t>
            </w:r>
            <w:r>
              <w:rPr>
                <w:spacing w:val="-2"/>
              </w:rPr>
              <w:t>目的单价，报发包人确认后调整。</w:t>
            </w:r>
          </w:p>
        </w:tc>
        <w:tc>
          <w:tcPr>
            <w:tcW w:w="5081" w:type="dxa"/>
            <w:vAlign w:val="top"/>
          </w:tcPr>
          <w:p w14:paraId="45B11E3A">
            <w:pPr>
              <w:pStyle w:val="7"/>
              <w:spacing w:before="32" w:line="220" w:lineRule="auto"/>
              <w:ind w:left="104"/>
            </w:pPr>
            <w:r>
              <w:rPr>
                <w:b/>
                <w:bCs/>
                <w:color w:val="EE0000"/>
                <w:spacing w:val="-2"/>
              </w:rPr>
              <w:t>【修改】P119</w:t>
            </w:r>
          </w:p>
          <w:p w14:paraId="4BFC470C">
            <w:pPr>
              <w:pStyle w:val="7"/>
              <w:spacing w:before="23" w:line="220" w:lineRule="auto"/>
              <w:ind w:left="118"/>
            </w:pPr>
            <w:r>
              <w:rPr>
                <w:spacing w:val="-2"/>
              </w:rPr>
              <w:t>3.2.1</w:t>
            </w:r>
            <w:r>
              <w:rPr>
                <w:spacing w:val="-45"/>
              </w:rPr>
              <w:t xml:space="preserve"> </w:t>
            </w:r>
            <w:r>
              <w:rPr>
                <w:spacing w:val="-2"/>
              </w:rPr>
              <w:t>施工合同管理</w:t>
            </w:r>
          </w:p>
          <w:p w14:paraId="6BA7C7FC">
            <w:pPr>
              <w:pStyle w:val="7"/>
              <w:spacing w:before="21" w:line="220" w:lineRule="auto"/>
              <w:ind w:left="118"/>
            </w:pPr>
            <w:r>
              <w:rPr>
                <w:spacing w:val="-4"/>
              </w:rPr>
              <w:t>5）变更管理</w:t>
            </w:r>
          </w:p>
          <w:p w14:paraId="18D3C00C">
            <w:pPr>
              <w:pStyle w:val="7"/>
              <w:spacing w:before="22" w:line="219" w:lineRule="auto"/>
              <w:ind w:left="120"/>
            </w:pPr>
            <w:r>
              <w:rPr>
                <w:spacing w:val="-4"/>
              </w:rPr>
              <w:t>（3）变更估价</w:t>
            </w:r>
          </w:p>
          <w:p w14:paraId="4233C9AE">
            <w:pPr>
              <w:pStyle w:val="7"/>
              <w:spacing w:before="17"/>
              <w:ind w:left="114" w:right="104" w:firstLine="1"/>
            </w:pPr>
            <w:r>
              <w:rPr>
                <w:spacing w:val="-3"/>
              </w:rPr>
              <w:t>《建设工程工程量清单计价标准》GB/T5</w:t>
            </w:r>
            <w:r>
              <w:rPr>
                <w:spacing w:val="-4"/>
              </w:rPr>
              <w:t>0500—2024</w:t>
            </w:r>
            <w:r>
              <w:t>规定，采用单价合同的工程，因工程变更或工程量</w:t>
            </w:r>
            <w:r>
              <w:rPr>
                <w:spacing w:val="10"/>
              </w:rPr>
              <w:t>清单缺陷引起分部分项工程的清单工程量发生变</w:t>
            </w:r>
            <w:r>
              <w:rPr>
                <w:spacing w:val="-6"/>
              </w:rPr>
              <w:t>化，且工程量变化超出</w:t>
            </w:r>
            <w:r>
              <w:rPr>
                <w:spacing w:val="-19"/>
              </w:rPr>
              <w:t xml:space="preserve"> </w:t>
            </w:r>
            <w:r>
              <w:rPr>
                <w:spacing w:val="-6"/>
              </w:rPr>
              <w:t>15%(不含</w:t>
            </w:r>
            <w:r>
              <w:rPr>
                <w:spacing w:val="-29"/>
              </w:rPr>
              <w:t xml:space="preserve"> </w:t>
            </w:r>
            <w:r>
              <w:rPr>
                <w:spacing w:val="-6"/>
              </w:rPr>
              <w:t>15%)时，发承包双</w:t>
            </w:r>
            <w:r>
              <w:t>方应按确认的工程变更或工程量清单缺陷引起变化的工程量，按下列规定调整合同价格：如工程变更或工程量清单缺陷引起增加清单项目及相应清单项目工程量的，可依据规定，并结合因增加工程数量引起的人工及材料采购价格优惠的影响，在合理下调其合同单价及新增综合单价后，计算相应清单项目价格，调整合同价格；如工程变更或工程量清单缺陷引起减少清单项目及相应清单项目工程量的，可依据规定，并结合因减少工程数量引起的人工及材料采购价格失去优惠的影响，在合理上调其合同单价及新增综合单价后，计算相应清单项目价格，</w:t>
            </w:r>
            <w:r>
              <w:rPr>
                <w:spacing w:val="-4"/>
              </w:rPr>
              <w:t>调整合同价格。</w:t>
            </w:r>
          </w:p>
        </w:tc>
      </w:tr>
      <w:tr w14:paraId="33D8C6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6" w:hRule="atLeast"/>
        </w:trPr>
        <w:tc>
          <w:tcPr>
            <w:tcW w:w="4779" w:type="dxa"/>
            <w:vAlign w:val="top"/>
          </w:tcPr>
          <w:p w14:paraId="7A0B428A">
            <w:pPr>
              <w:pStyle w:val="7"/>
              <w:spacing w:before="34" w:line="220" w:lineRule="auto"/>
              <w:ind w:left="106"/>
            </w:pPr>
            <w:r>
              <w:rPr>
                <w:b/>
                <w:bCs/>
                <w:color w:val="EE0000"/>
                <w:spacing w:val="-2"/>
              </w:rPr>
              <w:t>【删除】P122</w:t>
            </w:r>
          </w:p>
          <w:p w14:paraId="58B06EE4">
            <w:pPr>
              <w:pStyle w:val="7"/>
              <w:spacing w:before="21" w:line="220" w:lineRule="auto"/>
              <w:ind w:left="120"/>
            </w:pPr>
            <w:r>
              <w:rPr>
                <w:b/>
                <w:bCs/>
                <w:spacing w:val="-4"/>
              </w:rPr>
              <w:t>3.2.1</w:t>
            </w:r>
            <w:r>
              <w:rPr>
                <w:spacing w:val="-41"/>
              </w:rPr>
              <w:t xml:space="preserve"> </w:t>
            </w:r>
            <w:r>
              <w:rPr>
                <w:b/>
                <w:bCs/>
                <w:spacing w:val="-4"/>
              </w:rPr>
              <w:t>施工合同管理</w:t>
            </w:r>
          </w:p>
          <w:p w14:paraId="3CED52B9">
            <w:pPr>
              <w:pStyle w:val="7"/>
              <w:spacing w:before="23" w:line="215" w:lineRule="auto"/>
              <w:ind w:left="117"/>
            </w:pPr>
            <w:r>
              <w:rPr>
                <w:b/>
                <w:bCs/>
                <w:color w:val="EE0000"/>
                <w:spacing w:val="-5"/>
              </w:rPr>
              <w:t>8）索赔管理</w:t>
            </w:r>
          </w:p>
          <w:p w14:paraId="375C7197">
            <w:pPr>
              <w:spacing w:line="3023" w:lineRule="exact"/>
              <w:ind w:firstLine="106"/>
            </w:pPr>
            <w:r>
              <w:rPr>
                <w:position w:val="-60"/>
              </w:rPr>
              <w:drawing>
                <wp:inline distT="0" distB="0" distL="0" distR="0">
                  <wp:extent cx="2650490" cy="1919605"/>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33"/>
                          <a:stretch>
                            <a:fillRect/>
                          </a:stretch>
                        </pic:blipFill>
                        <pic:spPr>
                          <a:xfrm>
                            <a:off x="0" y="0"/>
                            <a:ext cx="2650744" cy="1920125"/>
                          </a:xfrm>
                          <a:prstGeom prst="rect">
                            <a:avLst/>
                          </a:prstGeom>
                        </pic:spPr>
                      </pic:pic>
                    </a:graphicData>
                  </a:graphic>
                </wp:inline>
              </w:drawing>
            </w:r>
          </w:p>
        </w:tc>
        <w:tc>
          <w:tcPr>
            <w:tcW w:w="5081" w:type="dxa"/>
            <w:vAlign w:val="top"/>
          </w:tcPr>
          <w:p w14:paraId="3D5D0EFD">
            <w:pPr>
              <w:pStyle w:val="7"/>
              <w:spacing w:before="34" w:line="222" w:lineRule="auto"/>
              <w:ind w:left="104"/>
            </w:pPr>
            <w:r>
              <w:rPr>
                <w:b/>
                <w:bCs/>
                <w:color w:val="EE0000"/>
                <w:spacing w:val="-2"/>
              </w:rPr>
              <w:t>【增加】P123</w:t>
            </w:r>
          </w:p>
          <w:p w14:paraId="1731591B">
            <w:pPr>
              <w:pStyle w:val="7"/>
              <w:spacing w:before="19" w:line="220" w:lineRule="auto"/>
              <w:ind w:left="118"/>
            </w:pPr>
            <w:r>
              <w:rPr>
                <w:b/>
                <w:bCs/>
                <w:spacing w:val="-4"/>
              </w:rPr>
              <w:t>3.2.1</w:t>
            </w:r>
            <w:r>
              <w:rPr>
                <w:spacing w:val="-41"/>
              </w:rPr>
              <w:t xml:space="preserve"> </w:t>
            </w:r>
            <w:r>
              <w:rPr>
                <w:b/>
                <w:bCs/>
                <w:spacing w:val="-4"/>
              </w:rPr>
              <w:t>施工合同管理</w:t>
            </w:r>
          </w:p>
          <w:p w14:paraId="22CFCAC4">
            <w:pPr>
              <w:pStyle w:val="7"/>
              <w:spacing w:before="23" w:line="215" w:lineRule="auto"/>
              <w:ind w:left="115"/>
            </w:pPr>
            <w:r>
              <w:rPr>
                <w:b/>
                <w:bCs/>
                <w:color w:val="EE0000"/>
                <w:spacing w:val="-5"/>
              </w:rPr>
              <w:t>8）索赔管理</w:t>
            </w:r>
          </w:p>
          <w:p w14:paraId="4D3CF69A">
            <w:pPr>
              <w:spacing w:line="830" w:lineRule="exact"/>
              <w:ind w:firstLine="104"/>
            </w:pPr>
            <w:r>
              <w:rPr>
                <w:position w:val="-16"/>
              </w:rPr>
              <w:drawing>
                <wp:inline distT="0" distB="0" distL="0" distR="0">
                  <wp:extent cx="3071495" cy="527050"/>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34"/>
                          <a:stretch>
                            <a:fillRect/>
                          </a:stretch>
                        </pic:blipFill>
                        <pic:spPr>
                          <a:xfrm>
                            <a:off x="0" y="0"/>
                            <a:ext cx="3072129" cy="527659"/>
                          </a:xfrm>
                          <a:prstGeom prst="rect">
                            <a:avLst/>
                          </a:prstGeom>
                        </pic:spPr>
                      </pic:pic>
                    </a:graphicData>
                  </a:graphic>
                </wp:inline>
              </w:drawing>
            </w:r>
          </w:p>
        </w:tc>
      </w:tr>
    </w:tbl>
    <w:p w14:paraId="41A0F183">
      <w:pPr>
        <w:rPr>
          <w:rFonts w:ascii="Arial"/>
          <w:sz w:val="21"/>
        </w:rPr>
      </w:pPr>
    </w:p>
    <w:p w14:paraId="63DE0481">
      <w:pPr>
        <w:rPr>
          <w:rFonts w:ascii="Arial" w:hAnsi="Arial" w:eastAsia="Arial" w:cs="Arial"/>
          <w:sz w:val="21"/>
          <w:szCs w:val="21"/>
        </w:rPr>
        <w:sectPr>
          <w:footerReference r:id="rId14"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37284A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8" w:hRule="atLeast"/>
        </w:trPr>
        <w:tc>
          <w:tcPr>
            <w:tcW w:w="4779" w:type="dxa"/>
            <w:vAlign w:val="top"/>
          </w:tcPr>
          <w:p w14:paraId="419605CA">
            <w:pPr>
              <w:spacing w:before="5" w:line="1008" w:lineRule="exact"/>
              <w:ind w:firstLine="106"/>
            </w:pPr>
            <w:r>
              <w:rPr>
                <w:position w:val="-20"/>
              </w:rPr>
              <w:drawing>
                <wp:inline distT="0" distB="0" distL="0" distR="0">
                  <wp:extent cx="2508250" cy="639445"/>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35"/>
                          <a:stretch>
                            <a:fillRect/>
                          </a:stretch>
                        </pic:blipFill>
                        <pic:spPr>
                          <a:xfrm>
                            <a:off x="0" y="0"/>
                            <a:ext cx="2508884" cy="640003"/>
                          </a:xfrm>
                          <a:prstGeom prst="rect">
                            <a:avLst/>
                          </a:prstGeom>
                        </pic:spPr>
                      </pic:pic>
                    </a:graphicData>
                  </a:graphic>
                </wp:inline>
              </w:drawing>
            </w:r>
          </w:p>
        </w:tc>
        <w:tc>
          <w:tcPr>
            <w:tcW w:w="5081" w:type="dxa"/>
            <w:vAlign w:val="top"/>
          </w:tcPr>
          <w:p w14:paraId="743CC342">
            <w:pPr>
              <w:spacing w:before="5" w:line="3853" w:lineRule="exact"/>
              <w:ind w:firstLine="104"/>
            </w:pPr>
            <w:r>
              <w:rPr>
                <w:position w:val="-77"/>
              </w:rPr>
              <w:drawing>
                <wp:inline distT="0" distB="0" distL="0" distR="0">
                  <wp:extent cx="2840355" cy="2446020"/>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36"/>
                          <a:stretch>
                            <a:fillRect/>
                          </a:stretch>
                        </pic:blipFill>
                        <pic:spPr>
                          <a:xfrm>
                            <a:off x="0" y="0"/>
                            <a:ext cx="2840481" cy="2446276"/>
                          </a:xfrm>
                          <a:prstGeom prst="rect">
                            <a:avLst/>
                          </a:prstGeom>
                        </pic:spPr>
                      </pic:pic>
                    </a:graphicData>
                  </a:graphic>
                </wp:inline>
              </w:drawing>
            </w:r>
          </w:p>
        </w:tc>
      </w:tr>
      <w:tr w14:paraId="74B83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779" w:type="dxa"/>
            <w:shd w:val="clear" w:color="auto" w:fill="FFFF00"/>
            <w:vAlign w:val="top"/>
          </w:tcPr>
          <w:p w14:paraId="748C0018">
            <w:pPr>
              <w:pStyle w:val="7"/>
              <w:spacing w:before="29" w:line="210" w:lineRule="auto"/>
              <w:ind w:left="1124"/>
            </w:pPr>
            <w:r>
              <w:rPr>
                <w:b/>
                <w:bCs/>
                <w:spacing w:val="-4"/>
              </w:rPr>
              <w:t>第</w:t>
            </w:r>
            <w:r>
              <w:rPr>
                <w:spacing w:val="-48"/>
              </w:rPr>
              <w:t xml:space="preserve"> </w:t>
            </w:r>
            <w:r>
              <w:rPr>
                <w:b/>
                <w:bCs/>
                <w:spacing w:val="-4"/>
              </w:rPr>
              <w:t>4</w:t>
            </w:r>
            <w:r>
              <w:rPr>
                <w:spacing w:val="-38"/>
              </w:rPr>
              <w:t xml:space="preserve"> </w:t>
            </w:r>
            <w:r>
              <w:rPr>
                <w:b/>
                <w:bCs/>
                <w:spacing w:val="-4"/>
              </w:rPr>
              <w:t>章</w:t>
            </w:r>
            <w:r>
              <w:rPr>
                <w:spacing w:val="-4"/>
              </w:rPr>
              <w:t xml:space="preserve"> </w:t>
            </w:r>
            <w:r>
              <w:rPr>
                <w:b/>
                <w:bCs/>
                <w:spacing w:val="-4"/>
              </w:rPr>
              <w:t>建设工程进度管理</w:t>
            </w:r>
          </w:p>
        </w:tc>
        <w:tc>
          <w:tcPr>
            <w:tcW w:w="5081" w:type="dxa"/>
            <w:shd w:val="clear" w:color="auto" w:fill="FFFF00"/>
            <w:vAlign w:val="top"/>
          </w:tcPr>
          <w:p w14:paraId="0BD5D03E">
            <w:pPr>
              <w:pStyle w:val="7"/>
              <w:spacing w:before="29" w:line="210" w:lineRule="auto"/>
              <w:ind w:left="1274"/>
            </w:pPr>
            <w:r>
              <w:rPr>
                <w:b/>
                <w:bCs/>
                <w:spacing w:val="-4"/>
              </w:rPr>
              <w:t>第</w:t>
            </w:r>
            <w:r>
              <w:rPr>
                <w:spacing w:val="-48"/>
              </w:rPr>
              <w:t xml:space="preserve"> </w:t>
            </w:r>
            <w:r>
              <w:rPr>
                <w:b/>
                <w:bCs/>
                <w:spacing w:val="-4"/>
              </w:rPr>
              <w:t>4</w:t>
            </w:r>
            <w:r>
              <w:rPr>
                <w:spacing w:val="-38"/>
              </w:rPr>
              <w:t xml:space="preserve"> </w:t>
            </w:r>
            <w:r>
              <w:rPr>
                <w:b/>
                <w:bCs/>
                <w:spacing w:val="-4"/>
              </w:rPr>
              <w:t>章</w:t>
            </w:r>
            <w:r>
              <w:rPr>
                <w:spacing w:val="-4"/>
              </w:rPr>
              <w:t xml:space="preserve"> </w:t>
            </w:r>
            <w:r>
              <w:rPr>
                <w:b/>
                <w:bCs/>
                <w:spacing w:val="-4"/>
              </w:rPr>
              <w:t>建设工程进度管理</w:t>
            </w:r>
          </w:p>
        </w:tc>
      </w:tr>
      <w:tr w14:paraId="2D0CB0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7" w:hRule="atLeast"/>
        </w:trPr>
        <w:tc>
          <w:tcPr>
            <w:tcW w:w="4779" w:type="dxa"/>
            <w:vAlign w:val="top"/>
          </w:tcPr>
          <w:p w14:paraId="18433D7B">
            <w:pPr>
              <w:pStyle w:val="7"/>
              <w:spacing w:before="66" w:line="182" w:lineRule="auto"/>
              <w:ind w:left="112"/>
            </w:pPr>
            <w:r>
              <w:rPr>
                <w:b/>
                <w:bCs/>
                <w:color w:val="FF0000"/>
                <w:spacing w:val="-3"/>
              </w:rPr>
              <w:t>P167</w:t>
            </w:r>
          </w:p>
          <w:p w14:paraId="1C425841">
            <w:pPr>
              <w:pStyle w:val="7"/>
              <w:spacing w:before="32" w:line="220" w:lineRule="auto"/>
              <w:ind w:left="115"/>
            </w:pPr>
            <w:r>
              <w:rPr>
                <w:b/>
                <w:bCs/>
                <w:spacing w:val="-3"/>
              </w:rPr>
              <w:t>4.2.2</w:t>
            </w:r>
            <w:r>
              <w:rPr>
                <w:spacing w:val="-45"/>
              </w:rPr>
              <w:t xml:space="preserve"> </w:t>
            </w:r>
            <w:r>
              <w:rPr>
                <w:b/>
                <w:bCs/>
                <w:spacing w:val="-3"/>
              </w:rPr>
              <w:t>流水施工参数</w:t>
            </w:r>
          </w:p>
          <w:p w14:paraId="1E29EF7C">
            <w:pPr>
              <w:pStyle w:val="7"/>
              <w:spacing w:before="21" w:line="220" w:lineRule="auto"/>
              <w:ind w:left="120"/>
            </w:pPr>
            <w:r>
              <w:rPr>
                <w:spacing w:val="-2"/>
              </w:rPr>
              <w:t>3.时间参数</w:t>
            </w:r>
          </w:p>
          <w:p w14:paraId="44D5E742">
            <w:pPr>
              <w:pStyle w:val="7"/>
              <w:spacing w:before="23" w:line="220" w:lineRule="auto"/>
              <w:ind w:left="119"/>
            </w:pPr>
            <w:r>
              <w:rPr>
                <w:spacing w:val="-4"/>
              </w:rPr>
              <w:t>2）流水步距</w:t>
            </w:r>
          </w:p>
          <w:p w14:paraId="64839594">
            <w:pPr>
              <w:pStyle w:val="7"/>
              <w:spacing w:before="24" w:line="232" w:lineRule="auto"/>
              <w:ind w:left="117" w:right="101"/>
            </w:pPr>
            <w:r>
              <w:rPr>
                <w:spacing w:val="-1"/>
              </w:rPr>
              <w:t>流水步距是指两个相邻专业工作队相继开始施</w:t>
            </w:r>
            <w:r>
              <w:rPr>
                <w:spacing w:val="-4"/>
              </w:rPr>
              <w:t>工的最小间隔时间。流水步距的数目取决于参加流水的施工过程数。如果施工过程数为</w:t>
            </w:r>
            <w:r>
              <w:rPr>
                <w:spacing w:val="-45"/>
              </w:rPr>
              <w:t xml:space="preserve"> </w:t>
            </w:r>
            <w:r>
              <w:rPr>
                <w:spacing w:val="-4"/>
              </w:rPr>
              <w:t>n</w:t>
            </w:r>
            <w:r>
              <w:rPr>
                <w:spacing w:val="-49"/>
              </w:rPr>
              <w:t xml:space="preserve"> </w:t>
            </w:r>
            <w:r>
              <w:rPr>
                <w:spacing w:val="-4"/>
              </w:rPr>
              <w:t>个，则</w:t>
            </w:r>
            <w:r>
              <w:t>流水步距总数为</w:t>
            </w:r>
            <w:r>
              <w:rPr>
                <w:spacing w:val="-41"/>
              </w:rPr>
              <w:t xml:space="preserve"> </w:t>
            </w:r>
            <w:r>
              <w:t>n-1个。</w:t>
            </w:r>
          </w:p>
        </w:tc>
        <w:tc>
          <w:tcPr>
            <w:tcW w:w="5081" w:type="dxa"/>
            <w:vAlign w:val="top"/>
          </w:tcPr>
          <w:p w14:paraId="61E43AD8">
            <w:pPr>
              <w:pStyle w:val="7"/>
              <w:spacing w:before="29" w:line="220" w:lineRule="auto"/>
              <w:ind w:left="104"/>
            </w:pPr>
            <w:r>
              <w:rPr>
                <w:b/>
                <w:bCs/>
                <w:color w:val="FF0000"/>
                <w:spacing w:val="-2"/>
              </w:rPr>
              <w:t>【修改】P169</w:t>
            </w:r>
          </w:p>
          <w:p w14:paraId="6F259B51">
            <w:pPr>
              <w:pStyle w:val="7"/>
              <w:spacing w:before="24" w:line="220" w:lineRule="auto"/>
              <w:ind w:left="113"/>
            </w:pPr>
            <w:r>
              <w:rPr>
                <w:b/>
                <w:bCs/>
                <w:spacing w:val="-3"/>
              </w:rPr>
              <w:t>4.2.2</w:t>
            </w:r>
            <w:r>
              <w:rPr>
                <w:spacing w:val="-46"/>
              </w:rPr>
              <w:t xml:space="preserve"> </w:t>
            </w:r>
            <w:r>
              <w:rPr>
                <w:b/>
                <w:bCs/>
                <w:spacing w:val="-3"/>
              </w:rPr>
              <w:t>流水施工参数</w:t>
            </w:r>
          </w:p>
          <w:p w14:paraId="40A4C833">
            <w:pPr>
              <w:pStyle w:val="7"/>
              <w:spacing w:before="21" w:line="220" w:lineRule="auto"/>
              <w:ind w:left="118"/>
            </w:pPr>
            <w:r>
              <w:rPr>
                <w:spacing w:val="-2"/>
              </w:rPr>
              <w:t>3.时间参数</w:t>
            </w:r>
          </w:p>
          <w:p w14:paraId="1DA087AA">
            <w:pPr>
              <w:pStyle w:val="7"/>
              <w:spacing w:before="23" w:line="220" w:lineRule="auto"/>
              <w:ind w:left="117"/>
            </w:pPr>
            <w:r>
              <w:rPr>
                <w:spacing w:val="-2"/>
              </w:rPr>
              <w:t>2)流水步距</w:t>
            </w:r>
          </w:p>
          <w:p w14:paraId="5165EB47">
            <w:pPr>
              <w:pStyle w:val="7"/>
              <w:spacing w:before="24" w:line="232" w:lineRule="auto"/>
              <w:ind w:left="113" w:right="114" w:firstLine="1"/>
            </w:pPr>
            <w:r>
              <w:rPr>
                <w:spacing w:val="-1"/>
              </w:rPr>
              <w:t>流水步距是指两个相邻专业工作队相继开始施工的最小间隔时间。流水步距的数目取决于参加流水的</w:t>
            </w:r>
            <w:r>
              <w:rPr>
                <w:spacing w:val="-2"/>
              </w:rPr>
              <w:t>施工过程数。</w:t>
            </w:r>
            <w:r>
              <w:rPr>
                <w:b/>
                <w:bCs/>
                <w:color w:val="EE0000"/>
                <w:spacing w:val="-2"/>
              </w:rPr>
              <w:t>如果不考虑加快的流水施工方式，</w:t>
            </w:r>
            <w:r>
              <w:rPr>
                <w:spacing w:val="-2"/>
              </w:rPr>
              <w:t>施</w:t>
            </w:r>
            <w:r>
              <w:rPr>
                <w:spacing w:val="-1"/>
              </w:rPr>
              <w:t>工过程数为</w:t>
            </w:r>
            <w:r>
              <w:rPr>
                <w:spacing w:val="-48"/>
              </w:rPr>
              <w:t xml:space="preserve"> </w:t>
            </w:r>
            <w:r>
              <w:rPr>
                <w:spacing w:val="-1"/>
              </w:rPr>
              <w:t>n</w:t>
            </w:r>
            <w:r>
              <w:rPr>
                <w:spacing w:val="-46"/>
              </w:rPr>
              <w:t xml:space="preserve"> </w:t>
            </w:r>
            <w:r>
              <w:rPr>
                <w:spacing w:val="-1"/>
              </w:rPr>
              <w:t>个时，流水步距总数为(n-1)个。</w:t>
            </w:r>
          </w:p>
        </w:tc>
      </w:tr>
      <w:tr w14:paraId="466B97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8" w:hRule="atLeast"/>
        </w:trPr>
        <w:tc>
          <w:tcPr>
            <w:tcW w:w="4779" w:type="dxa"/>
            <w:tcBorders>
              <w:bottom w:val="nil"/>
            </w:tcBorders>
            <w:vAlign w:val="top"/>
          </w:tcPr>
          <w:p w14:paraId="6A1A1F9D">
            <w:pPr>
              <w:pStyle w:val="7"/>
              <w:spacing w:before="67" w:line="182" w:lineRule="auto"/>
              <w:ind w:left="112"/>
            </w:pPr>
            <w:r>
              <w:rPr>
                <w:b/>
                <w:bCs/>
                <w:color w:val="FF0000"/>
                <w:spacing w:val="-3"/>
              </w:rPr>
              <w:t>P170</w:t>
            </w:r>
          </w:p>
          <w:p w14:paraId="679D39EB">
            <w:pPr>
              <w:pStyle w:val="7"/>
              <w:spacing w:before="32" w:line="219" w:lineRule="auto"/>
              <w:ind w:left="115"/>
            </w:pPr>
            <w:r>
              <w:rPr>
                <w:b/>
                <w:bCs/>
                <w:spacing w:val="-3"/>
              </w:rPr>
              <w:t>4.2.3</w:t>
            </w:r>
            <w:r>
              <w:rPr>
                <w:spacing w:val="-43"/>
              </w:rPr>
              <w:t xml:space="preserve"> </w:t>
            </w:r>
            <w:r>
              <w:rPr>
                <w:b/>
                <w:bCs/>
                <w:spacing w:val="-3"/>
              </w:rPr>
              <w:t>流水施工基本方式</w:t>
            </w:r>
          </w:p>
          <w:p w14:paraId="331DD38A">
            <w:pPr>
              <w:pStyle w:val="7"/>
              <w:spacing w:before="24" w:line="220" w:lineRule="auto"/>
              <w:ind w:left="132"/>
            </w:pPr>
            <w:r>
              <w:rPr>
                <w:spacing w:val="-3"/>
              </w:rPr>
              <w:t>1.有节奏流水施工</w:t>
            </w:r>
          </w:p>
          <w:p w14:paraId="28FCC3C2">
            <w:pPr>
              <w:pStyle w:val="7"/>
              <w:spacing w:before="23" w:line="220" w:lineRule="auto"/>
              <w:ind w:left="119"/>
            </w:pPr>
            <w:r>
              <w:rPr>
                <w:spacing w:val="-1"/>
              </w:rPr>
              <w:t>2）异节奏流水施工</w:t>
            </w:r>
          </w:p>
          <w:p w14:paraId="5470A324">
            <w:pPr>
              <w:pStyle w:val="7"/>
              <w:spacing w:before="20" w:line="221" w:lineRule="auto"/>
              <w:ind w:left="122"/>
            </w:pPr>
            <w:r>
              <w:rPr>
                <w:spacing w:val="-4"/>
              </w:rPr>
              <w:t>（4）工程示例</w:t>
            </w:r>
          </w:p>
        </w:tc>
        <w:tc>
          <w:tcPr>
            <w:tcW w:w="5081" w:type="dxa"/>
            <w:tcBorders>
              <w:bottom w:val="nil"/>
            </w:tcBorders>
            <w:vAlign w:val="top"/>
          </w:tcPr>
          <w:p w14:paraId="052BE100">
            <w:pPr>
              <w:pStyle w:val="7"/>
              <w:spacing w:before="30" w:line="220" w:lineRule="auto"/>
              <w:ind w:left="104"/>
            </w:pPr>
            <w:r>
              <w:pict>
                <v:shape id="_x0000_s1027" o:spid="_x0000_s1027" o:spt="202" type="#_x0000_t202" style="position:absolute;left:0pt;margin-left:4.7pt;margin-top:72pt;height:15.3pt;width:114.7pt;mso-position-horizontal-relative:page;mso-position-vertical-relative:page;z-index:251661312;mso-width-relative:page;mso-height-relative:page;" filled="f" stroked="f" coordsize="21600,21600">
                  <v:path/>
                  <v:fill on="f" focussize="0,0"/>
                  <v:stroke on="f"/>
                  <v:imagedata o:title=""/>
                  <o:lock v:ext="edit" aspectratio="f"/>
                  <v:textbox inset="0mm,0mm,0mm,0mm">
                    <w:txbxContent>
                      <w:p w14:paraId="6B116AEE">
                        <w:pPr>
                          <w:pStyle w:val="7"/>
                          <w:spacing w:before="20" w:line="223" w:lineRule="auto"/>
                          <w:ind w:left="20"/>
                        </w:pPr>
                        <w:r>
                          <w:rPr>
                            <w:spacing w:val="-6"/>
                          </w:rPr>
                          <w:t>K=[5</w:t>
                        </w:r>
                        <w:r>
                          <w:rPr>
                            <w:spacing w:val="18"/>
                          </w:rPr>
                          <w:t xml:space="preserve">  </w:t>
                        </w:r>
                        <w:r>
                          <w:rPr>
                            <w:spacing w:val="-6"/>
                          </w:rPr>
                          <w:t>10</w:t>
                        </w:r>
                        <w:r>
                          <w:rPr>
                            <w:spacing w:val="12"/>
                          </w:rPr>
                          <w:t xml:space="preserve">  </w:t>
                        </w:r>
                        <w:r>
                          <w:rPr>
                            <w:spacing w:val="-6"/>
                          </w:rPr>
                          <w:t>10</w:t>
                        </w:r>
                        <w:r>
                          <w:rPr>
                            <w:spacing w:val="7"/>
                          </w:rPr>
                          <w:t xml:space="preserve">  </w:t>
                        </w:r>
                        <w:r>
                          <w:rPr>
                            <w:spacing w:val="-6"/>
                          </w:rPr>
                          <w:t>5]=5</w:t>
                        </w:r>
                        <w:r>
                          <w:rPr>
                            <w:spacing w:val="-45"/>
                          </w:rPr>
                          <w:t xml:space="preserve"> </w:t>
                        </w:r>
                        <w:r>
                          <w:rPr>
                            <w:spacing w:val="-6"/>
                          </w:rPr>
                          <w:t>周</w:t>
                        </w:r>
                      </w:p>
                    </w:txbxContent>
                  </v:textbox>
                </v:shape>
              </w:pict>
            </w:r>
            <w:r>
              <w:rPr>
                <w:b/>
                <w:bCs/>
                <w:color w:val="FF0000"/>
                <w:spacing w:val="-2"/>
              </w:rPr>
              <w:t>【修改】P172</w:t>
            </w:r>
          </w:p>
          <w:p w14:paraId="0D3A3FA8">
            <w:pPr>
              <w:pStyle w:val="7"/>
              <w:spacing w:before="23" w:line="219" w:lineRule="auto"/>
              <w:ind w:left="113"/>
            </w:pPr>
            <w:r>
              <w:rPr>
                <w:b/>
                <w:bCs/>
                <w:spacing w:val="-3"/>
              </w:rPr>
              <w:t>4.2.3</w:t>
            </w:r>
            <w:r>
              <w:rPr>
                <w:spacing w:val="-44"/>
              </w:rPr>
              <w:t xml:space="preserve"> </w:t>
            </w:r>
            <w:r>
              <w:rPr>
                <w:b/>
                <w:bCs/>
                <w:spacing w:val="-3"/>
              </w:rPr>
              <w:t>流水施工基本方式</w:t>
            </w:r>
          </w:p>
          <w:p w14:paraId="5BB07152">
            <w:pPr>
              <w:pStyle w:val="7"/>
              <w:spacing w:before="24" w:line="220" w:lineRule="auto"/>
              <w:ind w:left="130"/>
            </w:pPr>
            <w:r>
              <w:rPr>
                <w:spacing w:val="-3"/>
              </w:rPr>
              <w:t>1.有节奏流水施工</w:t>
            </w:r>
          </w:p>
          <w:p w14:paraId="68751509">
            <w:pPr>
              <w:pStyle w:val="7"/>
              <w:spacing w:before="23" w:line="220" w:lineRule="auto"/>
              <w:ind w:left="117"/>
            </w:pPr>
            <w:r>
              <w:rPr>
                <w:spacing w:val="-1"/>
              </w:rPr>
              <w:t>2）异节奏流水施工</w:t>
            </w:r>
          </w:p>
          <w:p w14:paraId="4A62C812">
            <w:pPr>
              <w:pStyle w:val="7"/>
              <w:spacing w:before="20" w:line="221" w:lineRule="auto"/>
              <w:ind w:left="120"/>
            </w:pPr>
            <w:r>
              <w:rPr>
                <w:spacing w:val="-4"/>
              </w:rPr>
              <w:t>（4）工程示例</w:t>
            </w:r>
          </w:p>
        </w:tc>
      </w:tr>
      <w:tr w14:paraId="3C0A5F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 w:hRule="atLeast"/>
        </w:trPr>
        <w:tc>
          <w:tcPr>
            <w:tcW w:w="4779" w:type="dxa"/>
            <w:tcBorders>
              <w:top w:val="nil"/>
            </w:tcBorders>
            <w:vAlign w:val="top"/>
          </w:tcPr>
          <w:p w14:paraId="5DF15995">
            <w:pPr>
              <w:pStyle w:val="7"/>
              <w:spacing w:before="2" w:line="225" w:lineRule="auto"/>
              <w:ind w:left="329"/>
              <w:rPr>
                <w:sz w:val="7"/>
                <w:szCs w:val="7"/>
              </w:rPr>
            </w:pPr>
            <w:r>
              <w:pict>
                <v:shape id="_x0000_s1028" o:spid="_x0000_s1028" o:spt="202" type="#_x0000_t202" style="position:absolute;left:0pt;margin-left:4.6pt;margin-top:-7.1pt;height:15.3pt;width:131.25pt;z-index:251662336;mso-width-relative:page;mso-height-relative:page;" filled="f" stroked="f" coordsize="21600,21600">
                  <v:path/>
                  <v:fill on="f" focussize="0,0"/>
                  <v:stroke on="f"/>
                  <v:imagedata o:title=""/>
                  <o:lock v:ext="edit" aspectratio="f"/>
                  <v:textbox inset="0mm,0mm,0mm,0mm">
                    <w:txbxContent>
                      <w:p w14:paraId="2ED53860">
                        <w:pPr>
                          <w:pStyle w:val="7"/>
                          <w:spacing w:before="20" w:line="223" w:lineRule="auto"/>
                          <w:ind w:left="20"/>
                        </w:pPr>
                        <w:r>
                          <w:rPr>
                            <w:spacing w:val="-4"/>
                          </w:rPr>
                          <w:t>K=</w:t>
                        </w:r>
                        <w:r>
                          <w:rPr>
                            <w:b/>
                            <w:bCs/>
                            <w:color w:val="EE0000"/>
                            <w:spacing w:val="-4"/>
                          </w:rPr>
                          <w:t>min</w:t>
                        </w:r>
                        <w:r>
                          <w:rPr>
                            <w:spacing w:val="-4"/>
                          </w:rPr>
                          <w:t>[5</w:t>
                        </w:r>
                        <w:r>
                          <w:rPr>
                            <w:spacing w:val="19"/>
                          </w:rPr>
                          <w:t xml:space="preserve">  </w:t>
                        </w:r>
                        <w:r>
                          <w:rPr>
                            <w:spacing w:val="-4"/>
                          </w:rPr>
                          <w:t>10</w:t>
                        </w:r>
                        <w:r>
                          <w:rPr>
                            <w:spacing w:val="13"/>
                          </w:rPr>
                          <w:t xml:space="preserve">  </w:t>
                        </w:r>
                        <w:r>
                          <w:rPr>
                            <w:spacing w:val="-4"/>
                          </w:rPr>
                          <w:t>10  5]=5</w:t>
                        </w:r>
                        <w:r>
                          <w:rPr>
                            <w:spacing w:val="-47"/>
                          </w:rPr>
                          <w:t xml:space="preserve"> </w:t>
                        </w:r>
                        <w:r>
                          <w:rPr>
                            <w:spacing w:val="-4"/>
                          </w:rPr>
                          <w:t>周</w:t>
                        </w:r>
                      </w:p>
                    </w:txbxContent>
                  </v:textbox>
                </v:shape>
              </w:pict>
            </w:r>
            <w:r>
              <w:rPr>
                <w:position w:val="5"/>
                <w:sz w:val="7"/>
                <w:szCs w:val="7"/>
              </w:rPr>
              <w:drawing>
                <wp:inline distT="0" distB="0" distL="0" distR="0">
                  <wp:extent cx="211455" cy="5715"/>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37"/>
                          <a:stretch>
                            <a:fillRect/>
                          </a:stretch>
                        </pic:blipFill>
                        <pic:spPr>
                          <a:xfrm>
                            <a:off x="0" y="0"/>
                            <a:ext cx="211836" cy="6096"/>
                          </a:xfrm>
                          <a:prstGeom prst="rect">
                            <a:avLst/>
                          </a:prstGeom>
                        </pic:spPr>
                      </pic:pic>
                    </a:graphicData>
                  </a:graphic>
                </wp:inline>
              </w:drawing>
            </w:r>
            <w:r>
              <w:rPr>
                <w:sz w:val="7"/>
                <w:szCs w:val="7"/>
              </w:rPr>
              <w:t xml:space="preserve">       </w:t>
            </w:r>
            <w:r>
              <w:rPr>
                <w:spacing w:val="-1"/>
                <w:sz w:val="7"/>
                <w:szCs w:val="7"/>
              </w:rPr>
              <w:t>,</w:t>
            </w:r>
            <w:r>
              <w:rPr>
                <w:spacing w:val="2"/>
                <w:sz w:val="7"/>
                <w:szCs w:val="7"/>
              </w:rPr>
              <w:t xml:space="preserve">           </w:t>
            </w:r>
            <w:r>
              <w:rPr>
                <w:spacing w:val="-1"/>
                <w:sz w:val="7"/>
                <w:szCs w:val="7"/>
              </w:rPr>
              <w:t>,</w:t>
            </w:r>
            <w:r>
              <w:rPr>
                <w:spacing w:val="1"/>
                <w:sz w:val="7"/>
                <w:szCs w:val="7"/>
              </w:rPr>
              <w:t xml:space="preserve">           </w:t>
            </w:r>
            <w:r>
              <w:rPr>
                <w:spacing w:val="-1"/>
                <w:sz w:val="7"/>
                <w:szCs w:val="7"/>
              </w:rPr>
              <w:t>,</w:t>
            </w:r>
          </w:p>
        </w:tc>
        <w:tc>
          <w:tcPr>
            <w:tcW w:w="5081" w:type="dxa"/>
            <w:tcBorders>
              <w:top w:val="nil"/>
            </w:tcBorders>
            <w:vAlign w:val="top"/>
          </w:tcPr>
          <w:p w14:paraId="371D6B66">
            <w:pPr>
              <w:pStyle w:val="7"/>
              <w:spacing w:before="15" w:line="99" w:lineRule="exact"/>
              <w:ind w:left="574"/>
            </w:pPr>
            <w:r>
              <w:rPr>
                <w:spacing w:val="-16"/>
                <w:w w:val="68"/>
                <w:position w:val="3"/>
              </w:rPr>
              <w:t>,</w:t>
            </w:r>
            <w:r>
              <w:rPr>
                <w:spacing w:val="25"/>
                <w:position w:val="3"/>
              </w:rPr>
              <w:t xml:space="preserve">   </w:t>
            </w:r>
            <w:r>
              <w:rPr>
                <w:spacing w:val="-16"/>
                <w:w w:val="68"/>
                <w:position w:val="3"/>
              </w:rPr>
              <w:t>,</w:t>
            </w:r>
            <w:r>
              <w:rPr>
                <w:spacing w:val="26"/>
                <w:position w:val="3"/>
              </w:rPr>
              <w:t xml:space="preserve">   </w:t>
            </w:r>
            <w:r>
              <w:rPr>
                <w:spacing w:val="-16"/>
                <w:w w:val="68"/>
                <w:position w:val="3"/>
              </w:rPr>
              <w:t>,</w:t>
            </w:r>
          </w:p>
        </w:tc>
      </w:tr>
      <w:tr w14:paraId="42DC5B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779" w:type="dxa"/>
            <w:shd w:val="clear" w:color="auto" w:fill="FFFF00"/>
            <w:vAlign w:val="top"/>
          </w:tcPr>
          <w:p w14:paraId="39E5BE9A">
            <w:pPr>
              <w:pStyle w:val="7"/>
              <w:spacing w:before="30" w:line="209" w:lineRule="auto"/>
              <w:ind w:left="1124"/>
            </w:pPr>
            <w:r>
              <w:rPr>
                <w:b/>
                <w:bCs/>
                <w:spacing w:val="-5"/>
              </w:rPr>
              <w:t>第</w:t>
            </w:r>
            <w:r>
              <w:rPr>
                <w:spacing w:val="-36"/>
              </w:rPr>
              <w:t xml:space="preserve"> </w:t>
            </w:r>
            <w:r>
              <w:rPr>
                <w:b/>
                <w:bCs/>
                <w:spacing w:val="-5"/>
              </w:rPr>
              <w:t>5</w:t>
            </w:r>
            <w:r>
              <w:rPr>
                <w:spacing w:val="-38"/>
              </w:rPr>
              <w:t xml:space="preserve"> </w:t>
            </w:r>
            <w:r>
              <w:rPr>
                <w:b/>
                <w:bCs/>
                <w:spacing w:val="-5"/>
              </w:rPr>
              <w:t>章</w:t>
            </w:r>
            <w:r>
              <w:rPr>
                <w:spacing w:val="-5"/>
              </w:rPr>
              <w:t xml:space="preserve"> </w:t>
            </w:r>
            <w:r>
              <w:rPr>
                <w:b/>
                <w:bCs/>
                <w:spacing w:val="-5"/>
              </w:rPr>
              <w:t>建设工程质量管理</w:t>
            </w:r>
          </w:p>
        </w:tc>
        <w:tc>
          <w:tcPr>
            <w:tcW w:w="5081" w:type="dxa"/>
            <w:shd w:val="clear" w:color="auto" w:fill="FFFF00"/>
            <w:vAlign w:val="top"/>
          </w:tcPr>
          <w:p w14:paraId="2E2990EA">
            <w:pPr>
              <w:pStyle w:val="7"/>
              <w:spacing w:before="30" w:line="209" w:lineRule="auto"/>
              <w:ind w:left="1274"/>
            </w:pPr>
            <w:r>
              <w:rPr>
                <w:b/>
                <w:bCs/>
                <w:spacing w:val="-5"/>
              </w:rPr>
              <w:t>第</w:t>
            </w:r>
            <w:r>
              <w:rPr>
                <w:spacing w:val="-36"/>
              </w:rPr>
              <w:t xml:space="preserve"> </w:t>
            </w:r>
            <w:r>
              <w:rPr>
                <w:b/>
                <w:bCs/>
                <w:spacing w:val="-5"/>
              </w:rPr>
              <w:t>5</w:t>
            </w:r>
            <w:r>
              <w:rPr>
                <w:spacing w:val="-38"/>
              </w:rPr>
              <w:t xml:space="preserve"> </w:t>
            </w:r>
            <w:r>
              <w:rPr>
                <w:b/>
                <w:bCs/>
                <w:spacing w:val="-5"/>
              </w:rPr>
              <w:t>章</w:t>
            </w:r>
            <w:r>
              <w:rPr>
                <w:spacing w:val="-5"/>
              </w:rPr>
              <w:t xml:space="preserve"> </w:t>
            </w:r>
            <w:r>
              <w:rPr>
                <w:b/>
                <w:bCs/>
                <w:spacing w:val="-5"/>
              </w:rPr>
              <w:t>建设工程质量管理</w:t>
            </w:r>
          </w:p>
        </w:tc>
      </w:tr>
      <w:tr w14:paraId="0CF8A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8" w:hRule="atLeast"/>
        </w:trPr>
        <w:tc>
          <w:tcPr>
            <w:tcW w:w="4779" w:type="dxa"/>
            <w:vAlign w:val="top"/>
          </w:tcPr>
          <w:p w14:paraId="0FAC5D26">
            <w:pPr>
              <w:pStyle w:val="7"/>
              <w:spacing w:before="31"/>
              <w:ind w:left="112"/>
            </w:pPr>
            <w:r>
              <w:rPr>
                <w:b/>
                <w:bCs/>
                <w:color w:val="FF0000"/>
                <w:spacing w:val="-3"/>
              </w:rPr>
              <w:t>P217</w:t>
            </w:r>
          </w:p>
          <w:p w14:paraId="6D42F68E">
            <w:pPr>
              <w:pStyle w:val="7"/>
              <w:spacing w:line="220" w:lineRule="auto"/>
              <w:ind w:left="120"/>
            </w:pPr>
            <w:r>
              <w:rPr>
                <w:b/>
                <w:bCs/>
                <w:spacing w:val="-3"/>
              </w:rPr>
              <w:t>5.2.1</w:t>
            </w:r>
            <w:r>
              <w:rPr>
                <w:spacing w:val="-46"/>
              </w:rPr>
              <w:t xml:space="preserve"> </w:t>
            </w:r>
            <w:r>
              <w:rPr>
                <w:b/>
                <w:bCs/>
                <w:spacing w:val="-3"/>
              </w:rPr>
              <w:t>施工质量抽样检验方法</w:t>
            </w:r>
          </w:p>
          <w:p w14:paraId="2BB58F10">
            <w:pPr>
              <w:pStyle w:val="7"/>
              <w:spacing w:before="23" w:line="219" w:lineRule="auto"/>
              <w:ind w:left="120"/>
            </w:pPr>
            <w:r>
              <w:rPr>
                <w:spacing w:val="-2"/>
              </w:rPr>
              <w:t>3.随机抽样方法</w:t>
            </w:r>
          </w:p>
          <w:p w14:paraId="00C355F4">
            <w:pPr>
              <w:pStyle w:val="7"/>
              <w:spacing w:before="24" w:line="219" w:lineRule="auto"/>
              <w:ind w:left="120"/>
            </w:pPr>
            <w:r>
              <w:rPr>
                <w:spacing w:val="-3"/>
              </w:rPr>
              <w:t>3）分层随机抽样</w:t>
            </w:r>
          </w:p>
          <w:p w14:paraId="6FAE120F">
            <w:pPr>
              <w:pStyle w:val="7"/>
              <w:spacing w:before="27" w:line="235" w:lineRule="auto"/>
              <w:ind w:left="116" w:right="93" w:firstLine="2"/>
            </w:pPr>
            <w:r>
              <w:rPr>
                <w:spacing w:val="7"/>
              </w:rPr>
              <w:t>分层随机抽样是指将总体分割成互不重叠的子</w:t>
            </w:r>
            <w:r>
              <w:rPr>
                <w:spacing w:val="-4"/>
              </w:rPr>
              <w:t>总体（层</w:t>
            </w:r>
            <w:r>
              <w:rPr>
                <w:spacing w:val="5"/>
              </w:rPr>
              <w:t>），</w:t>
            </w:r>
            <w:r>
              <w:rPr>
                <w:spacing w:val="-4"/>
              </w:rPr>
              <w:t>在每层中独立地按给定的样本量进</w:t>
            </w:r>
            <w:r>
              <w:rPr>
                <w:spacing w:val="-3"/>
              </w:rPr>
              <w:t>行简单随机抽样。例如，由不同班组生产的</w:t>
            </w:r>
            <w:r>
              <w:rPr>
                <w:spacing w:val="-4"/>
              </w:rPr>
              <w:t>同一种产品组成一个批，在这种情况下，考虑各班组生产的产品质量可能会有波动，为了获得有代表性的样本，便可将整批产品按不同班组分成若干</w:t>
            </w:r>
            <w:r>
              <w:rPr>
                <w:spacing w:val="-3"/>
              </w:rPr>
              <w:t>层。这样，可使同一层内的产品质量均匀整齐，然后在各层内再分别抽取样本。</w:t>
            </w:r>
          </w:p>
        </w:tc>
        <w:tc>
          <w:tcPr>
            <w:tcW w:w="5081" w:type="dxa"/>
            <w:vAlign w:val="top"/>
          </w:tcPr>
          <w:p w14:paraId="3C253E33">
            <w:pPr>
              <w:pStyle w:val="7"/>
              <w:spacing w:before="31" w:line="220" w:lineRule="auto"/>
              <w:ind w:left="104"/>
            </w:pPr>
            <w:r>
              <w:rPr>
                <w:b/>
                <w:bCs/>
                <w:color w:val="FF0000"/>
                <w:spacing w:val="-2"/>
              </w:rPr>
              <w:t>【修改】P219</w:t>
            </w:r>
          </w:p>
          <w:p w14:paraId="60633369">
            <w:pPr>
              <w:pStyle w:val="7"/>
              <w:spacing w:before="23" w:line="220" w:lineRule="auto"/>
              <w:ind w:left="118"/>
            </w:pPr>
            <w:r>
              <w:rPr>
                <w:b/>
                <w:bCs/>
                <w:spacing w:val="-3"/>
              </w:rPr>
              <w:t>5.2.1</w:t>
            </w:r>
            <w:r>
              <w:rPr>
                <w:spacing w:val="-47"/>
              </w:rPr>
              <w:t xml:space="preserve"> </w:t>
            </w:r>
            <w:r>
              <w:rPr>
                <w:b/>
                <w:bCs/>
                <w:spacing w:val="-3"/>
              </w:rPr>
              <w:t>施工质量抽样检验方法</w:t>
            </w:r>
          </w:p>
          <w:p w14:paraId="447A56D5">
            <w:pPr>
              <w:pStyle w:val="7"/>
              <w:spacing w:before="23" w:line="219" w:lineRule="auto"/>
              <w:ind w:left="118"/>
            </w:pPr>
            <w:r>
              <w:rPr>
                <w:spacing w:val="-2"/>
              </w:rPr>
              <w:t>3.随机抽样方法</w:t>
            </w:r>
          </w:p>
          <w:p w14:paraId="4AF649EE">
            <w:pPr>
              <w:pStyle w:val="7"/>
              <w:spacing w:before="24" w:line="219" w:lineRule="auto"/>
              <w:ind w:left="118"/>
            </w:pPr>
            <w:r>
              <w:rPr>
                <w:spacing w:val="-2"/>
              </w:rPr>
              <w:t>3)分层随机抽样</w:t>
            </w:r>
          </w:p>
          <w:p w14:paraId="1B67D093">
            <w:pPr>
              <w:pStyle w:val="7"/>
              <w:spacing w:before="28" w:line="235" w:lineRule="auto"/>
              <w:ind w:left="112" w:right="104" w:firstLine="4"/>
            </w:pPr>
            <w:r>
              <w:t>分层随机抽样是指将总体</w:t>
            </w:r>
            <w:r>
              <w:rPr>
                <w:b/>
                <w:bCs/>
                <w:color w:val="EE0000"/>
              </w:rPr>
              <w:t>按某些特征</w:t>
            </w:r>
            <w:r>
              <w:t>分割成互不重</w:t>
            </w:r>
            <w:r>
              <w:rPr>
                <w:spacing w:val="5"/>
              </w:rPr>
              <w:t>叠的子总体(层),在每层中独立地按给定的样本量</w:t>
            </w:r>
            <w:r>
              <w:t>进行简单随机抽样。例如，由不同班组生产的同一种产品组成一个批，在这种情况下，考虑各班组生产的产品质量可能会有波动，为了获得有代表性的样本，便可将整批产品按不同班组分成若干层。这样，可使同一层内的产品质量均匀整齐，然后在各</w:t>
            </w:r>
            <w:r>
              <w:rPr>
                <w:spacing w:val="-3"/>
              </w:rPr>
              <w:t>层内再分别抽取样本。</w:t>
            </w:r>
          </w:p>
        </w:tc>
      </w:tr>
      <w:tr w14:paraId="26C521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1" w:hRule="atLeast"/>
        </w:trPr>
        <w:tc>
          <w:tcPr>
            <w:tcW w:w="4779" w:type="dxa"/>
            <w:vAlign w:val="top"/>
          </w:tcPr>
          <w:p w14:paraId="0B79303B">
            <w:pPr>
              <w:pStyle w:val="7"/>
              <w:spacing w:before="33"/>
              <w:ind w:left="112"/>
            </w:pPr>
            <w:r>
              <w:rPr>
                <w:b/>
                <w:bCs/>
                <w:color w:val="FF0000"/>
                <w:spacing w:val="-3"/>
              </w:rPr>
              <w:t>P221</w:t>
            </w:r>
          </w:p>
          <w:p w14:paraId="3ED60EB6">
            <w:pPr>
              <w:pStyle w:val="7"/>
              <w:spacing w:before="1" w:line="220" w:lineRule="auto"/>
              <w:ind w:left="120"/>
            </w:pPr>
            <w:r>
              <w:rPr>
                <w:b/>
                <w:bCs/>
                <w:spacing w:val="-3"/>
              </w:rPr>
              <w:t>5.2.2</w:t>
            </w:r>
            <w:r>
              <w:rPr>
                <w:spacing w:val="-46"/>
              </w:rPr>
              <w:t xml:space="preserve"> </w:t>
            </w:r>
            <w:r>
              <w:rPr>
                <w:b/>
                <w:bCs/>
                <w:spacing w:val="-3"/>
              </w:rPr>
              <w:t>施工质量统计分析方法</w:t>
            </w:r>
          </w:p>
          <w:p w14:paraId="4DBEEC36">
            <w:pPr>
              <w:pStyle w:val="7"/>
              <w:spacing w:before="22" w:line="220" w:lineRule="auto"/>
              <w:ind w:left="132"/>
            </w:pPr>
            <w:r>
              <w:rPr>
                <w:spacing w:val="-5"/>
              </w:rPr>
              <w:t>1.分层法</w:t>
            </w:r>
          </w:p>
          <w:p w14:paraId="312CD820">
            <w:pPr>
              <w:pStyle w:val="7"/>
              <w:spacing w:before="25" w:line="233" w:lineRule="auto"/>
              <w:ind w:left="115" w:right="25" w:hanging="9"/>
            </w:pPr>
            <w:r>
              <w:rPr>
                <w:spacing w:val="-3"/>
              </w:rPr>
              <w:t>【例</w:t>
            </w:r>
            <w:r>
              <w:rPr>
                <w:spacing w:val="-20"/>
              </w:rPr>
              <w:t xml:space="preserve"> </w:t>
            </w:r>
            <w:r>
              <w:rPr>
                <w:spacing w:val="-3"/>
              </w:rPr>
              <w:t>5.2-1】某钢结构工程焊接，由</w:t>
            </w:r>
            <w:r>
              <w:rPr>
                <w:spacing w:val="-26"/>
              </w:rPr>
              <w:t xml:space="preserve"> </w:t>
            </w:r>
            <w:r>
              <w:rPr>
                <w:spacing w:val="-3"/>
              </w:rPr>
              <w:t>A、B、C</w:t>
            </w:r>
            <w:r>
              <w:rPr>
                <w:spacing w:val="-49"/>
              </w:rPr>
              <w:t xml:space="preserve"> </w:t>
            </w:r>
            <w:r>
              <w:rPr>
                <w:spacing w:val="-3"/>
              </w:rPr>
              <w:t>三</w:t>
            </w:r>
            <w:r>
              <w:rPr>
                <w:spacing w:val="-10"/>
              </w:rPr>
              <w:t>个焊工操作完成，焊条由甲、乙两家生产厂提供。</w:t>
            </w:r>
            <w:r>
              <w:rPr>
                <w:spacing w:val="-1"/>
              </w:rPr>
              <w:t>施工过程中，共检测</w:t>
            </w:r>
            <w:r>
              <w:rPr>
                <w:spacing w:val="-20"/>
              </w:rPr>
              <w:t xml:space="preserve"> </w:t>
            </w:r>
            <w:r>
              <w:rPr>
                <w:spacing w:val="-1"/>
              </w:rPr>
              <w:t>60</w:t>
            </w:r>
            <w:r>
              <w:rPr>
                <w:spacing w:val="-23"/>
              </w:rPr>
              <w:t xml:space="preserve"> </w:t>
            </w:r>
            <w:r>
              <w:rPr>
                <w:spacing w:val="-1"/>
              </w:rPr>
              <w:t>个焊接点质量，其中有</w:t>
            </w:r>
            <w:r>
              <w:rPr>
                <w:color w:val="EE0000"/>
                <w:spacing w:val="-1"/>
              </w:rPr>
              <w:t>24</w:t>
            </w:r>
            <w:r>
              <w:rPr>
                <w:color w:val="EE0000"/>
                <w:spacing w:val="-20"/>
              </w:rPr>
              <w:t xml:space="preserve"> </w:t>
            </w:r>
            <w:r>
              <w:rPr>
                <w:spacing w:val="-1"/>
              </w:rPr>
              <w:t>个焊接点不合格，不合格率</w:t>
            </w:r>
            <w:r>
              <w:rPr>
                <w:spacing w:val="-23"/>
              </w:rPr>
              <w:t xml:space="preserve"> </w:t>
            </w:r>
            <w:r>
              <w:rPr>
                <w:color w:val="EE0000"/>
                <w:spacing w:val="-1"/>
              </w:rPr>
              <w:t>40%</w:t>
            </w:r>
            <w:r>
              <w:rPr>
                <w:spacing w:val="-1"/>
              </w:rPr>
              <w:t>,存在严重的</w:t>
            </w:r>
            <w:r>
              <w:rPr>
                <w:spacing w:val="-3"/>
              </w:rPr>
              <w:t>质量问题。为此，通过分层分析，得到焊接</w:t>
            </w:r>
            <w:r>
              <w:rPr>
                <w:spacing w:val="-4"/>
              </w:rPr>
              <w:t>操作</w:t>
            </w:r>
          </w:p>
        </w:tc>
        <w:tc>
          <w:tcPr>
            <w:tcW w:w="5081" w:type="dxa"/>
            <w:vAlign w:val="top"/>
          </w:tcPr>
          <w:p w14:paraId="20CFE7AD">
            <w:pPr>
              <w:pStyle w:val="7"/>
              <w:spacing w:before="33" w:line="220" w:lineRule="auto"/>
              <w:ind w:left="104"/>
            </w:pPr>
            <w:r>
              <w:rPr>
                <w:b/>
                <w:bCs/>
                <w:color w:val="FF0000"/>
                <w:spacing w:val="-2"/>
              </w:rPr>
              <w:t>【修改】P223</w:t>
            </w:r>
          </w:p>
          <w:p w14:paraId="1285FFEA">
            <w:pPr>
              <w:pStyle w:val="7"/>
              <w:spacing w:before="23" w:line="221" w:lineRule="auto"/>
              <w:ind w:left="118"/>
            </w:pPr>
            <w:r>
              <w:rPr>
                <w:b/>
                <w:bCs/>
                <w:spacing w:val="-3"/>
              </w:rPr>
              <w:t>5.2.2</w:t>
            </w:r>
            <w:r>
              <w:rPr>
                <w:spacing w:val="-47"/>
              </w:rPr>
              <w:t xml:space="preserve"> </w:t>
            </w:r>
            <w:r>
              <w:rPr>
                <w:b/>
                <w:bCs/>
                <w:spacing w:val="-3"/>
              </w:rPr>
              <w:t>施工质量统计分析方法</w:t>
            </w:r>
          </w:p>
          <w:p w14:paraId="17C400EE">
            <w:pPr>
              <w:pStyle w:val="7"/>
              <w:spacing w:before="22" w:line="220" w:lineRule="auto"/>
              <w:ind w:left="130"/>
            </w:pPr>
            <w:r>
              <w:rPr>
                <w:spacing w:val="-5"/>
              </w:rPr>
              <w:t>1.分层法</w:t>
            </w:r>
          </w:p>
          <w:p w14:paraId="0A6C82E4">
            <w:pPr>
              <w:pStyle w:val="7"/>
              <w:spacing w:before="25" w:line="233" w:lineRule="auto"/>
              <w:ind w:left="113" w:right="104" w:hanging="9"/>
            </w:pPr>
            <w:r>
              <w:rPr>
                <w:spacing w:val="-2"/>
              </w:rPr>
              <w:t>【例 5.2-1】某钢结构工程焊接，由</w:t>
            </w:r>
            <w:r>
              <w:rPr>
                <w:spacing w:val="-15"/>
              </w:rPr>
              <w:t xml:space="preserve"> </w:t>
            </w:r>
            <w:r>
              <w:rPr>
                <w:spacing w:val="-2"/>
              </w:rPr>
              <w:t>A、B、C</w:t>
            </w:r>
            <w:r>
              <w:rPr>
                <w:spacing w:val="-20"/>
              </w:rPr>
              <w:t xml:space="preserve"> </w:t>
            </w:r>
            <w:r>
              <w:rPr>
                <w:spacing w:val="-2"/>
              </w:rPr>
              <w:t>三个</w:t>
            </w:r>
            <w:r>
              <w:t>焊工操作完成，焊条由甲、乙两家生产厂提供。施</w:t>
            </w:r>
            <w:r>
              <w:rPr>
                <w:spacing w:val="-2"/>
              </w:rPr>
              <w:t>工过程中，共检测</w:t>
            </w:r>
            <w:r>
              <w:rPr>
                <w:spacing w:val="-40"/>
              </w:rPr>
              <w:t xml:space="preserve"> </w:t>
            </w:r>
            <w:r>
              <w:rPr>
                <w:spacing w:val="-2"/>
              </w:rPr>
              <w:t>60</w:t>
            </w:r>
            <w:r>
              <w:rPr>
                <w:spacing w:val="-41"/>
              </w:rPr>
              <w:t xml:space="preserve"> </w:t>
            </w:r>
            <w:r>
              <w:rPr>
                <w:spacing w:val="-2"/>
              </w:rPr>
              <w:t>个焊接点质量，其中有</w:t>
            </w:r>
            <w:r>
              <w:rPr>
                <w:spacing w:val="-41"/>
              </w:rPr>
              <w:t xml:space="preserve"> </w:t>
            </w:r>
            <w:r>
              <w:rPr>
                <w:b/>
                <w:bCs/>
                <w:color w:val="EE0000"/>
                <w:spacing w:val="-2"/>
              </w:rPr>
              <w:t>23</w:t>
            </w:r>
            <w:r>
              <w:rPr>
                <w:color w:val="EE0000"/>
                <w:spacing w:val="-41"/>
              </w:rPr>
              <w:t xml:space="preserve"> </w:t>
            </w:r>
            <w:r>
              <w:rPr>
                <w:spacing w:val="-2"/>
              </w:rPr>
              <w:t>个</w:t>
            </w:r>
            <w:r>
              <w:rPr>
                <w:spacing w:val="-3"/>
              </w:rPr>
              <w:t>焊接点不合格，不合格率</w:t>
            </w:r>
            <w:r>
              <w:rPr>
                <w:spacing w:val="-32"/>
              </w:rPr>
              <w:t xml:space="preserve"> </w:t>
            </w:r>
            <w:r>
              <w:rPr>
                <w:b/>
                <w:bCs/>
                <w:color w:val="EE0000"/>
                <w:spacing w:val="-3"/>
              </w:rPr>
              <w:t>38.3%</w:t>
            </w:r>
            <w:r>
              <w:rPr>
                <w:spacing w:val="-3"/>
              </w:rPr>
              <w:t>,存在严重的质量问</w:t>
            </w:r>
            <w:r>
              <w:t>题。为此，通过分层分析，得到焊接操作者和焊条</w:t>
            </w:r>
          </w:p>
        </w:tc>
      </w:tr>
    </w:tbl>
    <w:p w14:paraId="6199FF4A">
      <w:pPr>
        <w:rPr>
          <w:rFonts w:ascii="Arial"/>
          <w:sz w:val="21"/>
        </w:rPr>
      </w:pPr>
    </w:p>
    <w:p w14:paraId="730AFB95">
      <w:pPr>
        <w:rPr>
          <w:rFonts w:ascii="Arial" w:hAnsi="Arial" w:eastAsia="Arial" w:cs="Arial"/>
          <w:sz w:val="21"/>
          <w:szCs w:val="21"/>
        </w:rPr>
        <w:sectPr>
          <w:footerReference r:id="rId15"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6A098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4779" w:type="dxa"/>
            <w:vAlign w:val="top"/>
          </w:tcPr>
          <w:p w14:paraId="49DA7900">
            <w:pPr>
              <w:pStyle w:val="7"/>
              <w:spacing w:before="33" w:line="225" w:lineRule="auto"/>
              <w:ind w:left="120" w:right="104" w:hanging="2"/>
            </w:pPr>
            <w:r>
              <w:rPr>
                <w:spacing w:val="19"/>
              </w:rPr>
              <w:t>者和焊条生产厂家产品不合格情况分别见表</w:t>
            </w:r>
            <w:r>
              <w:rPr>
                <w:spacing w:val="-3"/>
              </w:rPr>
              <w:t>5.2-1</w:t>
            </w:r>
            <w:r>
              <w:rPr>
                <w:spacing w:val="-40"/>
              </w:rPr>
              <w:t xml:space="preserve"> </w:t>
            </w:r>
            <w:r>
              <w:rPr>
                <w:spacing w:val="-3"/>
              </w:rPr>
              <w:t>和表</w:t>
            </w:r>
            <w:r>
              <w:rPr>
                <w:spacing w:val="-42"/>
              </w:rPr>
              <w:t xml:space="preserve"> </w:t>
            </w:r>
            <w:r>
              <w:rPr>
                <w:spacing w:val="-3"/>
              </w:rPr>
              <w:t>5.2-2。</w:t>
            </w:r>
          </w:p>
        </w:tc>
        <w:tc>
          <w:tcPr>
            <w:tcW w:w="5081" w:type="dxa"/>
            <w:vAlign w:val="top"/>
          </w:tcPr>
          <w:p w14:paraId="2B50081C">
            <w:pPr>
              <w:pStyle w:val="7"/>
              <w:spacing w:before="33" w:line="225" w:lineRule="auto"/>
              <w:ind w:left="118" w:right="104" w:hanging="2"/>
            </w:pPr>
            <w:r>
              <w:rPr>
                <w:spacing w:val="13"/>
              </w:rPr>
              <w:t>生产厂家产品不合格情况分别见表 5.2-1</w:t>
            </w:r>
            <w:r>
              <w:rPr>
                <w:spacing w:val="45"/>
              </w:rPr>
              <w:t xml:space="preserve"> </w:t>
            </w:r>
            <w:r>
              <w:rPr>
                <w:spacing w:val="13"/>
              </w:rPr>
              <w:t>和表</w:t>
            </w:r>
            <w:r>
              <w:rPr>
                <w:spacing w:val="-2"/>
              </w:rPr>
              <w:t>5.2-2。</w:t>
            </w:r>
          </w:p>
        </w:tc>
      </w:tr>
      <w:tr w14:paraId="3BCFD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7" w:hRule="atLeast"/>
        </w:trPr>
        <w:tc>
          <w:tcPr>
            <w:tcW w:w="4779" w:type="dxa"/>
            <w:vAlign w:val="top"/>
          </w:tcPr>
          <w:p w14:paraId="6485F89A">
            <w:pPr>
              <w:pStyle w:val="7"/>
              <w:spacing w:before="29"/>
              <w:ind w:left="112"/>
            </w:pPr>
            <w:r>
              <w:rPr>
                <w:b/>
                <w:bCs/>
                <w:color w:val="FF0000"/>
                <w:spacing w:val="-3"/>
              </w:rPr>
              <w:t>P233</w:t>
            </w:r>
          </w:p>
          <w:p w14:paraId="722A9BA4">
            <w:pPr>
              <w:pStyle w:val="7"/>
              <w:spacing w:before="1" w:line="220" w:lineRule="auto"/>
              <w:ind w:left="120"/>
            </w:pPr>
            <w:r>
              <w:rPr>
                <w:b/>
                <w:bCs/>
                <w:spacing w:val="-4"/>
              </w:rPr>
              <w:t>5.3.1</w:t>
            </w:r>
            <w:r>
              <w:rPr>
                <w:spacing w:val="-36"/>
              </w:rPr>
              <w:t xml:space="preserve"> </w:t>
            </w:r>
            <w:r>
              <w:rPr>
                <w:b/>
                <w:bCs/>
                <w:spacing w:val="-4"/>
              </w:rPr>
              <w:t>施工准备质量控制</w:t>
            </w:r>
          </w:p>
          <w:p w14:paraId="14634E86">
            <w:pPr>
              <w:pStyle w:val="7"/>
              <w:spacing w:before="22" w:line="220" w:lineRule="auto"/>
              <w:ind w:left="119"/>
            </w:pPr>
            <w:r>
              <w:rPr>
                <w:spacing w:val="-1"/>
              </w:rPr>
              <w:t>2.施工技术准备</w:t>
            </w:r>
          </w:p>
          <w:p w14:paraId="35720F14">
            <w:pPr>
              <w:pStyle w:val="7"/>
              <w:spacing w:before="23" w:line="219" w:lineRule="auto"/>
              <w:ind w:left="132"/>
            </w:pPr>
            <w:r>
              <w:rPr>
                <w:spacing w:val="-3"/>
              </w:rPr>
              <w:t>1）熟悉与会审图纸</w:t>
            </w:r>
          </w:p>
          <w:p w14:paraId="699DC4BD">
            <w:pPr>
              <w:pStyle w:val="7"/>
              <w:spacing w:before="24"/>
              <w:ind w:left="116" w:right="101" w:firstLine="438"/>
              <w:jc w:val="both"/>
            </w:pPr>
            <w:r>
              <w:rPr>
                <w:spacing w:val="8"/>
              </w:rPr>
              <w:t>施工单位收到拟建工程的设计图纸和有关</w:t>
            </w:r>
            <w:r>
              <w:rPr>
                <w:spacing w:val="-4"/>
              </w:rPr>
              <w:t>技术文件后，应尽快组织有关工程技术人员熟悉和自审图纸，</w:t>
            </w:r>
            <w:r>
              <w:rPr>
                <w:color w:val="EE0000"/>
                <w:spacing w:val="-4"/>
              </w:rPr>
              <w:t>写出自审图纸记录。自审图纸记录</w:t>
            </w:r>
            <w:r>
              <w:rPr>
                <w:color w:val="EE0000"/>
                <w:spacing w:val="7"/>
              </w:rPr>
              <w:t>应包括对设计图纸的疑问和对设计图纸的有关</w:t>
            </w:r>
            <w:r>
              <w:rPr>
                <w:color w:val="EE0000"/>
                <w:spacing w:val="-9"/>
              </w:rPr>
              <w:t>建议。</w:t>
            </w:r>
          </w:p>
          <w:p w14:paraId="06502C36">
            <w:pPr>
              <w:pStyle w:val="7"/>
              <w:spacing w:before="9" w:line="268" w:lineRule="auto"/>
              <w:ind w:left="126" w:right="201" w:firstLine="443"/>
            </w:pPr>
            <w:r>
              <w:rPr>
                <w:spacing w:val="1"/>
              </w:rPr>
              <w:t>施工图会审会议由建设单位主持，设计单</w:t>
            </w:r>
            <w:r>
              <w:rPr>
                <w:spacing w:val="2"/>
              </w:rPr>
              <w:t>位和施工单位、工程监理单位参加。图纸会审</w:t>
            </w:r>
            <w:r>
              <w:rPr>
                <w:spacing w:val="-9"/>
              </w:rPr>
              <w:t>时，首先由设计单位的项目负责人向与会者说明拟建工程的设计依据、意图和功能要求，并对特</w:t>
            </w:r>
            <w:r>
              <w:rPr>
                <w:spacing w:val="1"/>
              </w:rPr>
              <w:t>殊结构、新材料、新工艺和新技术提出设计要求。然后，施工单位根据自审图纸记录以及对设计意图的了解，提出对设计图纸的疑问和建</w:t>
            </w:r>
            <w:r>
              <w:rPr>
                <w:spacing w:val="-1"/>
              </w:rPr>
              <w:t>议，形成“</w:t>
            </w:r>
            <w:r>
              <w:rPr>
                <w:spacing w:val="-74"/>
              </w:rPr>
              <w:t xml:space="preserve"> </w:t>
            </w:r>
            <w:r>
              <w:rPr>
                <w:spacing w:val="-1"/>
              </w:rPr>
              <w:t>图纸会审纪要</w:t>
            </w:r>
            <w:r>
              <w:rPr>
                <w:spacing w:val="-81"/>
              </w:rPr>
              <w:t xml:space="preserve"> </w:t>
            </w:r>
            <w:r>
              <w:rPr>
                <w:spacing w:val="-1"/>
              </w:rPr>
              <w:t>”，与会各方会签、</w:t>
            </w:r>
            <w:r>
              <w:rPr>
                <w:spacing w:val="1"/>
              </w:rPr>
              <w:t>盖章，作为与设计文件同时使用的技术文件和</w:t>
            </w:r>
            <w:r>
              <w:rPr>
                <w:spacing w:val="-6"/>
              </w:rPr>
              <w:t>指导施工的依据。</w:t>
            </w:r>
          </w:p>
        </w:tc>
        <w:tc>
          <w:tcPr>
            <w:tcW w:w="5081" w:type="dxa"/>
            <w:vAlign w:val="top"/>
          </w:tcPr>
          <w:p w14:paraId="4A2F9288">
            <w:pPr>
              <w:pStyle w:val="7"/>
              <w:spacing w:before="29" w:line="220" w:lineRule="auto"/>
              <w:ind w:left="104"/>
            </w:pPr>
            <w:r>
              <w:rPr>
                <w:b/>
                <w:bCs/>
                <w:color w:val="FF0000"/>
                <w:spacing w:val="-2"/>
              </w:rPr>
              <w:t>【修改】P235</w:t>
            </w:r>
          </w:p>
          <w:p w14:paraId="29FF4738">
            <w:pPr>
              <w:pStyle w:val="7"/>
              <w:spacing w:before="23" w:line="221" w:lineRule="auto"/>
              <w:ind w:left="118"/>
            </w:pPr>
            <w:r>
              <w:rPr>
                <w:b/>
                <w:bCs/>
                <w:spacing w:val="-4"/>
              </w:rPr>
              <w:t>5.3.1</w:t>
            </w:r>
            <w:r>
              <w:rPr>
                <w:spacing w:val="-36"/>
              </w:rPr>
              <w:t xml:space="preserve"> </w:t>
            </w:r>
            <w:r>
              <w:rPr>
                <w:b/>
                <w:bCs/>
                <w:spacing w:val="-4"/>
              </w:rPr>
              <w:t>施工准备质量控制</w:t>
            </w:r>
          </w:p>
          <w:p w14:paraId="25B1AAB1">
            <w:pPr>
              <w:pStyle w:val="7"/>
              <w:spacing w:before="22" w:line="220" w:lineRule="auto"/>
              <w:ind w:left="117"/>
            </w:pPr>
            <w:r>
              <w:rPr>
                <w:spacing w:val="-2"/>
              </w:rPr>
              <w:t>2.施工技术准备</w:t>
            </w:r>
          </w:p>
          <w:p w14:paraId="610D7907">
            <w:pPr>
              <w:pStyle w:val="7"/>
              <w:spacing w:before="23" w:line="219" w:lineRule="auto"/>
              <w:ind w:left="130"/>
            </w:pPr>
            <w:r>
              <w:rPr>
                <w:spacing w:val="-3"/>
              </w:rPr>
              <w:t>1)熟悉与会审图纸</w:t>
            </w:r>
          </w:p>
          <w:p w14:paraId="1FF80E90">
            <w:pPr>
              <w:pStyle w:val="7"/>
              <w:spacing w:before="25" w:line="239" w:lineRule="auto"/>
              <w:ind w:left="114" w:right="107" w:firstLine="438"/>
              <w:jc w:val="both"/>
            </w:pPr>
            <w:r>
              <w:t>施工单位收到拟建工程的设计图纸和有关技术文件后，应尽快组织有关工程技术人员熟悉和自审</w:t>
            </w:r>
            <w:r>
              <w:rPr>
                <w:spacing w:val="-2"/>
              </w:rPr>
              <w:t>图纸，</w:t>
            </w:r>
            <w:r>
              <w:rPr>
                <w:b/>
                <w:bCs/>
                <w:color w:val="EE0000"/>
                <w:spacing w:val="-2"/>
              </w:rPr>
              <w:t>编制“图纸自审问题清单”。“图纸自审问</w:t>
            </w:r>
            <w:r>
              <w:rPr>
                <w:b/>
                <w:bCs/>
                <w:color w:val="EE0000"/>
                <w:spacing w:val="-4"/>
              </w:rPr>
              <w:t>题清单”应包括对设计图纸的疑问和有关建议。</w:t>
            </w:r>
          </w:p>
          <w:p w14:paraId="0F465284">
            <w:pPr>
              <w:pStyle w:val="7"/>
              <w:spacing w:before="6" w:line="239" w:lineRule="auto"/>
              <w:ind w:left="113" w:right="29" w:firstLine="439"/>
            </w:pPr>
            <w:r>
              <w:t>施工图会审会议由建设单位主持，设计单位和施工单位、工程监理单位参加。图纸会审时，首先由设计单位的项目负责人向与会者说明拟建工程的设计依据、意图和功能要求，并对特殊结构、新材</w:t>
            </w:r>
            <w:r>
              <w:rPr>
                <w:spacing w:val="-7"/>
              </w:rPr>
              <w:t>料、新工艺和新技术提出设计要求</w:t>
            </w:r>
            <w:r>
              <w:rPr>
                <w:b/>
                <w:bCs/>
                <w:color w:val="EE0000"/>
                <w:spacing w:val="-7"/>
              </w:rPr>
              <w:t>及施工注意事项。</w:t>
            </w:r>
            <w:r>
              <w:rPr>
                <w:spacing w:val="-1"/>
              </w:rPr>
              <w:t>然后，施工单位根据</w:t>
            </w:r>
            <w:r>
              <w:rPr>
                <w:b/>
                <w:bCs/>
                <w:color w:val="EE0000"/>
                <w:spacing w:val="-1"/>
              </w:rPr>
              <w:t>“图纸自审问题清单”</w:t>
            </w:r>
            <w:r>
              <w:rPr>
                <w:spacing w:val="-1"/>
              </w:rPr>
              <w:t>和对设</w:t>
            </w:r>
            <w:r>
              <w:t>计意图的</w:t>
            </w:r>
            <w:r>
              <w:rPr>
                <w:b/>
                <w:bCs/>
                <w:color w:val="EE0000"/>
              </w:rPr>
              <w:t>理解</w:t>
            </w:r>
            <w:r>
              <w:t>，提出对设计图纸的疑问和建议。</w:t>
            </w:r>
            <w:r>
              <w:rPr>
                <w:b/>
                <w:bCs/>
                <w:color w:val="EE0000"/>
              </w:rPr>
              <w:t>设</w:t>
            </w:r>
            <w:r>
              <w:rPr>
                <w:b/>
                <w:bCs/>
                <w:color w:val="EE0000"/>
                <w:spacing w:val="-2"/>
              </w:rPr>
              <w:t>计单位对提出的问题逐一进行解答和澄清。对于能</w:t>
            </w:r>
            <w:r>
              <w:rPr>
                <w:b/>
                <w:bCs/>
                <w:color w:val="EE0000"/>
                <w:spacing w:val="-4"/>
              </w:rPr>
              <w:t>够当场确定的问题，由主持人协调形成一致意见。对于复杂问题，确定解决方案和责任人。</w:t>
            </w:r>
          </w:p>
          <w:p w14:paraId="76698C90">
            <w:pPr>
              <w:pStyle w:val="7"/>
              <w:spacing w:before="2" w:line="233" w:lineRule="auto"/>
              <w:ind w:left="113" w:right="46"/>
              <w:jc w:val="both"/>
            </w:pPr>
            <w:r>
              <w:rPr>
                <w:b/>
                <w:bCs/>
                <w:color w:val="EE0000"/>
                <w:spacing w:val="-9"/>
              </w:rPr>
              <w:t>施工图会审会议结束后，由监理单位根据会议记录</w:t>
            </w:r>
            <w:r>
              <w:rPr>
                <w:spacing w:val="-9"/>
              </w:rPr>
              <w:t>，</w:t>
            </w:r>
            <w:r>
              <w:rPr>
                <w:b/>
                <w:bCs/>
                <w:color w:val="EE0000"/>
                <w:spacing w:val="-2"/>
              </w:rPr>
              <w:t>整理编写施工图会审纪要，详细记录所有问题及最终解决方案。施工图会审纪要经各方签字、盖章确认后，与施工图具有同等法律效力，是后续施工和</w:t>
            </w:r>
            <w:r>
              <w:rPr>
                <w:b/>
                <w:bCs/>
                <w:color w:val="EE0000"/>
                <w:spacing w:val="-7"/>
              </w:rPr>
              <w:t>结算的重要依据。</w:t>
            </w:r>
          </w:p>
        </w:tc>
      </w:tr>
      <w:tr w14:paraId="2A7A5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1" w:hRule="atLeast"/>
        </w:trPr>
        <w:tc>
          <w:tcPr>
            <w:tcW w:w="4779" w:type="dxa"/>
            <w:vAlign w:val="top"/>
          </w:tcPr>
          <w:p w14:paraId="2426DC01">
            <w:pPr>
              <w:pStyle w:val="7"/>
              <w:spacing w:before="31"/>
              <w:ind w:left="112"/>
            </w:pPr>
            <w:r>
              <w:rPr>
                <w:b/>
                <w:bCs/>
                <w:color w:val="FF0000"/>
                <w:spacing w:val="-3"/>
              </w:rPr>
              <w:t>P242</w:t>
            </w:r>
          </w:p>
          <w:p w14:paraId="18AC5DB4">
            <w:pPr>
              <w:pStyle w:val="7"/>
              <w:spacing w:before="1" w:line="220" w:lineRule="auto"/>
              <w:ind w:left="120"/>
            </w:pPr>
            <w:r>
              <w:rPr>
                <w:b/>
                <w:bCs/>
                <w:spacing w:val="-4"/>
              </w:rPr>
              <w:t>5.3.2</w:t>
            </w:r>
            <w:r>
              <w:rPr>
                <w:spacing w:val="-36"/>
              </w:rPr>
              <w:t xml:space="preserve"> </w:t>
            </w:r>
            <w:r>
              <w:rPr>
                <w:b/>
                <w:bCs/>
                <w:spacing w:val="-4"/>
              </w:rPr>
              <w:t>施工过程质量控制</w:t>
            </w:r>
          </w:p>
          <w:p w14:paraId="1B87E8E1">
            <w:pPr>
              <w:pStyle w:val="7"/>
              <w:spacing w:before="22" w:line="220" w:lineRule="auto"/>
              <w:ind w:left="120"/>
            </w:pPr>
            <w:r>
              <w:rPr>
                <w:spacing w:val="-1"/>
              </w:rPr>
              <w:t>3.作业技术活动结果控制</w:t>
            </w:r>
          </w:p>
          <w:p w14:paraId="755906C8">
            <w:pPr>
              <w:pStyle w:val="7"/>
              <w:spacing w:before="21" w:line="220" w:lineRule="auto"/>
              <w:ind w:left="120"/>
            </w:pPr>
            <w:r>
              <w:rPr>
                <w:spacing w:val="-3"/>
              </w:rPr>
              <w:t>3）工序交接验收</w:t>
            </w:r>
          </w:p>
          <w:p w14:paraId="45E16FDF">
            <w:pPr>
              <w:pStyle w:val="7"/>
              <w:spacing w:before="25"/>
              <w:ind w:left="116" w:right="101" w:firstLine="2"/>
              <w:jc w:val="both"/>
            </w:pPr>
            <w:r>
              <w:rPr>
                <w:color w:val="EE0000"/>
                <w:spacing w:val="7"/>
              </w:rPr>
              <w:t>工序交接验收是指作业活动中一种必要的技术停顿、作业方式转换及作业活动效果的中间确认。上道工序应满足下道工序的施工条件和要</w:t>
            </w:r>
            <w:r>
              <w:rPr>
                <w:color w:val="EE0000"/>
                <w:spacing w:val="-4"/>
              </w:rPr>
              <w:t>求。对相关专业工序之间也是如此。通过工序间交接验收，使各工序间和相关专业工程间形成一个有机整体。</w:t>
            </w:r>
          </w:p>
        </w:tc>
        <w:tc>
          <w:tcPr>
            <w:tcW w:w="5081" w:type="dxa"/>
            <w:vAlign w:val="top"/>
          </w:tcPr>
          <w:p w14:paraId="6EE0923F">
            <w:pPr>
              <w:pStyle w:val="7"/>
              <w:spacing w:before="31" w:line="220" w:lineRule="auto"/>
              <w:ind w:left="104"/>
            </w:pPr>
            <w:r>
              <w:rPr>
                <w:b/>
                <w:bCs/>
                <w:color w:val="EE0000"/>
                <w:spacing w:val="-2"/>
              </w:rPr>
              <w:t>【修改】P244</w:t>
            </w:r>
          </w:p>
          <w:p w14:paraId="39C5842D">
            <w:pPr>
              <w:pStyle w:val="7"/>
              <w:spacing w:before="23" w:line="221" w:lineRule="auto"/>
              <w:ind w:left="118"/>
            </w:pPr>
            <w:r>
              <w:rPr>
                <w:b/>
                <w:bCs/>
                <w:spacing w:val="-4"/>
              </w:rPr>
              <w:t>5.3.2</w:t>
            </w:r>
            <w:r>
              <w:rPr>
                <w:spacing w:val="-36"/>
              </w:rPr>
              <w:t xml:space="preserve"> </w:t>
            </w:r>
            <w:r>
              <w:rPr>
                <w:b/>
                <w:bCs/>
                <w:spacing w:val="-4"/>
              </w:rPr>
              <w:t>施工过程质量控制</w:t>
            </w:r>
          </w:p>
          <w:p w14:paraId="10F07DA4">
            <w:pPr>
              <w:pStyle w:val="7"/>
              <w:spacing w:before="22" w:line="220" w:lineRule="auto"/>
              <w:ind w:left="118"/>
            </w:pPr>
            <w:r>
              <w:rPr>
                <w:spacing w:val="-1"/>
              </w:rPr>
              <w:t>3.作业技术活动结果控制</w:t>
            </w:r>
          </w:p>
          <w:p w14:paraId="28C8B3E2">
            <w:pPr>
              <w:pStyle w:val="7"/>
              <w:spacing w:before="21" w:line="220" w:lineRule="auto"/>
              <w:ind w:left="118"/>
            </w:pPr>
            <w:r>
              <w:rPr>
                <w:spacing w:val="-2"/>
              </w:rPr>
              <w:t>3)工序交接验收</w:t>
            </w:r>
          </w:p>
          <w:p w14:paraId="1DC7D422">
            <w:pPr>
              <w:pStyle w:val="7"/>
              <w:spacing w:before="22"/>
              <w:ind w:left="113" w:right="47" w:firstLine="3"/>
              <w:jc w:val="both"/>
            </w:pPr>
            <w:r>
              <w:rPr>
                <w:color w:val="EE0000"/>
              </w:rPr>
              <w:t>工序交接验收是指在施工过程中，当某一工序完成后，由施工单位、监理单位(或建设单位)等相关方</w:t>
            </w:r>
            <w:r>
              <w:rPr>
                <w:color w:val="EE0000"/>
                <w:spacing w:val="-7"/>
              </w:rPr>
              <w:t>对该工序质量进行检查，确认合格后签署交接文件，</w:t>
            </w:r>
            <w:r>
              <w:rPr>
                <w:color w:val="EE0000"/>
                <w:spacing w:val="-2"/>
              </w:rPr>
              <w:t>允许下一工道序施工的过程。</w:t>
            </w:r>
          </w:p>
          <w:p w14:paraId="5DAED723">
            <w:pPr>
              <w:pStyle w:val="7"/>
              <w:spacing w:line="220" w:lineRule="auto"/>
              <w:ind w:left="117"/>
            </w:pPr>
            <w:r>
              <w:rPr>
                <w:color w:val="EE0000"/>
                <w:spacing w:val="-1"/>
              </w:rPr>
              <w:t>工序交接验收流程如下：</w:t>
            </w:r>
          </w:p>
          <w:p w14:paraId="3E2FAE06">
            <w:pPr>
              <w:pStyle w:val="7"/>
              <w:spacing w:before="22" w:line="234" w:lineRule="auto"/>
              <w:ind w:left="114" w:right="68" w:firstLine="38"/>
            </w:pPr>
            <w:r>
              <w:rPr>
                <w:color w:val="EE0000"/>
                <w:spacing w:val="-6"/>
              </w:rPr>
              <w:t>(1)施工单位自检。完成工序施工后，施工单位先进</w:t>
            </w:r>
            <w:r>
              <w:rPr>
                <w:color w:val="EE0000"/>
                <w:spacing w:val="-3"/>
              </w:rPr>
              <w:t>行“三检”,确保工序质量符合标准。自检合格后，</w:t>
            </w:r>
            <w:r>
              <w:rPr>
                <w:color w:val="EE0000"/>
                <w:spacing w:val="-5"/>
              </w:rPr>
              <w:t>填写《工序质量验收记录表》,附上测量记录、材料</w:t>
            </w:r>
            <w:r>
              <w:rPr>
                <w:color w:val="EE0000"/>
                <w:spacing w:val="-2"/>
              </w:rPr>
              <w:t>检验报告等资料，报监理单位申请验收。</w:t>
            </w:r>
          </w:p>
          <w:p w14:paraId="7AF44BE5">
            <w:pPr>
              <w:pStyle w:val="7"/>
              <w:spacing w:before="24" w:line="236" w:lineRule="auto"/>
              <w:ind w:left="115" w:right="105" w:firstLine="37"/>
            </w:pPr>
            <w:r>
              <w:rPr>
                <w:color w:val="EE0000"/>
                <w:spacing w:val="-6"/>
              </w:rPr>
              <w:t>(2)项目监理机构检查。项目监理机构收到验收申请</w:t>
            </w:r>
            <w:r>
              <w:rPr>
                <w:color w:val="EE0000"/>
              </w:rPr>
              <w:t>后，审查资料完整性，并组织现场检查。检查合格后，项目监理机构签署检查验收意见，允许进入下</w:t>
            </w:r>
            <w:r>
              <w:rPr>
                <w:color w:val="EE0000"/>
                <w:spacing w:val="-1"/>
              </w:rPr>
              <w:t>一道工序。对于不合格的，项目监理机构将会发出</w:t>
            </w:r>
            <w:r>
              <w:rPr>
                <w:color w:val="EE0000"/>
                <w:spacing w:val="-2"/>
              </w:rPr>
              <w:t>监理通知单，要求施工单位整改后重新报验。</w:t>
            </w:r>
          </w:p>
          <w:p w14:paraId="0D8A8605">
            <w:pPr>
              <w:pStyle w:val="7"/>
              <w:spacing w:before="24" w:line="234" w:lineRule="auto"/>
              <w:ind w:left="113" w:right="29" w:firstLine="39"/>
            </w:pPr>
            <w:r>
              <w:rPr>
                <w:color w:val="EE0000"/>
                <w:spacing w:val="-1"/>
              </w:rPr>
              <w:t>(3)多方联合验收(必要时)。对重要工序(如</w:t>
            </w:r>
            <w:r>
              <w:rPr>
                <w:color w:val="EE0000"/>
                <w:spacing w:val="-2"/>
              </w:rPr>
              <w:t>地基基</w:t>
            </w:r>
            <w:r>
              <w:rPr>
                <w:color w:val="EE0000"/>
                <w:spacing w:val="-4"/>
              </w:rPr>
              <w:t>础、主体结构、防水工程等)或涉及结构安全的</w:t>
            </w:r>
            <w:r>
              <w:rPr>
                <w:color w:val="EE0000"/>
                <w:spacing w:val="-5"/>
              </w:rPr>
              <w:t>隐蔽</w:t>
            </w:r>
            <w:r>
              <w:rPr>
                <w:color w:val="EE0000"/>
              </w:rPr>
              <w:t>工程，需由建设单位、设计单位、监理单位、施工</w:t>
            </w:r>
            <w:r>
              <w:rPr>
                <w:color w:val="EE0000"/>
                <w:spacing w:val="-6"/>
              </w:rPr>
              <w:t>单位共同验收，必要时邀请工程质量监督机构监督。</w:t>
            </w:r>
          </w:p>
          <w:p w14:paraId="49F40BFC">
            <w:pPr>
              <w:pStyle w:val="7"/>
              <w:spacing w:before="24" w:line="230" w:lineRule="auto"/>
              <w:ind w:left="113" w:right="107" w:firstLine="39"/>
            </w:pPr>
            <w:r>
              <w:rPr>
                <w:color w:val="EE0000"/>
                <w:spacing w:val="-6"/>
              </w:rPr>
              <w:t>(4)签署交接文件。通过验收后，各方签署《工序交</w:t>
            </w:r>
            <w:r>
              <w:rPr>
                <w:color w:val="EE0000"/>
                <w:spacing w:val="-5"/>
              </w:rPr>
              <w:t>接验收记录》,明确验收结论及责任，作为施工资料</w:t>
            </w:r>
            <w:r>
              <w:rPr>
                <w:color w:val="EE0000"/>
                <w:spacing w:val="-9"/>
              </w:rPr>
              <w:t>归档。</w:t>
            </w:r>
          </w:p>
        </w:tc>
      </w:tr>
    </w:tbl>
    <w:p w14:paraId="052F0D15">
      <w:pPr>
        <w:spacing w:line="165" w:lineRule="exact"/>
        <w:rPr>
          <w:rFonts w:ascii="Arial"/>
          <w:sz w:val="14"/>
        </w:rPr>
      </w:pPr>
    </w:p>
    <w:p w14:paraId="25BF4943">
      <w:pPr>
        <w:spacing w:line="165" w:lineRule="exact"/>
        <w:rPr>
          <w:rFonts w:ascii="Arial" w:hAnsi="Arial" w:eastAsia="Arial" w:cs="Arial"/>
          <w:sz w:val="14"/>
          <w:szCs w:val="14"/>
        </w:rPr>
        <w:sectPr>
          <w:footerReference r:id="rId16"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326F9A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6" w:hRule="atLeast"/>
        </w:trPr>
        <w:tc>
          <w:tcPr>
            <w:tcW w:w="4779" w:type="dxa"/>
            <w:vAlign w:val="top"/>
          </w:tcPr>
          <w:p w14:paraId="3A9F892B">
            <w:pPr>
              <w:rPr>
                <w:rFonts w:ascii="Arial"/>
                <w:sz w:val="21"/>
              </w:rPr>
            </w:pPr>
          </w:p>
        </w:tc>
        <w:tc>
          <w:tcPr>
            <w:tcW w:w="5081" w:type="dxa"/>
            <w:vAlign w:val="top"/>
          </w:tcPr>
          <w:p w14:paraId="26791DDB">
            <w:pPr>
              <w:pStyle w:val="7"/>
              <w:spacing w:before="33" w:line="230" w:lineRule="auto"/>
              <w:ind w:left="114" w:right="110"/>
              <w:jc w:val="both"/>
            </w:pPr>
            <w:r>
              <w:rPr>
                <w:color w:val="EE0000"/>
                <w:spacing w:val="-1"/>
              </w:rPr>
              <w:t>通过严格的工序交接验收，可实现建设工程质量的</w:t>
            </w:r>
            <w:r>
              <w:rPr>
                <w:color w:val="EE0000"/>
              </w:rPr>
              <w:t>过程控制，确保各环节质量可控，最终保障工程整</w:t>
            </w:r>
            <w:r>
              <w:rPr>
                <w:color w:val="EE0000"/>
                <w:spacing w:val="-3"/>
              </w:rPr>
              <w:t>体安全与使用功能。</w:t>
            </w:r>
          </w:p>
        </w:tc>
      </w:tr>
      <w:tr w14:paraId="0D9550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90" w:hRule="atLeast"/>
        </w:trPr>
        <w:tc>
          <w:tcPr>
            <w:tcW w:w="4779" w:type="dxa"/>
            <w:shd w:val="clear" w:color="auto" w:fill="FFFF00"/>
            <w:vAlign w:val="top"/>
          </w:tcPr>
          <w:p w14:paraId="7BCA71B4">
            <w:pPr>
              <w:pStyle w:val="7"/>
              <w:spacing w:before="28" w:line="211" w:lineRule="auto"/>
              <w:ind w:left="1124"/>
            </w:pPr>
            <w:r>
              <w:rPr>
                <w:b/>
                <w:bCs/>
                <w:spacing w:val="-5"/>
              </w:rPr>
              <w:t>第</w:t>
            </w:r>
            <w:r>
              <w:rPr>
                <w:spacing w:val="-36"/>
              </w:rPr>
              <w:t xml:space="preserve"> </w:t>
            </w:r>
            <w:r>
              <w:rPr>
                <w:b/>
                <w:bCs/>
                <w:spacing w:val="-5"/>
              </w:rPr>
              <w:t>6</w:t>
            </w:r>
            <w:r>
              <w:rPr>
                <w:spacing w:val="-38"/>
              </w:rPr>
              <w:t xml:space="preserve"> </w:t>
            </w:r>
            <w:r>
              <w:rPr>
                <w:b/>
                <w:bCs/>
                <w:spacing w:val="-5"/>
              </w:rPr>
              <w:t>章</w:t>
            </w:r>
            <w:r>
              <w:rPr>
                <w:spacing w:val="-5"/>
              </w:rPr>
              <w:t xml:space="preserve"> </w:t>
            </w:r>
            <w:r>
              <w:rPr>
                <w:b/>
                <w:bCs/>
                <w:spacing w:val="-5"/>
              </w:rPr>
              <w:t>建设工程成本管理</w:t>
            </w:r>
          </w:p>
        </w:tc>
        <w:tc>
          <w:tcPr>
            <w:tcW w:w="5081" w:type="dxa"/>
            <w:shd w:val="clear" w:color="auto" w:fill="FFFF00"/>
            <w:vAlign w:val="top"/>
          </w:tcPr>
          <w:p w14:paraId="01127A80">
            <w:pPr>
              <w:pStyle w:val="7"/>
              <w:spacing w:before="28" w:line="211" w:lineRule="auto"/>
              <w:ind w:left="1274"/>
            </w:pPr>
            <w:r>
              <w:rPr>
                <w:b/>
                <w:bCs/>
                <w:spacing w:val="-5"/>
              </w:rPr>
              <w:t>第</w:t>
            </w:r>
            <w:r>
              <w:rPr>
                <w:spacing w:val="-36"/>
              </w:rPr>
              <w:t xml:space="preserve"> </w:t>
            </w:r>
            <w:r>
              <w:rPr>
                <w:b/>
                <w:bCs/>
                <w:spacing w:val="-5"/>
              </w:rPr>
              <w:t>6</w:t>
            </w:r>
            <w:r>
              <w:rPr>
                <w:spacing w:val="-38"/>
              </w:rPr>
              <w:t xml:space="preserve"> </w:t>
            </w:r>
            <w:r>
              <w:rPr>
                <w:b/>
                <w:bCs/>
                <w:spacing w:val="-5"/>
              </w:rPr>
              <w:t>章</w:t>
            </w:r>
            <w:r>
              <w:rPr>
                <w:spacing w:val="-5"/>
              </w:rPr>
              <w:t xml:space="preserve"> </w:t>
            </w:r>
            <w:r>
              <w:rPr>
                <w:b/>
                <w:bCs/>
                <w:spacing w:val="-5"/>
              </w:rPr>
              <w:t>建设工程成本管理</w:t>
            </w:r>
          </w:p>
        </w:tc>
      </w:tr>
      <w:tr w14:paraId="71EFEA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4" w:hRule="atLeast"/>
        </w:trPr>
        <w:tc>
          <w:tcPr>
            <w:tcW w:w="4779" w:type="dxa"/>
            <w:vAlign w:val="top"/>
          </w:tcPr>
          <w:p w14:paraId="1437A2BE">
            <w:pPr>
              <w:pStyle w:val="7"/>
              <w:spacing w:before="28"/>
              <w:ind w:left="112"/>
            </w:pPr>
            <w:r>
              <w:rPr>
                <w:b/>
                <w:bCs/>
                <w:color w:val="FF0000"/>
                <w:spacing w:val="-3"/>
              </w:rPr>
              <w:t>P257</w:t>
            </w:r>
          </w:p>
          <w:p w14:paraId="08D3A658">
            <w:pPr>
              <w:pStyle w:val="7"/>
              <w:spacing w:line="219" w:lineRule="auto"/>
              <w:ind w:left="118"/>
            </w:pPr>
            <w:r>
              <w:rPr>
                <w:b/>
                <w:bCs/>
                <w:spacing w:val="-3"/>
              </w:rPr>
              <w:t>6.1.1</w:t>
            </w:r>
            <w:r>
              <w:rPr>
                <w:spacing w:val="-42"/>
              </w:rPr>
              <w:t xml:space="preserve"> </w:t>
            </w:r>
            <w:r>
              <w:rPr>
                <w:b/>
                <w:bCs/>
                <w:spacing w:val="-3"/>
              </w:rPr>
              <w:t>工程成本分类及影响因素</w:t>
            </w:r>
          </w:p>
          <w:p w14:paraId="56F0C04C">
            <w:pPr>
              <w:pStyle w:val="7"/>
              <w:spacing w:before="24" w:line="219" w:lineRule="auto"/>
              <w:ind w:left="119"/>
            </w:pPr>
            <w:r>
              <w:rPr>
                <w:spacing w:val="-1"/>
              </w:rPr>
              <w:t>2.工程成本影响因素</w:t>
            </w:r>
          </w:p>
          <w:p w14:paraId="09506CA5">
            <w:pPr>
              <w:pStyle w:val="7"/>
              <w:spacing w:before="23"/>
              <w:ind w:left="115" w:right="42" w:firstLine="7"/>
            </w:pPr>
            <w:r>
              <w:rPr>
                <w:spacing w:val="-6"/>
              </w:rPr>
              <w:t>（9）环境及社会的影响。按照可持续发展原则，</w:t>
            </w:r>
            <w:r>
              <w:rPr>
                <w:spacing w:val="-1"/>
              </w:rPr>
              <w:t>本着绿色低碳发展和对环境、社会负责的态度，在施工过程中需要采取或被要求采取绿色建造</w:t>
            </w:r>
            <w:r>
              <w:rPr>
                <w:spacing w:val="4"/>
              </w:rPr>
              <w:t xml:space="preserve"> </w:t>
            </w:r>
            <w:r>
              <w:rPr>
                <w:spacing w:val="-4"/>
              </w:rPr>
              <w:t>及施工环境保护措施、履行社会责任等，也会增加施工成本。</w:t>
            </w:r>
          </w:p>
        </w:tc>
        <w:tc>
          <w:tcPr>
            <w:tcW w:w="5081" w:type="dxa"/>
            <w:vAlign w:val="top"/>
          </w:tcPr>
          <w:p w14:paraId="5A002DF7">
            <w:pPr>
              <w:pStyle w:val="7"/>
              <w:spacing w:before="28"/>
              <w:ind w:left="110"/>
            </w:pPr>
            <w:r>
              <w:rPr>
                <w:b/>
                <w:bCs/>
                <w:color w:val="FF0000"/>
                <w:spacing w:val="-3"/>
              </w:rPr>
              <w:t>P260</w:t>
            </w:r>
          </w:p>
          <w:p w14:paraId="4EEA77A4">
            <w:pPr>
              <w:pStyle w:val="7"/>
              <w:spacing w:line="219" w:lineRule="auto"/>
              <w:ind w:left="116"/>
            </w:pPr>
            <w:r>
              <w:rPr>
                <w:b/>
                <w:bCs/>
                <w:spacing w:val="-3"/>
              </w:rPr>
              <w:t>6.1.1</w:t>
            </w:r>
            <w:r>
              <w:rPr>
                <w:spacing w:val="-42"/>
              </w:rPr>
              <w:t xml:space="preserve"> </w:t>
            </w:r>
            <w:r>
              <w:rPr>
                <w:b/>
                <w:bCs/>
                <w:spacing w:val="-3"/>
              </w:rPr>
              <w:t>工程成本分类及影响因素</w:t>
            </w:r>
          </w:p>
          <w:p w14:paraId="0EC59CD9">
            <w:pPr>
              <w:pStyle w:val="7"/>
              <w:spacing w:before="24" w:line="219" w:lineRule="auto"/>
              <w:ind w:left="117"/>
            </w:pPr>
            <w:r>
              <w:rPr>
                <w:spacing w:val="-1"/>
              </w:rPr>
              <w:t>2.工程成本影响因素</w:t>
            </w:r>
          </w:p>
          <w:p w14:paraId="323DEC3E">
            <w:pPr>
              <w:pStyle w:val="7"/>
              <w:spacing w:before="22" w:line="235" w:lineRule="auto"/>
              <w:ind w:left="115" w:right="108" w:firstLine="37"/>
            </w:pPr>
            <w:r>
              <w:rPr>
                <w:spacing w:val="-6"/>
              </w:rPr>
              <w:t>(9)环境及社会的影响。按照可持续发展原则，本着</w:t>
            </w:r>
            <w:r>
              <w:t>绿色低碳发展和对环境、社会负责的态度，在施工过程中需要采取或被要求采取绿色建造及施工环境</w:t>
            </w:r>
            <w:r>
              <w:rPr>
                <w:spacing w:val="-1"/>
              </w:rPr>
              <w:t>保护措施、履行社会责任等，也会增加施工成本。</w:t>
            </w:r>
          </w:p>
          <w:p w14:paraId="07237434">
            <w:pPr>
              <w:pStyle w:val="7"/>
              <w:spacing w:before="19" w:line="235" w:lineRule="auto"/>
              <w:ind w:left="113" w:right="110" w:firstLine="39"/>
            </w:pPr>
            <w:r>
              <w:rPr>
                <w:b/>
                <w:bCs/>
                <w:color w:val="EE0000"/>
                <w:spacing w:val="-4"/>
              </w:rPr>
              <w:t>(10)信息技术的影响。信息技术在施工成本管理中</w:t>
            </w:r>
            <w:r>
              <w:rPr>
                <w:b/>
                <w:bCs/>
                <w:color w:val="EE0000"/>
                <w:spacing w:val="-2"/>
              </w:rPr>
              <w:t>的应用会有多方面影响，不仅能够提高管理效率和实现动态控制，还能优化供应链管理、降低人工和材料成本，并带来长期经济效益；但信息技术的引</w:t>
            </w:r>
            <w:r>
              <w:rPr>
                <w:b/>
                <w:bCs/>
                <w:color w:val="EE0000"/>
                <w:spacing w:val="-4"/>
              </w:rPr>
              <w:t>入需要一定的初期投入，如软件和硬件设备投入、</w:t>
            </w:r>
            <w:r>
              <w:rPr>
                <w:b/>
                <w:bCs/>
                <w:color w:val="EE0000"/>
                <w:spacing w:val="-5"/>
              </w:rPr>
              <w:t>人力成本和维护成本等。</w:t>
            </w:r>
          </w:p>
        </w:tc>
      </w:tr>
      <w:tr w14:paraId="0E443B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4779" w:type="dxa"/>
            <w:tcBorders>
              <w:bottom w:val="nil"/>
            </w:tcBorders>
            <w:vAlign w:val="top"/>
          </w:tcPr>
          <w:p w14:paraId="13A21D8A">
            <w:pPr>
              <w:pStyle w:val="7"/>
              <w:spacing w:before="30" w:line="201" w:lineRule="auto"/>
              <w:ind w:left="112"/>
            </w:pPr>
            <w:r>
              <w:rPr>
                <w:b/>
                <w:bCs/>
                <w:color w:val="FF0000"/>
                <w:spacing w:val="-2"/>
              </w:rPr>
              <w:t>P259-260</w:t>
            </w:r>
          </w:p>
        </w:tc>
        <w:tc>
          <w:tcPr>
            <w:tcW w:w="5081" w:type="dxa"/>
            <w:tcBorders>
              <w:bottom w:val="nil"/>
            </w:tcBorders>
            <w:vAlign w:val="top"/>
          </w:tcPr>
          <w:p w14:paraId="79435BAE">
            <w:pPr>
              <w:pStyle w:val="7"/>
              <w:spacing w:before="30" w:line="201" w:lineRule="auto"/>
              <w:ind w:left="104"/>
            </w:pPr>
            <w:r>
              <w:rPr>
                <w:b/>
                <w:bCs/>
                <w:color w:val="FF0000"/>
                <w:spacing w:val="-2"/>
              </w:rPr>
              <w:t>【修改】P262-263</w:t>
            </w:r>
          </w:p>
        </w:tc>
      </w:tr>
      <w:tr w14:paraId="3A856B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trPr>
        <w:tc>
          <w:tcPr>
            <w:tcW w:w="4779" w:type="dxa"/>
            <w:tcBorders>
              <w:top w:val="nil"/>
              <w:bottom w:val="nil"/>
            </w:tcBorders>
            <w:vAlign w:val="top"/>
          </w:tcPr>
          <w:p w14:paraId="4140B074">
            <w:pPr>
              <w:pStyle w:val="7"/>
              <w:spacing w:before="36" w:line="201" w:lineRule="auto"/>
              <w:ind w:left="118"/>
            </w:pPr>
            <w:r>
              <w:rPr>
                <w:b/>
                <w:bCs/>
                <w:spacing w:val="-3"/>
              </w:rPr>
              <w:t>6.2.1</w:t>
            </w:r>
            <w:r>
              <w:rPr>
                <w:spacing w:val="-46"/>
              </w:rPr>
              <w:t xml:space="preserve"> </w:t>
            </w:r>
            <w:r>
              <w:rPr>
                <w:b/>
                <w:bCs/>
                <w:spacing w:val="-3"/>
              </w:rPr>
              <w:t>施工责任成本构成</w:t>
            </w:r>
          </w:p>
        </w:tc>
        <w:tc>
          <w:tcPr>
            <w:tcW w:w="5081" w:type="dxa"/>
            <w:tcBorders>
              <w:top w:val="nil"/>
              <w:bottom w:val="nil"/>
            </w:tcBorders>
            <w:vAlign w:val="top"/>
          </w:tcPr>
          <w:p w14:paraId="58920149">
            <w:pPr>
              <w:pStyle w:val="7"/>
              <w:spacing w:before="36" w:line="201" w:lineRule="auto"/>
              <w:ind w:left="116"/>
            </w:pPr>
            <w:r>
              <w:rPr>
                <w:b/>
                <w:bCs/>
                <w:spacing w:val="-3"/>
              </w:rPr>
              <w:t>6.2.1</w:t>
            </w:r>
            <w:r>
              <w:rPr>
                <w:spacing w:val="-47"/>
              </w:rPr>
              <w:t xml:space="preserve"> </w:t>
            </w:r>
            <w:r>
              <w:rPr>
                <w:b/>
                <w:bCs/>
                <w:spacing w:val="-3"/>
              </w:rPr>
              <w:t>施工责任成本构成</w:t>
            </w:r>
          </w:p>
        </w:tc>
      </w:tr>
      <w:tr w14:paraId="208997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779" w:type="dxa"/>
            <w:tcBorders>
              <w:top w:val="nil"/>
              <w:bottom w:val="nil"/>
            </w:tcBorders>
            <w:vAlign w:val="top"/>
          </w:tcPr>
          <w:p w14:paraId="0EA6D84E">
            <w:pPr>
              <w:pStyle w:val="7"/>
              <w:spacing w:before="36" w:line="203" w:lineRule="auto"/>
              <w:ind w:left="119"/>
            </w:pPr>
            <w:r>
              <w:rPr>
                <w:spacing w:val="-1"/>
              </w:rPr>
              <w:t>2.施工责任成本构成</w:t>
            </w:r>
          </w:p>
        </w:tc>
        <w:tc>
          <w:tcPr>
            <w:tcW w:w="5081" w:type="dxa"/>
            <w:tcBorders>
              <w:top w:val="nil"/>
              <w:bottom w:val="nil"/>
            </w:tcBorders>
            <w:vAlign w:val="top"/>
          </w:tcPr>
          <w:p w14:paraId="26DFFA8B">
            <w:pPr>
              <w:pStyle w:val="7"/>
              <w:spacing w:before="36" w:line="203" w:lineRule="auto"/>
              <w:ind w:left="117"/>
            </w:pPr>
            <w:r>
              <w:rPr>
                <w:spacing w:val="-1"/>
              </w:rPr>
              <w:t>2.施工责任成本构成</w:t>
            </w:r>
          </w:p>
        </w:tc>
      </w:tr>
      <w:tr w14:paraId="278F8C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4" w:hRule="atLeast"/>
        </w:trPr>
        <w:tc>
          <w:tcPr>
            <w:tcW w:w="4779" w:type="dxa"/>
            <w:tcBorders>
              <w:top w:val="nil"/>
            </w:tcBorders>
            <w:vAlign w:val="top"/>
          </w:tcPr>
          <w:p w14:paraId="27883D72">
            <w:pPr>
              <w:spacing w:before="2" w:line="5165" w:lineRule="exact"/>
              <w:ind w:firstLine="106"/>
            </w:pPr>
            <w:r>
              <w:rPr>
                <w:position w:val="-103"/>
              </w:rPr>
              <w:drawing>
                <wp:inline distT="0" distB="0" distL="0" distR="0">
                  <wp:extent cx="2945765" cy="3279140"/>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38"/>
                          <a:stretch>
                            <a:fillRect/>
                          </a:stretch>
                        </pic:blipFill>
                        <pic:spPr>
                          <a:xfrm>
                            <a:off x="0" y="0"/>
                            <a:ext cx="2946272" cy="3279774"/>
                          </a:xfrm>
                          <a:prstGeom prst="rect">
                            <a:avLst/>
                          </a:prstGeom>
                        </pic:spPr>
                      </pic:pic>
                    </a:graphicData>
                  </a:graphic>
                </wp:inline>
              </w:drawing>
            </w:r>
          </w:p>
        </w:tc>
        <w:tc>
          <w:tcPr>
            <w:tcW w:w="5081" w:type="dxa"/>
            <w:tcBorders>
              <w:top w:val="nil"/>
            </w:tcBorders>
            <w:vAlign w:val="top"/>
          </w:tcPr>
          <w:p w14:paraId="5A20410D">
            <w:pPr>
              <w:spacing w:before="2" w:line="5068" w:lineRule="exact"/>
              <w:ind w:firstLine="104"/>
            </w:pPr>
            <w:r>
              <w:rPr>
                <w:position w:val="-101"/>
              </w:rPr>
              <w:drawing>
                <wp:inline distT="0" distB="0" distL="0" distR="0">
                  <wp:extent cx="3138170" cy="3217545"/>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39"/>
                          <a:stretch>
                            <a:fillRect/>
                          </a:stretch>
                        </pic:blipFill>
                        <pic:spPr>
                          <a:xfrm>
                            <a:off x="0" y="0"/>
                            <a:ext cx="3138170" cy="3218052"/>
                          </a:xfrm>
                          <a:prstGeom prst="rect">
                            <a:avLst/>
                          </a:prstGeom>
                        </pic:spPr>
                      </pic:pic>
                    </a:graphicData>
                  </a:graphic>
                </wp:inline>
              </w:drawing>
            </w:r>
          </w:p>
        </w:tc>
      </w:tr>
      <w:tr w14:paraId="15A58F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4" w:hRule="atLeast"/>
        </w:trPr>
        <w:tc>
          <w:tcPr>
            <w:tcW w:w="4779" w:type="dxa"/>
            <w:vAlign w:val="top"/>
          </w:tcPr>
          <w:p w14:paraId="5AB78DF5">
            <w:pPr>
              <w:pStyle w:val="7"/>
              <w:spacing w:before="33"/>
              <w:ind w:left="112"/>
            </w:pPr>
            <w:r>
              <w:rPr>
                <w:b/>
                <w:bCs/>
                <w:color w:val="FF0000"/>
                <w:spacing w:val="-3"/>
              </w:rPr>
              <w:t>P266</w:t>
            </w:r>
          </w:p>
          <w:p w14:paraId="30C61AF6">
            <w:pPr>
              <w:pStyle w:val="7"/>
              <w:spacing w:line="219" w:lineRule="auto"/>
              <w:ind w:left="118"/>
            </w:pPr>
            <w:r>
              <w:rPr>
                <w:b/>
                <w:bCs/>
                <w:spacing w:val="-3"/>
              </w:rPr>
              <w:t>6.3.2</w:t>
            </w:r>
            <w:r>
              <w:rPr>
                <w:spacing w:val="-46"/>
              </w:rPr>
              <w:t xml:space="preserve"> </w:t>
            </w:r>
            <w:r>
              <w:rPr>
                <w:b/>
                <w:bCs/>
                <w:spacing w:val="-3"/>
              </w:rPr>
              <w:t>施工成本控制方法</w:t>
            </w:r>
          </w:p>
          <w:p w14:paraId="797D7AD6">
            <w:pPr>
              <w:pStyle w:val="7"/>
              <w:spacing w:before="24" w:line="219" w:lineRule="auto"/>
              <w:ind w:left="132"/>
            </w:pPr>
            <w:r>
              <w:rPr>
                <w:spacing w:val="-2"/>
              </w:rPr>
              <w:t>1.施工成本过程控制方法</w:t>
            </w:r>
          </w:p>
          <w:p w14:paraId="09BD2181">
            <w:pPr>
              <w:pStyle w:val="7"/>
              <w:spacing w:before="26" w:line="236" w:lineRule="auto"/>
              <w:ind w:left="116" w:right="100" w:firstLine="6"/>
            </w:pPr>
            <w:r>
              <w:rPr>
                <w:spacing w:val="-1"/>
              </w:rPr>
              <w:t>（1）制定先进合理的企业内部劳动定额，严格</w:t>
            </w:r>
            <w:r>
              <w:rPr>
                <w:spacing w:val="-5"/>
              </w:rPr>
              <w:t>执行劳动定额，并将安全生产</w:t>
            </w:r>
            <w:r>
              <w:rPr>
                <w:b/>
                <w:bCs/>
                <w:strike/>
                <w:color w:val="EE0000"/>
                <w:spacing w:val="-5"/>
              </w:rPr>
              <w:t>、文明施工</w:t>
            </w:r>
            <w:r>
              <w:rPr>
                <w:strike/>
                <w:color w:val="EE0000"/>
                <w:spacing w:val="-91"/>
              </w:rPr>
              <w:t xml:space="preserve"> </w:t>
            </w:r>
            <w:r>
              <w:rPr>
                <w:color w:val="EE0000"/>
                <w:spacing w:val="-102"/>
              </w:rPr>
              <w:t xml:space="preserve"> </w:t>
            </w:r>
            <w:r>
              <w:rPr>
                <w:spacing w:val="-5"/>
              </w:rPr>
              <w:t>及零星</w:t>
            </w:r>
            <w:r>
              <w:rPr>
                <w:spacing w:val="-4"/>
              </w:rPr>
              <w:t>用工下达到作业队进行控制。全面推行全额计件</w:t>
            </w:r>
            <w:r>
              <w:rPr>
                <w:spacing w:val="-1"/>
              </w:rPr>
              <w:t>的劳动管理办法和单项工程集体承包的经济管</w:t>
            </w:r>
            <w:r>
              <w:rPr>
                <w:spacing w:val="-3"/>
              </w:rPr>
              <w:t>理办法，以不超出责任成本人工费指标为控制目标，实行工资包干制度。认真执行按劳分配</w:t>
            </w:r>
            <w:r>
              <w:rPr>
                <w:spacing w:val="-4"/>
              </w:rPr>
              <w:t>的原则，使职工个人所得与劳动贡献相一致，充分调动广大职工的劳动积极性，以提高劳动效率。把</w:t>
            </w:r>
            <w:r>
              <w:rPr>
                <w:spacing w:val="-3"/>
              </w:rPr>
              <w:t>项目的进度、安全、质量等指标与定额管理</w:t>
            </w:r>
            <w:r>
              <w:rPr>
                <w:spacing w:val="-4"/>
              </w:rPr>
              <w:t>结合</w:t>
            </w:r>
          </w:p>
        </w:tc>
        <w:tc>
          <w:tcPr>
            <w:tcW w:w="5081" w:type="dxa"/>
            <w:vAlign w:val="top"/>
          </w:tcPr>
          <w:p w14:paraId="3F88EEF8">
            <w:pPr>
              <w:pStyle w:val="7"/>
              <w:spacing w:before="33" w:line="220" w:lineRule="auto"/>
              <w:ind w:left="104"/>
            </w:pPr>
            <w:r>
              <w:rPr>
                <w:b/>
                <w:bCs/>
                <w:color w:val="EE0000"/>
                <w:spacing w:val="-2"/>
              </w:rPr>
              <w:t>【修改】P269</w:t>
            </w:r>
          </w:p>
          <w:p w14:paraId="1F5BD8A3">
            <w:pPr>
              <w:pStyle w:val="7"/>
              <w:spacing w:before="23" w:line="219" w:lineRule="auto"/>
              <w:ind w:left="116"/>
            </w:pPr>
            <w:r>
              <w:rPr>
                <w:spacing w:val="-2"/>
              </w:rPr>
              <w:t>6.3.2</w:t>
            </w:r>
            <w:r>
              <w:rPr>
                <w:spacing w:val="-38"/>
              </w:rPr>
              <w:t xml:space="preserve"> </w:t>
            </w:r>
            <w:r>
              <w:rPr>
                <w:spacing w:val="-2"/>
              </w:rPr>
              <w:t>施工成本控制方法</w:t>
            </w:r>
          </w:p>
          <w:p w14:paraId="630356C2">
            <w:pPr>
              <w:pStyle w:val="7"/>
              <w:spacing w:before="24" w:line="219" w:lineRule="auto"/>
              <w:ind w:left="130"/>
            </w:pPr>
            <w:r>
              <w:rPr>
                <w:spacing w:val="-2"/>
              </w:rPr>
              <w:t>1.施工成本过程控制方法</w:t>
            </w:r>
          </w:p>
          <w:p w14:paraId="106C3DA1">
            <w:pPr>
              <w:pStyle w:val="7"/>
              <w:spacing w:before="26" w:line="236" w:lineRule="auto"/>
              <w:ind w:left="114" w:right="105" w:firstLine="38"/>
              <w:jc w:val="both"/>
            </w:pPr>
            <w:r>
              <w:rPr>
                <w:spacing w:val="-6"/>
              </w:rPr>
              <w:t>(1)制定先进合理的企业内部劳动定额，严格执行劳</w:t>
            </w:r>
            <w:r>
              <w:rPr>
                <w:spacing w:val="-1"/>
              </w:rPr>
              <w:t>动定额，并将安全生产及零星用工下达到作业队进行控制。全面推行全额计件的劳动管理办法和单项工程集体承包的经济管理办法，以不超出责任成本人工费指标为控制目标，实行工资包干制度。认真执行按劳分配的原则，使职工个人所得与劳动贡献相一致，充分调动广大职工的劳动积极性，以提高劳动效率。把项目的进度、安全、质量等指标与定额管理结合起来，提高劳动者的综合能力，实行奖</w:t>
            </w:r>
          </w:p>
        </w:tc>
      </w:tr>
    </w:tbl>
    <w:p w14:paraId="2ED5776F">
      <w:pPr>
        <w:spacing w:line="91" w:lineRule="exact"/>
        <w:rPr>
          <w:rFonts w:ascii="Arial"/>
          <w:sz w:val="7"/>
        </w:rPr>
      </w:pPr>
    </w:p>
    <w:p w14:paraId="64BA9F55">
      <w:pPr>
        <w:spacing w:line="91" w:lineRule="exact"/>
        <w:rPr>
          <w:rFonts w:ascii="Arial" w:hAnsi="Arial" w:eastAsia="Arial" w:cs="Arial"/>
          <w:sz w:val="7"/>
          <w:szCs w:val="7"/>
        </w:rPr>
        <w:sectPr>
          <w:footerReference r:id="rId17"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1D8D41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779" w:type="dxa"/>
            <w:vAlign w:val="top"/>
          </w:tcPr>
          <w:p w14:paraId="48F8CA2E">
            <w:pPr>
              <w:pStyle w:val="7"/>
              <w:spacing w:before="33" w:line="211" w:lineRule="auto"/>
              <w:ind w:left="117"/>
            </w:pPr>
            <w:r>
              <w:rPr>
                <w:spacing w:val="-2"/>
              </w:rPr>
              <w:t>起来，提高劳动者的综合能力，实行奖励制度。</w:t>
            </w:r>
          </w:p>
        </w:tc>
        <w:tc>
          <w:tcPr>
            <w:tcW w:w="5081" w:type="dxa"/>
            <w:vAlign w:val="top"/>
          </w:tcPr>
          <w:p w14:paraId="169E3E9A">
            <w:pPr>
              <w:pStyle w:val="7"/>
              <w:spacing w:before="33" w:line="211" w:lineRule="auto"/>
              <w:ind w:left="113"/>
            </w:pPr>
            <w:r>
              <w:rPr>
                <w:spacing w:val="-7"/>
              </w:rPr>
              <w:t>励制度。</w:t>
            </w:r>
          </w:p>
        </w:tc>
      </w:tr>
      <w:tr w14:paraId="268098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5" w:hRule="atLeast"/>
        </w:trPr>
        <w:tc>
          <w:tcPr>
            <w:tcW w:w="4779" w:type="dxa"/>
            <w:vAlign w:val="top"/>
          </w:tcPr>
          <w:p w14:paraId="200314D0">
            <w:pPr>
              <w:pStyle w:val="7"/>
              <w:spacing w:before="28"/>
              <w:ind w:left="112"/>
            </w:pPr>
            <w:r>
              <w:rPr>
                <w:b/>
                <w:bCs/>
                <w:color w:val="FF0000"/>
                <w:spacing w:val="-3"/>
              </w:rPr>
              <w:t>P271</w:t>
            </w:r>
          </w:p>
          <w:p w14:paraId="0FB72DCE">
            <w:pPr>
              <w:pStyle w:val="7"/>
              <w:spacing w:line="219" w:lineRule="auto"/>
              <w:ind w:left="118"/>
            </w:pPr>
            <w:r>
              <w:rPr>
                <w:b/>
                <w:bCs/>
                <w:spacing w:val="-3"/>
              </w:rPr>
              <w:t>6.3.2</w:t>
            </w:r>
            <w:r>
              <w:rPr>
                <w:spacing w:val="-46"/>
              </w:rPr>
              <w:t xml:space="preserve"> </w:t>
            </w:r>
            <w:r>
              <w:rPr>
                <w:b/>
                <w:bCs/>
                <w:spacing w:val="-3"/>
              </w:rPr>
              <w:t>施工成本控制方法</w:t>
            </w:r>
          </w:p>
          <w:p w14:paraId="52CF4EE9">
            <w:pPr>
              <w:pStyle w:val="7"/>
              <w:spacing w:before="24" w:line="219" w:lineRule="auto"/>
              <w:ind w:left="119"/>
            </w:pPr>
            <w:r>
              <w:rPr>
                <w:spacing w:val="-1"/>
              </w:rPr>
              <w:t>2.成本动态监控方法</w:t>
            </w:r>
          </w:p>
          <w:p w14:paraId="1B05DD06">
            <w:pPr>
              <w:pStyle w:val="7"/>
              <w:spacing w:before="24" w:line="219" w:lineRule="auto"/>
              <w:ind w:left="115"/>
            </w:pPr>
            <w:r>
              <w:rPr>
                <w:spacing w:val="-1"/>
              </w:rPr>
              <w:t>4）施工成本偏差原因分析</w:t>
            </w:r>
          </w:p>
          <w:p w14:paraId="5A778082">
            <w:pPr>
              <w:pStyle w:val="7"/>
              <w:spacing w:before="26" w:line="239" w:lineRule="auto"/>
              <w:ind w:left="115" w:right="22"/>
            </w:pPr>
            <w:r>
              <w:rPr>
                <w:spacing w:val="-3"/>
              </w:rPr>
              <w:t>在施工项目实施过程中，最理想的状态是已</w:t>
            </w:r>
            <w:r>
              <w:rPr>
                <w:spacing w:val="-4"/>
              </w:rPr>
              <w:t>完工</w:t>
            </w:r>
            <w:r>
              <w:rPr>
                <w:spacing w:val="-16"/>
              </w:rPr>
              <w:t>程实际费用（ACWP）、拟完工程预算费用（BCWS）、</w:t>
            </w:r>
            <w:r>
              <w:rPr>
                <w:spacing w:val="-2"/>
              </w:rPr>
              <w:t>已完工程预算费用（BCWP）三条曲线靠得很近、</w:t>
            </w:r>
            <w:r>
              <w:rPr>
                <w:spacing w:val="-4"/>
              </w:rPr>
              <w:t>平稳上升，表明施工项目按预定计划进行。如果三条曲线离散度不断增加，则可能出现较大的费</w:t>
            </w:r>
            <w:r>
              <w:rPr>
                <w:spacing w:val="-7"/>
              </w:rPr>
              <w:t>用偏差。</w:t>
            </w:r>
          </w:p>
          <w:p w14:paraId="64D6D589">
            <w:pPr>
              <w:pStyle w:val="7"/>
              <w:spacing w:before="9" w:line="239" w:lineRule="auto"/>
              <w:ind w:left="115" w:right="101"/>
            </w:pPr>
            <w:r>
              <w:rPr>
                <w:spacing w:val="-1"/>
              </w:rPr>
              <w:t>偏差分析的一个重要目的就是要找出引起偏差</w:t>
            </w:r>
            <w:r>
              <w:rPr>
                <w:spacing w:val="-4"/>
              </w:rPr>
              <w:t>的原因，从而采取有针对性的措施，减少或避免类似问题再次发生。在进行偏差原因分析时，首</w:t>
            </w:r>
            <w:r>
              <w:rPr>
                <w:spacing w:val="-1"/>
              </w:rPr>
              <w:t>先应将已经导致和可能导致偏差的原因逐一列</w:t>
            </w:r>
            <w:r>
              <w:rPr>
                <w:spacing w:val="-3"/>
              </w:rPr>
              <w:t>举出来。不同工程项目产生费用偏差的原因</w:t>
            </w:r>
            <w:r>
              <w:rPr>
                <w:spacing w:val="-4"/>
              </w:rPr>
              <w:t>具有</w:t>
            </w:r>
            <w:r>
              <w:rPr>
                <w:spacing w:val="-3"/>
              </w:rPr>
              <w:t>一定共性，因而可通过对已建项目的费用偏</w:t>
            </w:r>
            <w:r>
              <w:rPr>
                <w:spacing w:val="-4"/>
              </w:rPr>
              <w:t>差原</w:t>
            </w:r>
            <w:r>
              <w:rPr>
                <w:spacing w:val="-3"/>
              </w:rPr>
              <w:t>因进行归纳总结，为该项目采取预防措施提</w:t>
            </w:r>
            <w:r>
              <w:rPr>
                <w:spacing w:val="-4"/>
              </w:rPr>
              <w:t>供依</w:t>
            </w:r>
            <w:r>
              <w:rPr>
                <w:spacing w:val="-10"/>
              </w:rPr>
              <w:t>据。</w:t>
            </w:r>
          </w:p>
        </w:tc>
        <w:tc>
          <w:tcPr>
            <w:tcW w:w="5081" w:type="dxa"/>
            <w:vAlign w:val="top"/>
          </w:tcPr>
          <w:p w14:paraId="0B659A45">
            <w:pPr>
              <w:pStyle w:val="7"/>
              <w:spacing w:before="28" w:line="220" w:lineRule="auto"/>
              <w:ind w:left="104"/>
            </w:pPr>
            <w:r>
              <w:rPr>
                <w:b/>
                <w:bCs/>
                <w:color w:val="FF0000"/>
                <w:spacing w:val="-2"/>
              </w:rPr>
              <w:t>【修改】P274</w:t>
            </w:r>
          </w:p>
          <w:p w14:paraId="22C1431A">
            <w:pPr>
              <w:pStyle w:val="7"/>
              <w:spacing w:before="24" w:line="219" w:lineRule="auto"/>
              <w:ind w:left="116"/>
            </w:pPr>
            <w:r>
              <w:rPr>
                <w:b/>
                <w:bCs/>
                <w:spacing w:val="-3"/>
              </w:rPr>
              <w:t>6.3.2</w:t>
            </w:r>
            <w:r>
              <w:rPr>
                <w:spacing w:val="-47"/>
              </w:rPr>
              <w:t xml:space="preserve"> </w:t>
            </w:r>
            <w:r>
              <w:rPr>
                <w:b/>
                <w:bCs/>
                <w:spacing w:val="-3"/>
              </w:rPr>
              <w:t>施工成本控制方法</w:t>
            </w:r>
          </w:p>
          <w:p w14:paraId="29A644E1">
            <w:pPr>
              <w:pStyle w:val="7"/>
              <w:spacing w:before="24" w:line="219" w:lineRule="auto"/>
              <w:ind w:left="117"/>
            </w:pPr>
            <w:r>
              <w:rPr>
                <w:spacing w:val="-1"/>
              </w:rPr>
              <w:t>2.成本动态监控方法</w:t>
            </w:r>
          </w:p>
          <w:p w14:paraId="1DEB8C84">
            <w:pPr>
              <w:pStyle w:val="7"/>
              <w:spacing w:before="24" w:line="219" w:lineRule="auto"/>
              <w:ind w:left="113"/>
            </w:pPr>
            <w:r>
              <w:rPr>
                <w:spacing w:val="-1"/>
              </w:rPr>
              <w:t>4)施工成本偏差原因分析</w:t>
            </w:r>
          </w:p>
          <w:p w14:paraId="1A0349F4">
            <w:pPr>
              <w:pStyle w:val="7"/>
              <w:spacing w:before="25" w:line="239" w:lineRule="auto"/>
              <w:ind w:left="113" w:right="44"/>
            </w:pPr>
            <w:r>
              <w:t>在施工项目实施过程中，最理想的状态是已完工程实际费用(ACWP)、拟完工程预算费用(BCWS)、已完</w:t>
            </w:r>
            <w:r>
              <w:rPr>
                <w:spacing w:val="-6"/>
              </w:rPr>
              <w:t>工程预算费用(BCWP)三条曲线靠得很近、平稳上升，</w:t>
            </w:r>
            <w:r>
              <w:t>表明施工项目按预定计划进行。如果三条曲线离散</w:t>
            </w:r>
            <w:r>
              <w:rPr>
                <w:spacing w:val="-1"/>
              </w:rPr>
              <w:t>度不断增加，则可能出现较大的费用偏差。</w:t>
            </w:r>
          </w:p>
          <w:p w14:paraId="18EE50BC">
            <w:pPr>
              <w:pStyle w:val="7"/>
              <w:spacing w:before="6" w:line="236" w:lineRule="auto"/>
              <w:ind w:left="113" w:right="129"/>
            </w:pPr>
            <w:r>
              <w:rPr>
                <w:spacing w:val="-1"/>
              </w:rPr>
              <w:t>偏差分析的一个重要目的就是要找出引起偏差的原因，从而采取有针对性的措施，减少或避免类似问题再次发生。在进行偏差原因分析时，首先应将已经导致和可能导致偏差的原因逐一列举出来。不同工程项目产生费用偏差的原因具有一定共性，因而可通过对已建项目的费用偏差原因进行归纳总结，为该项目采取预防措施提供依据。</w:t>
            </w:r>
            <w:r>
              <w:rPr>
                <w:color w:val="EE0000"/>
                <w:spacing w:val="-1"/>
              </w:rPr>
              <w:t>偏差原因通常包括：法律法规、政策及标准变动原因，自然、社会原因，建设单位、设计单位原因，物价上涨原因，施工安排原因等。</w:t>
            </w:r>
          </w:p>
        </w:tc>
      </w:tr>
      <w:tr w14:paraId="621EF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4779" w:type="dxa"/>
            <w:tcBorders>
              <w:bottom w:val="nil"/>
            </w:tcBorders>
            <w:vAlign w:val="top"/>
          </w:tcPr>
          <w:p w14:paraId="1241B02D">
            <w:pPr>
              <w:pStyle w:val="7"/>
              <w:spacing w:before="30" w:line="201" w:lineRule="auto"/>
              <w:ind w:left="112"/>
            </w:pPr>
            <w:r>
              <w:rPr>
                <w:b/>
                <w:bCs/>
                <w:color w:val="FF0000"/>
                <w:spacing w:val="-3"/>
              </w:rPr>
              <w:t>P274</w:t>
            </w:r>
          </w:p>
        </w:tc>
        <w:tc>
          <w:tcPr>
            <w:tcW w:w="5081" w:type="dxa"/>
            <w:tcBorders>
              <w:bottom w:val="nil"/>
            </w:tcBorders>
            <w:vAlign w:val="top"/>
          </w:tcPr>
          <w:p w14:paraId="1CBE902C">
            <w:pPr>
              <w:pStyle w:val="7"/>
              <w:spacing w:before="30" w:line="201" w:lineRule="auto"/>
              <w:ind w:left="104"/>
            </w:pPr>
            <w:r>
              <w:rPr>
                <w:b/>
                <w:bCs/>
                <w:color w:val="FF0000"/>
                <w:spacing w:val="-2"/>
              </w:rPr>
              <w:t>【表格修改】P277</w:t>
            </w:r>
          </w:p>
        </w:tc>
      </w:tr>
      <w:tr w14:paraId="134317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4779" w:type="dxa"/>
            <w:tcBorders>
              <w:top w:val="nil"/>
              <w:bottom w:val="nil"/>
            </w:tcBorders>
            <w:vAlign w:val="top"/>
          </w:tcPr>
          <w:p w14:paraId="11016741">
            <w:pPr>
              <w:pStyle w:val="7"/>
              <w:spacing w:before="36" w:line="200" w:lineRule="auto"/>
              <w:ind w:left="118"/>
            </w:pPr>
            <w:r>
              <w:rPr>
                <w:b/>
                <w:bCs/>
                <w:spacing w:val="-4"/>
              </w:rPr>
              <w:t>6.4.1</w:t>
            </w:r>
            <w:r>
              <w:rPr>
                <w:spacing w:val="-38"/>
              </w:rPr>
              <w:t xml:space="preserve"> </w:t>
            </w:r>
            <w:r>
              <w:rPr>
                <w:b/>
                <w:bCs/>
                <w:spacing w:val="-4"/>
              </w:rPr>
              <w:t>施工成本分析</w:t>
            </w:r>
          </w:p>
        </w:tc>
        <w:tc>
          <w:tcPr>
            <w:tcW w:w="5081" w:type="dxa"/>
            <w:tcBorders>
              <w:top w:val="nil"/>
              <w:bottom w:val="nil"/>
            </w:tcBorders>
            <w:vAlign w:val="top"/>
          </w:tcPr>
          <w:p w14:paraId="28A486E1">
            <w:pPr>
              <w:pStyle w:val="7"/>
              <w:spacing w:before="36" w:line="200" w:lineRule="auto"/>
              <w:ind w:left="116"/>
            </w:pPr>
            <w:r>
              <w:rPr>
                <w:b/>
                <w:bCs/>
                <w:spacing w:val="-4"/>
              </w:rPr>
              <w:t>6.4.1</w:t>
            </w:r>
            <w:r>
              <w:rPr>
                <w:spacing w:val="-38"/>
              </w:rPr>
              <w:t xml:space="preserve"> </w:t>
            </w:r>
            <w:r>
              <w:rPr>
                <w:b/>
                <w:bCs/>
                <w:spacing w:val="-4"/>
              </w:rPr>
              <w:t>施工成本分析</w:t>
            </w:r>
          </w:p>
        </w:tc>
      </w:tr>
      <w:tr w14:paraId="4AC25C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trPr>
        <w:tc>
          <w:tcPr>
            <w:tcW w:w="4779" w:type="dxa"/>
            <w:tcBorders>
              <w:top w:val="nil"/>
              <w:bottom w:val="nil"/>
            </w:tcBorders>
            <w:vAlign w:val="top"/>
          </w:tcPr>
          <w:p w14:paraId="6F4F8E50">
            <w:pPr>
              <w:pStyle w:val="7"/>
              <w:spacing w:before="36" w:line="201" w:lineRule="auto"/>
              <w:ind w:left="119"/>
            </w:pPr>
            <w:r>
              <w:rPr>
                <w:spacing w:val="-1"/>
              </w:rPr>
              <w:t>2.施工成本分析方法</w:t>
            </w:r>
          </w:p>
        </w:tc>
        <w:tc>
          <w:tcPr>
            <w:tcW w:w="5081" w:type="dxa"/>
            <w:tcBorders>
              <w:top w:val="nil"/>
              <w:bottom w:val="nil"/>
            </w:tcBorders>
            <w:vAlign w:val="top"/>
          </w:tcPr>
          <w:p w14:paraId="2401D167">
            <w:pPr>
              <w:pStyle w:val="7"/>
              <w:spacing w:before="36" w:line="201" w:lineRule="auto"/>
              <w:ind w:left="117"/>
            </w:pPr>
            <w:r>
              <w:rPr>
                <w:spacing w:val="-1"/>
              </w:rPr>
              <w:t>2.施工成本分析方法</w:t>
            </w:r>
          </w:p>
        </w:tc>
      </w:tr>
      <w:tr w14:paraId="598BE3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779" w:type="dxa"/>
            <w:tcBorders>
              <w:top w:val="nil"/>
              <w:bottom w:val="nil"/>
            </w:tcBorders>
            <w:vAlign w:val="top"/>
          </w:tcPr>
          <w:p w14:paraId="631711D1">
            <w:pPr>
              <w:pStyle w:val="7"/>
              <w:spacing w:before="37" w:line="203" w:lineRule="auto"/>
              <w:ind w:left="132"/>
            </w:pPr>
            <w:r>
              <w:rPr>
                <w:spacing w:val="-2"/>
              </w:rPr>
              <w:t>1）施工成本分析的基本方法</w:t>
            </w:r>
          </w:p>
        </w:tc>
        <w:tc>
          <w:tcPr>
            <w:tcW w:w="5081" w:type="dxa"/>
            <w:tcBorders>
              <w:top w:val="nil"/>
              <w:bottom w:val="nil"/>
            </w:tcBorders>
            <w:vAlign w:val="top"/>
          </w:tcPr>
          <w:p w14:paraId="1D0466DA">
            <w:pPr>
              <w:pStyle w:val="7"/>
              <w:spacing w:before="37" w:line="203" w:lineRule="auto"/>
              <w:ind w:left="130"/>
            </w:pPr>
            <w:r>
              <w:rPr>
                <w:spacing w:val="-2"/>
              </w:rPr>
              <w:t>1）施工成本分析的基本方法</w:t>
            </w:r>
          </w:p>
        </w:tc>
      </w:tr>
      <w:tr w14:paraId="7612FB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6" w:hRule="atLeast"/>
        </w:trPr>
        <w:tc>
          <w:tcPr>
            <w:tcW w:w="4779" w:type="dxa"/>
            <w:tcBorders>
              <w:top w:val="nil"/>
            </w:tcBorders>
            <w:vAlign w:val="top"/>
          </w:tcPr>
          <w:p w14:paraId="41BC2CBB">
            <w:pPr>
              <w:spacing w:before="3" w:line="900" w:lineRule="exact"/>
              <w:ind w:firstLine="106"/>
            </w:pPr>
            <w:r>
              <w:rPr>
                <w:position w:val="-18"/>
              </w:rPr>
              <w:drawing>
                <wp:inline distT="0" distB="0" distL="0" distR="0">
                  <wp:extent cx="2912110" cy="571500"/>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40"/>
                          <a:stretch>
                            <a:fillRect/>
                          </a:stretch>
                        </pic:blipFill>
                        <pic:spPr>
                          <a:xfrm>
                            <a:off x="0" y="0"/>
                            <a:ext cx="2912364" cy="571500"/>
                          </a:xfrm>
                          <a:prstGeom prst="rect">
                            <a:avLst/>
                          </a:prstGeom>
                        </pic:spPr>
                      </pic:pic>
                    </a:graphicData>
                  </a:graphic>
                </wp:inline>
              </w:drawing>
            </w:r>
          </w:p>
        </w:tc>
        <w:tc>
          <w:tcPr>
            <w:tcW w:w="5081" w:type="dxa"/>
            <w:tcBorders>
              <w:top w:val="nil"/>
            </w:tcBorders>
            <w:vAlign w:val="top"/>
          </w:tcPr>
          <w:p w14:paraId="6716A60A">
            <w:pPr>
              <w:spacing w:before="3" w:line="1132" w:lineRule="exact"/>
              <w:ind w:firstLine="104"/>
            </w:pPr>
            <w:r>
              <w:rPr>
                <w:position w:val="-22"/>
              </w:rPr>
              <w:drawing>
                <wp:inline distT="0" distB="0" distL="0" distR="0">
                  <wp:extent cx="3156585" cy="718820"/>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41"/>
                          <a:stretch>
                            <a:fillRect/>
                          </a:stretch>
                        </pic:blipFill>
                        <pic:spPr>
                          <a:xfrm>
                            <a:off x="0" y="0"/>
                            <a:ext cx="3156711" cy="719404"/>
                          </a:xfrm>
                          <a:prstGeom prst="rect">
                            <a:avLst/>
                          </a:prstGeom>
                        </pic:spPr>
                      </pic:pic>
                    </a:graphicData>
                  </a:graphic>
                </wp:inline>
              </w:drawing>
            </w:r>
          </w:p>
        </w:tc>
      </w:tr>
      <w:tr w14:paraId="10D9AE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4779" w:type="dxa"/>
            <w:tcBorders>
              <w:bottom w:val="nil"/>
            </w:tcBorders>
            <w:vAlign w:val="top"/>
          </w:tcPr>
          <w:p w14:paraId="49B29310">
            <w:pPr>
              <w:pStyle w:val="7"/>
              <w:spacing w:before="32" w:line="203" w:lineRule="auto"/>
              <w:ind w:left="112"/>
            </w:pPr>
            <w:r>
              <w:rPr>
                <w:b/>
                <w:bCs/>
                <w:color w:val="FF0000"/>
                <w:spacing w:val="-3"/>
              </w:rPr>
              <w:t>P275</w:t>
            </w:r>
          </w:p>
        </w:tc>
        <w:tc>
          <w:tcPr>
            <w:tcW w:w="5081" w:type="dxa"/>
            <w:tcBorders>
              <w:bottom w:val="nil"/>
            </w:tcBorders>
            <w:vAlign w:val="top"/>
          </w:tcPr>
          <w:p w14:paraId="7F901672">
            <w:pPr>
              <w:pStyle w:val="7"/>
              <w:spacing w:before="32" w:line="203" w:lineRule="auto"/>
              <w:ind w:left="104"/>
            </w:pPr>
            <w:r>
              <w:rPr>
                <w:b/>
                <w:bCs/>
                <w:color w:val="FF0000"/>
                <w:spacing w:val="-2"/>
              </w:rPr>
              <w:t>【题目替换】P278</w:t>
            </w:r>
          </w:p>
        </w:tc>
      </w:tr>
      <w:tr w14:paraId="7105AC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5" w:hRule="atLeast"/>
        </w:trPr>
        <w:tc>
          <w:tcPr>
            <w:tcW w:w="4779" w:type="dxa"/>
            <w:tcBorders>
              <w:top w:val="nil"/>
            </w:tcBorders>
            <w:vAlign w:val="top"/>
          </w:tcPr>
          <w:p w14:paraId="512E7156">
            <w:pPr>
              <w:spacing w:before="3" w:line="1568" w:lineRule="exact"/>
              <w:ind w:firstLine="106"/>
            </w:pPr>
            <w:r>
              <w:rPr>
                <w:position w:val="-31"/>
              </w:rPr>
              <w:drawing>
                <wp:inline distT="0" distB="0" distL="0" distR="0">
                  <wp:extent cx="2836545" cy="995045"/>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42"/>
                          <a:stretch>
                            <a:fillRect/>
                          </a:stretch>
                        </pic:blipFill>
                        <pic:spPr>
                          <a:xfrm>
                            <a:off x="0" y="0"/>
                            <a:ext cx="2836545" cy="995679"/>
                          </a:xfrm>
                          <a:prstGeom prst="rect">
                            <a:avLst/>
                          </a:prstGeom>
                        </pic:spPr>
                      </pic:pic>
                    </a:graphicData>
                  </a:graphic>
                </wp:inline>
              </w:drawing>
            </w:r>
          </w:p>
        </w:tc>
        <w:tc>
          <w:tcPr>
            <w:tcW w:w="5081" w:type="dxa"/>
            <w:tcBorders>
              <w:top w:val="nil"/>
            </w:tcBorders>
            <w:vAlign w:val="top"/>
          </w:tcPr>
          <w:p w14:paraId="7727EE88">
            <w:pPr>
              <w:spacing w:before="3" w:line="3346" w:lineRule="exact"/>
              <w:ind w:firstLine="104"/>
            </w:pPr>
            <w:r>
              <w:rPr>
                <w:position w:val="-66"/>
              </w:rPr>
              <w:drawing>
                <wp:inline distT="0" distB="0" distL="0" distR="0">
                  <wp:extent cx="3156585" cy="2124075"/>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43"/>
                          <a:stretch>
                            <a:fillRect/>
                          </a:stretch>
                        </pic:blipFill>
                        <pic:spPr>
                          <a:xfrm>
                            <a:off x="0" y="0"/>
                            <a:ext cx="3156711" cy="2124709"/>
                          </a:xfrm>
                          <a:prstGeom prst="rect">
                            <a:avLst/>
                          </a:prstGeom>
                        </pic:spPr>
                      </pic:pic>
                    </a:graphicData>
                  </a:graphic>
                </wp:inline>
              </w:drawing>
            </w:r>
          </w:p>
        </w:tc>
      </w:tr>
      <w:tr w14:paraId="39BAC6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779" w:type="dxa"/>
            <w:shd w:val="clear" w:color="auto" w:fill="FFFF00"/>
            <w:vAlign w:val="top"/>
          </w:tcPr>
          <w:p w14:paraId="2FBDB83E">
            <w:pPr>
              <w:pStyle w:val="7"/>
              <w:spacing w:before="33" w:line="207" w:lineRule="auto"/>
              <w:ind w:left="793"/>
            </w:pPr>
            <w:r>
              <w:rPr>
                <w:b/>
                <w:bCs/>
                <w:spacing w:val="-4"/>
              </w:rPr>
              <w:t>第</w:t>
            </w:r>
            <w:r>
              <w:rPr>
                <w:spacing w:val="-40"/>
              </w:rPr>
              <w:t xml:space="preserve"> </w:t>
            </w:r>
            <w:r>
              <w:rPr>
                <w:b/>
                <w:bCs/>
                <w:spacing w:val="-4"/>
              </w:rPr>
              <w:t>7</w:t>
            </w:r>
            <w:r>
              <w:rPr>
                <w:spacing w:val="-39"/>
              </w:rPr>
              <w:t xml:space="preserve"> </w:t>
            </w:r>
            <w:r>
              <w:rPr>
                <w:b/>
                <w:bCs/>
                <w:spacing w:val="-4"/>
              </w:rPr>
              <w:t>章</w:t>
            </w:r>
            <w:r>
              <w:rPr>
                <w:spacing w:val="-4"/>
              </w:rPr>
              <w:t xml:space="preserve"> </w:t>
            </w:r>
            <w:r>
              <w:rPr>
                <w:b/>
                <w:bCs/>
                <w:spacing w:val="-4"/>
              </w:rPr>
              <w:t>建设工程施工安全和管理</w:t>
            </w:r>
          </w:p>
        </w:tc>
        <w:tc>
          <w:tcPr>
            <w:tcW w:w="5081" w:type="dxa"/>
            <w:shd w:val="clear" w:color="auto" w:fill="FFFF00"/>
            <w:vAlign w:val="top"/>
          </w:tcPr>
          <w:p w14:paraId="2D95C8D2">
            <w:pPr>
              <w:pStyle w:val="7"/>
              <w:spacing w:before="33" w:line="207" w:lineRule="auto"/>
              <w:ind w:left="942"/>
            </w:pPr>
            <w:r>
              <w:rPr>
                <w:b/>
                <w:bCs/>
                <w:spacing w:val="-4"/>
              </w:rPr>
              <w:t>第</w:t>
            </w:r>
            <w:r>
              <w:rPr>
                <w:spacing w:val="-40"/>
              </w:rPr>
              <w:t xml:space="preserve"> </w:t>
            </w:r>
            <w:r>
              <w:rPr>
                <w:b/>
                <w:bCs/>
                <w:spacing w:val="-4"/>
              </w:rPr>
              <w:t>7</w:t>
            </w:r>
            <w:r>
              <w:rPr>
                <w:spacing w:val="-39"/>
              </w:rPr>
              <w:t xml:space="preserve"> </w:t>
            </w:r>
            <w:r>
              <w:rPr>
                <w:b/>
                <w:bCs/>
                <w:spacing w:val="-4"/>
              </w:rPr>
              <w:t>章</w:t>
            </w:r>
            <w:r>
              <w:rPr>
                <w:spacing w:val="-4"/>
              </w:rPr>
              <w:t xml:space="preserve"> </w:t>
            </w:r>
            <w:r>
              <w:rPr>
                <w:b/>
                <w:bCs/>
                <w:spacing w:val="-4"/>
              </w:rPr>
              <w:t>建设工程施工安全和管理</w:t>
            </w:r>
          </w:p>
        </w:tc>
      </w:tr>
      <w:tr w14:paraId="45CD1A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2" w:hRule="atLeast"/>
        </w:trPr>
        <w:tc>
          <w:tcPr>
            <w:tcW w:w="4779" w:type="dxa"/>
            <w:vAlign w:val="top"/>
          </w:tcPr>
          <w:p w14:paraId="0D484D40">
            <w:pPr>
              <w:pStyle w:val="7"/>
              <w:spacing w:before="34" w:line="220" w:lineRule="auto"/>
              <w:ind w:left="106"/>
            </w:pPr>
            <w:r>
              <w:rPr>
                <w:b/>
                <w:bCs/>
                <w:color w:val="EE0000"/>
                <w:spacing w:val="-2"/>
              </w:rPr>
              <w:t>【修改】P285</w:t>
            </w:r>
          </w:p>
          <w:p w14:paraId="7CA5E1FF">
            <w:pPr>
              <w:pStyle w:val="7"/>
              <w:spacing w:before="23" w:line="220" w:lineRule="auto"/>
              <w:ind w:left="121"/>
            </w:pPr>
            <w:r>
              <w:rPr>
                <w:spacing w:val="-2"/>
              </w:rPr>
              <w:t>7.1.1</w:t>
            </w:r>
            <w:r>
              <w:rPr>
                <w:spacing w:val="-37"/>
              </w:rPr>
              <w:t xml:space="preserve"> </w:t>
            </w:r>
            <w:r>
              <w:rPr>
                <w:spacing w:val="-2"/>
              </w:rPr>
              <w:t>施工生产危险源及其控制</w:t>
            </w:r>
          </w:p>
          <w:p w14:paraId="68013BFC">
            <w:pPr>
              <w:pStyle w:val="7"/>
              <w:spacing w:before="23" w:line="220" w:lineRule="auto"/>
              <w:ind w:left="132"/>
            </w:pPr>
            <w:r>
              <w:rPr>
                <w:spacing w:val="-3"/>
              </w:rPr>
              <w:t>1.危险源分类及控制</w:t>
            </w:r>
          </w:p>
          <w:p w14:paraId="7100555E">
            <w:pPr>
              <w:pStyle w:val="7"/>
              <w:spacing w:before="23" w:line="220" w:lineRule="auto"/>
              <w:ind w:left="132"/>
            </w:pPr>
            <w:r>
              <w:rPr>
                <w:spacing w:val="-5"/>
              </w:rPr>
              <w:t>1）危险源分类</w:t>
            </w:r>
          </w:p>
          <w:p w14:paraId="44CD4963">
            <w:pPr>
              <w:pStyle w:val="7"/>
              <w:spacing w:before="22" w:line="232" w:lineRule="auto"/>
              <w:ind w:left="116" w:right="58" w:hanging="1"/>
            </w:pPr>
            <w:r>
              <w:rPr>
                <w:spacing w:val="-3"/>
              </w:rPr>
              <w:t>①物的不安全状态。包括物的缺陷和物件堆</w:t>
            </w:r>
            <w:r>
              <w:rPr>
                <w:spacing w:val="-4"/>
              </w:rPr>
              <w:t>放不</w:t>
            </w:r>
            <w:r>
              <w:rPr>
                <w:spacing w:val="-2"/>
              </w:rPr>
              <w:t>当。物的缺陷是指设备（含施工机具、装置等）</w:t>
            </w:r>
            <w:r>
              <w:rPr>
                <w:spacing w:val="-4"/>
              </w:rPr>
              <w:t>本身及其防护措施与安全装置、个人防护用品与</w:t>
            </w:r>
            <w:r>
              <w:rPr>
                <w:spacing w:val="7"/>
              </w:rPr>
              <w:t>用具由于性能低下甚至缺失而不能实现预定功</w:t>
            </w:r>
          </w:p>
        </w:tc>
        <w:tc>
          <w:tcPr>
            <w:tcW w:w="5081" w:type="dxa"/>
            <w:vAlign w:val="top"/>
          </w:tcPr>
          <w:p w14:paraId="4FC2DA6A">
            <w:pPr>
              <w:pStyle w:val="7"/>
              <w:spacing w:before="34" w:line="220" w:lineRule="auto"/>
              <w:ind w:left="104"/>
            </w:pPr>
            <w:r>
              <w:rPr>
                <w:b/>
                <w:bCs/>
                <w:color w:val="EE0000"/>
                <w:spacing w:val="-2"/>
              </w:rPr>
              <w:t>【修改】P288</w:t>
            </w:r>
          </w:p>
          <w:p w14:paraId="2A7F9A3D">
            <w:pPr>
              <w:pStyle w:val="7"/>
              <w:spacing w:before="23" w:line="220" w:lineRule="auto"/>
              <w:ind w:left="119"/>
            </w:pPr>
            <w:r>
              <w:rPr>
                <w:spacing w:val="-2"/>
              </w:rPr>
              <w:t>7.1.1</w:t>
            </w:r>
            <w:r>
              <w:rPr>
                <w:spacing w:val="-37"/>
              </w:rPr>
              <w:t xml:space="preserve"> </w:t>
            </w:r>
            <w:r>
              <w:rPr>
                <w:spacing w:val="-2"/>
              </w:rPr>
              <w:t>施工生产危险源及其控制</w:t>
            </w:r>
          </w:p>
          <w:p w14:paraId="409BE378">
            <w:pPr>
              <w:pStyle w:val="7"/>
              <w:spacing w:before="23" w:line="220" w:lineRule="auto"/>
              <w:ind w:left="130"/>
            </w:pPr>
            <w:r>
              <w:rPr>
                <w:spacing w:val="-3"/>
              </w:rPr>
              <w:t>1.危险源分类及控制</w:t>
            </w:r>
          </w:p>
          <w:p w14:paraId="1721703C">
            <w:pPr>
              <w:pStyle w:val="7"/>
              <w:spacing w:before="23" w:line="220" w:lineRule="auto"/>
              <w:ind w:left="130"/>
            </w:pPr>
            <w:r>
              <w:rPr>
                <w:spacing w:val="-5"/>
              </w:rPr>
              <w:t>1）危险源分类</w:t>
            </w:r>
          </w:p>
          <w:p w14:paraId="39F6C676">
            <w:pPr>
              <w:pStyle w:val="7"/>
              <w:spacing w:before="22" w:line="232" w:lineRule="auto"/>
              <w:ind w:left="113" w:right="29"/>
            </w:pPr>
            <w:r>
              <w:rPr>
                <w:spacing w:val="-6"/>
              </w:rPr>
              <w:t>①物的不安全状态。包括物的缺陷和物件堆放不当。</w:t>
            </w:r>
            <w:r>
              <w:rPr>
                <w:spacing w:val="-1"/>
              </w:rPr>
              <w:t>物的缺陷是指设备(含施工机具、装置等)本身及其防护措施与安全装置、个人防护用品与用具由于性能低下甚至缺失而不能实现预定功能的现象。物的</w:t>
            </w:r>
          </w:p>
        </w:tc>
      </w:tr>
    </w:tbl>
    <w:p w14:paraId="313F72CB">
      <w:pPr>
        <w:spacing w:line="201" w:lineRule="exact"/>
        <w:rPr>
          <w:rFonts w:ascii="Arial"/>
          <w:sz w:val="17"/>
        </w:rPr>
      </w:pPr>
    </w:p>
    <w:p w14:paraId="625A4CEB">
      <w:pPr>
        <w:spacing w:line="201" w:lineRule="exact"/>
        <w:rPr>
          <w:rFonts w:ascii="Arial" w:hAnsi="Arial" w:eastAsia="Arial" w:cs="Arial"/>
          <w:sz w:val="17"/>
          <w:szCs w:val="17"/>
        </w:rPr>
        <w:sectPr>
          <w:footerReference r:id="rId18"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30FB90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7" w:hRule="atLeast"/>
        </w:trPr>
        <w:tc>
          <w:tcPr>
            <w:tcW w:w="4779" w:type="dxa"/>
            <w:vAlign w:val="top"/>
          </w:tcPr>
          <w:p w14:paraId="69FD8F82">
            <w:pPr>
              <w:pStyle w:val="7"/>
              <w:spacing w:before="31"/>
              <w:ind w:left="115" w:right="101" w:firstLine="9"/>
              <w:jc w:val="both"/>
            </w:pPr>
            <w:r>
              <w:rPr>
                <w:spacing w:val="-4"/>
              </w:rPr>
              <w:t>能的现象。物的缺陷可能是由于设计、制造缺陷造成的，也可能由于维修、选用、使用不当，或</w:t>
            </w:r>
            <w:r>
              <w:rPr>
                <w:spacing w:val="-3"/>
              </w:rPr>
              <w:t>磨损、腐蚀、老化等原因造成的。物件堆放</w:t>
            </w:r>
            <w:r>
              <w:rPr>
                <w:spacing w:val="-4"/>
              </w:rPr>
              <w:t>不当包括堆放位置和堆放方式不当。物的不安全状态是可能由人的不安全行为、环境不良和管理缺陷</w:t>
            </w:r>
            <w:r>
              <w:rPr>
                <w:color w:val="EE0000"/>
                <w:spacing w:val="-3"/>
              </w:rPr>
              <w:t>引起</w:t>
            </w:r>
            <w:r>
              <w:rPr>
                <w:spacing w:val="-3"/>
              </w:rPr>
              <w:t>。</w:t>
            </w:r>
          </w:p>
          <w:p w14:paraId="28A92296">
            <w:pPr>
              <w:pStyle w:val="7"/>
              <w:spacing w:before="7" w:line="238" w:lineRule="auto"/>
              <w:ind w:left="114" w:right="23"/>
            </w:pPr>
            <w:r>
              <w:rPr>
                <w:spacing w:val="-3"/>
              </w:rPr>
              <w:t>②人的不安全行为。人的不安全行为是指人的行</w:t>
            </w:r>
            <w:r>
              <w:rPr>
                <w:spacing w:val="5"/>
              </w:rPr>
              <w:t>为偏离被要求的标准，</w:t>
            </w:r>
            <w:r>
              <w:rPr>
                <w:spacing w:val="-55"/>
              </w:rPr>
              <w:t xml:space="preserve"> </w:t>
            </w:r>
            <w:r>
              <w:rPr>
                <w:color w:val="EE0000"/>
                <w:spacing w:val="5"/>
              </w:rPr>
              <w:t>不能实现预计功能的现</w:t>
            </w:r>
            <w:r>
              <w:rPr>
                <w:color w:val="EE0000"/>
                <w:spacing w:val="-4"/>
              </w:rPr>
              <w:t>象。</w:t>
            </w:r>
            <w:r>
              <w:rPr>
                <w:spacing w:val="-4"/>
              </w:rPr>
              <w:t>人的不安全行为包括各类违规操作（在没有</w:t>
            </w:r>
            <w:r>
              <w:rPr>
                <w:spacing w:val="-3"/>
              </w:rPr>
              <w:t>排除故障的情况下操作，没有做好防护或提出警</w:t>
            </w:r>
            <w:r>
              <w:rPr>
                <w:spacing w:val="-4"/>
              </w:rPr>
              <w:t>告；在不安全的速度下操作；使用不安全的设备或不安全地使用设备；手代替工具操作；处于不安全的位置或不安全的操作姿势；工作在运行中或有危险的设备上；成品、半成品、材料、工具等物体存放不当；不安全装束；擅自拆除安全装</w:t>
            </w:r>
            <w:r>
              <w:rPr>
                <w:spacing w:val="-10"/>
              </w:rPr>
              <w:t>置或设施；对易燃、易爆等危险品处理错误等）、不安全移动（如攀爬脚手架、翻越防护栏杆等）、</w:t>
            </w:r>
            <w:r>
              <w:rPr>
                <w:spacing w:val="-3"/>
              </w:rPr>
              <w:t>未完成规定的安全行为（如进入施工现场前检查并佩戴好安全帽）、违规进入危险区域、行为时注意力不集中等，会造成能量或危险物质控制系</w:t>
            </w:r>
            <w:r>
              <w:rPr>
                <w:spacing w:val="-4"/>
              </w:rPr>
              <w:t>统故障，使隔离屏蔽系统破坏或失效，个人防护</w:t>
            </w:r>
            <w:r>
              <w:rPr>
                <w:spacing w:val="-3"/>
              </w:rPr>
              <w:t>用品与用具失能，以及出现直接导致事故发生的</w:t>
            </w:r>
            <w:r>
              <w:rPr>
                <w:spacing w:val="-4"/>
              </w:rPr>
              <w:t>不安全行为。</w:t>
            </w:r>
          </w:p>
          <w:p w14:paraId="0E21E876">
            <w:pPr>
              <w:pStyle w:val="7"/>
              <w:spacing w:before="22" w:line="233" w:lineRule="auto"/>
              <w:ind w:left="115" w:right="101" w:hanging="1"/>
            </w:pPr>
            <w:r>
              <w:rPr>
                <w:spacing w:val="-3"/>
              </w:rPr>
              <w:t>③环境不良。环境不良是指人和物存在的环境不</w:t>
            </w:r>
            <w:r>
              <w:rPr>
                <w:spacing w:val="-4"/>
              </w:rPr>
              <w:t>满足安全生产的要求，环境因素包括施工作业环</w:t>
            </w:r>
            <w:r>
              <w:rPr>
                <w:spacing w:val="-3"/>
              </w:rPr>
              <w:t>境中的温度、湿度、噪声、振动、照明、风</w:t>
            </w:r>
            <w:r>
              <w:rPr>
                <w:spacing w:val="-4"/>
              </w:rPr>
              <w:t>力风向、作业空间、安全距离、通风换气，</w:t>
            </w:r>
            <w:r>
              <w:rPr>
                <w:color w:val="EE0000"/>
                <w:spacing w:val="-4"/>
              </w:rPr>
              <w:t>以及有毒有害气体等。</w:t>
            </w:r>
          </w:p>
        </w:tc>
        <w:tc>
          <w:tcPr>
            <w:tcW w:w="5081" w:type="dxa"/>
            <w:vAlign w:val="top"/>
          </w:tcPr>
          <w:p w14:paraId="1C6E6635">
            <w:pPr>
              <w:pStyle w:val="7"/>
              <w:spacing w:before="31"/>
              <w:ind w:left="114" w:right="129"/>
            </w:pPr>
            <w:r>
              <w:rPr>
                <w:spacing w:val="-1"/>
              </w:rPr>
              <w:t>缺陷可能是由于设计、制造缺陷造成的，也可能由于维修、选用、使用不当，或磨损、腐蚀、老化等原因造成的。物件堆放不当包括堆放位置和堆放方式不当。物的不安全状态可能由人的不安全行为、</w:t>
            </w:r>
            <w:r>
              <w:rPr>
                <w:spacing w:val="-2"/>
              </w:rPr>
              <w:t>环境不良和管理缺陷</w:t>
            </w:r>
            <w:r>
              <w:rPr>
                <w:color w:val="EE0000"/>
                <w:spacing w:val="-2"/>
              </w:rPr>
              <w:t>等一项或多项因素共同引起</w:t>
            </w:r>
            <w:r>
              <w:rPr>
                <w:spacing w:val="-2"/>
              </w:rPr>
              <w:t>。</w:t>
            </w:r>
          </w:p>
          <w:p w14:paraId="532478A6">
            <w:pPr>
              <w:pStyle w:val="7"/>
              <w:spacing w:before="5" w:line="238" w:lineRule="auto"/>
              <w:ind w:left="112" w:right="27"/>
            </w:pPr>
            <w:r>
              <w:rPr>
                <w:spacing w:val="-1"/>
              </w:rPr>
              <w:t>②人的不安全行为。人的不安全行为是指人的行为偏离被要求的标准，</w:t>
            </w:r>
            <w:r>
              <w:rPr>
                <w:color w:val="EE0000"/>
                <w:spacing w:val="-1"/>
              </w:rPr>
              <w:t>不能实现预计功能，可能导致事故、伤害或损失的行为。</w:t>
            </w:r>
            <w:r>
              <w:rPr>
                <w:spacing w:val="-1"/>
              </w:rPr>
              <w:t>人的不安全行为包括各</w:t>
            </w:r>
            <w:r>
              <w:rPr>
                <w:spacing w:val="-4"/>
              </w:rPr>
              <w:t>类违规操作(在没有排除故障的情况下操作，没</w:t>
            </w:r>
            <w:r>
              <w:rPr>
                <w:spacing w:val="-5"/>
              </w:rPr>
              <w:t>有做</w:t>
            </w:r>
            <w:r>
              <w:rPr>
                <w:spacing w:val="-1"/>
              </w:rPr>
              <w:t>好防护或提出警告；在不安全的速度下操作；使用不安全的设备或不安全地使用设备；手代替工具操作；处于不安全的位置或不安全的操作姿势；工作</w:t>
            </w:r>
            <w:r>
              <w:rPr>
                <w:spacing w:val="-6"/>
              </w:rPr>
              <w:t>在运行中或有危险的设备上；成品、半成品、材料、</w:t>
            </w:r>
            <w:r>
              <w:rPr>
                <w:spacing w:val="-1"/>
              </w:rPr>
              <w:t>工具等物体存放不当；不安全装束；擅自拆除安全装置或设施；对易燃、易爆等危险品处理错误等)、不安全移动(如攀爬脚手架、翻越防护栏杆等)、未完成规定的安全行为(如进入施工现场前检查并佩</w:t>
            </w:r>
            <w:r>
              <w:rPr>
                <w:spacing w:val="5"/>
              </w:rPr>
              <w:t xml:space="preserve"> </w:t>
            </w:r>
            <w:r>
              <w:rPr>
                <w:spacing w:val="-5"/>
              </w:rPr>
              <w:t>戴好安全帽)、违规进入危险区域、行为时注意力不</w:t>
            </w:r>
            <w:r>
              <w:rPr>
                <w:spacing w:val="-1"/>
              </w:rPr>
              <w:t>集中等，会造成能量或危险物质控制系统故障，使隔离屏蔽系统破坏或失效，个人防护用品与用具失</w:t>
            </w:r>
            <w:r>
              <w:rPr>
                <w:spacing w:val="-2"/>
              </w:rPr>
              <w:t>能，以及出现直接导致事故发生的不安全行为。</w:t>
            </w:r>
          </w:p>
          <w:p w14:paraId="4E55754B">
            <w:pPr>
              <w:pStyle w:val="7"/>
              <w:spacing w:before="24" w:line="235" w:lineRule="auto"/>
              <w:ind w:left="112" w:right="129"/>
            </w:pPr>
            <w:r>
              <w:rPr>
                <w:spacing w:val="-1"/>
              </w:rPr>
              <w:t>③环境不良。环境不良是指人和物存在的环境不满足安全生产的要求，环境因素包括施工作业环境中的温度、湿度、噪声、振动、照明、风力风向、作业空间、安全距离、通风换气</w:t>
            </w:r>
            <w:r>
              <w:rPr>
                <w:color w:val="EE0000"/>
                <w:spacing w:val="-1"/>
              </w:rPr>
              <w:t>或物体存放，以及空气质量等。</w:t>
            </w:r>
          </w:p>
        </w:tc>
      </w:tr>
      <w:tr w14:paraId="621A1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4" w:hRule="atLeast"/>
        </w:trPr>
        <w:tc>
          <w:tcPr>
            <w:tcW w:w="4779" w:type="dxa"/>
            <w:vAlign w:val="top"/>
          </w:tcPr>
          <w:p w14:paraId="4702D914">
            <w:pPr>
              <w:pStyle w:val="7"/>
              <w:spacing w:before="31" w:line="220" w:lineRule="auto"/>
              <w:ind w:left="106"/>
            </w:pPr>
            <w:r>
              <w:rPr>
                <w:b/>
                <w:bCs/>
                <w:color w:val="EE0000"/>
                <w:spacing w:val="-2"/>
              </w:rPr>
              <w:t>【修改】P285</w:t>
            </w:r>
          </w:p>
          <w:p w14:paraId="70EC3899">
            <w:pPr>
              <w:pStyle w:val="7"/>
              <w:spacing w:before="23" w:line="220" w:lineRule="auto"/>
              <w:ind w:left="121"/>
            </w:pPr>
            <w:r>
              <w:rPr>
                <w:spacing w:val="-2"/>
              </w:rPr>
              <w:t>7.1.1</w:t>
            </w:r>
            <w:r>
              <w:rPr>
                <w:spacing w:val="-37"/>
              </w:rPr>
              <w:t xml:space="preserve"> </w:t>
            </w:r>
            <w:r>
              <w:rPr>
                <w:spacing w:val="-2"/>
              </w:rPr>
              <w:t>施工生产危险源及其控制</w:t>
            </w:r>
          </w:p>
          <w:p w14:paraId="01BEEB94">
            <w:pPr>
              <w:pStyle w:val="7"/>
              <w:spacing w:before="23" w:line="220" w:lineRule="auto"/>
              <w:ind w:left="132"/>
            </w:pPr>
            <w:r>
              <w:rPr>
                <w:spacing w:val="-3"/>
              </w:rPr>
              <w:t>1.危险源分类及控制</w:t>
            </w:r>
          </w:p>
          <w:p w14:paraId="144E96DF">
            <w:pPr>
              <w:pStyle w:val="7"/>
              <w:spacing w:before="23" w:line="221" w:lineRule="auto"/>
              <w:ind w:left="119"/>
            </w:pPr>
            <w:r>
              <w:rPr>
                <w:spacing w:val="-4"/>
              </w:rPr>
              <w:t>2）危险源控制</w:t>
            </w:r>
          </w:p>
          <w:p w14:paraId="441758D5">
            <w:pPr>
              <w:pStyle w:val="7"/>
              <w:spacing w:before="20" w:line="237" w:lineRule="auto"/>
              <w:ind w:left="115" w:right="43"/>
            </w:pPr>
            <w:r>
              <w:rPr>
                <w:spacing w:val="7"/>
              </w:rPr>
              <w:t>第一类危险源的存在是第二类危险源出现的前</w:t>
            </w:r>
            <w:r>
              <w:rPr>
                <w:spacing w:val="-3"/>
              </w:rPr>
              <w:t>提，第二类危险源的出现是第一类危险源导致事故的必要条件。第一类危险源是固有的能量</w:t>
            </w:r>
            <w:r>
              <w:rPr>
                <w:spacing w:val="-4"/>
              </w:rPr>
              <w:t>或危险物质，主要采用技术手段加以控制，包括消除能量源、约束或限制能量（针对生产过程不能完</w:t>
            </w:r>
            <w:r>
              <w:rPr>
                <w:spacing w:val="-11"/>
              </w:rPr>
              <w:t>全消除的能量源）、屏蔽隔离、防护等技术手段，</w:t>
            </w:r>
            <w:r>
              <w:rPr>
                <w:spacing w:val="-4"/>
              </w:rPr>
              <w:t>同时应落实应急预案的保障措施；第二类危险源</w:t>
            </w:r>
            <w:r>
              <w:rPr>
                <w:color w:val="EE0000"/>
                <w:spacing w:val="-4"/>
              </w:rPr>
              <w:t>主要通过管理手段加以控制</w:t>
            </w:r>
            <w:r>
              <w:rPr>
                <w:spacing w:val="-4"/>
              </w:rPr>
              <w:t>，消除人的不安全行</w:t>
            </w:r>
            <w:r>
              <w:rPr>
                <w:spacing w:val="-3"/>
              </w:rPr>
              <w:t>为、物的不安全状态，规避环境不良（不安</w:t>
            </w:r>
            <w:r>
              <w:rPr>
                <w:spacing w:val="-4"/>
              </w:rPr>
              <w:t>全条</w:t>
            </w:r>
            <w:r>
              <w:rPr>
                <w:spacing w:val="-2"/>
              </w:rPr>
              <w:t>件</w:t>
            </w:r>
            <w:r>
              <w:rPr>
                <w:spacing w:val="-14"/>
              </w:rPr>
              <w:t>），</w:t>
            </w:r>
            <w:r>
              <w:rPr>
                <w:spacing w:val="-2"/>
              </w:rPr>
              <w:t>包括建立健全危险源管理规章制度，做好</w:t>
            </w:r>
            <w:r>
              <w:rPr>
                <w:spacing w:val="-4"/>
              </w:rPr>
              <w:t>危险源控制管理基础工作，明确控制责任，加强安全教育，定期开展安全检查和隐患治理，实施</w:t>
            </w:r>
            <w:r>
              <w:rPr>
                <w:spacing w:val="-3"/>
              </w:rPr>
              <w:t>考核评价和奖惩等。</w:t>
            </w:r>
          </w:p>
        </w:tc>
        <w:tc>
          <w:tcPr>
            <w:tcW w:w="5081" w:type="dxa"/>
            <w:vAlign w:val="top"/>
          </w:tcPr>
          <w:p w14:paraId="6C2EFAD9">
            <w:pPr>
              <w:pStyle w:val="7"/>
              <w:spacing w:before="31" w:line="220" w:lineRule="auto"/>
              <w:ind w:left="104"/>
            </w:pPr>
            <w:r>
              <w:rPr>
                <w:b/>
                <w:bCs/>
                <w:color w:val="EE0000"/>
                <w:spacing w:val="-2"/>
              </w:rPr>
              <w:t>【修改】P288</w:t>
            </w:r>
          </w:p>
          <w:p w14:paraId="5AA81ACF">
            <w:pPr>
              <w:pStyle w:val="7"/>
              <w:spacing w:before="23" w:line="220" w:lineRule="auto"/>
              <w:ind w:left="119"/>
            </w:pPr>
            <w:r>
              <w:rPr>
                <w:spacing w:val="-2"/>
              </w:rPr>
              <w:t>7.1.1</w:t>
            </w:r>
            <w:r>
              <w:rPr>
                <w:spacing w:val="-37"/>
              </w:rPr>
              <w:t xml:space="preserve"> </w:t>
            </w:r>
            <w:r>
              <w:rPr>
                <w:spacing w:val="-2"/>
              </w:rPr>
              <w:t>施工生产危险源及其控制</w:t>
            </w:r>
          </w:p>
          <w:p w14:paraId="530E6F00">
            <w:pPr>
              <w:pStyle w:val="7"/>
              <w:spacing w:before="23" w:line="220" w:lineRule="auto"/>
              <w:ind w:left="130"/>
            </w:pPr>
            <w:r>
              <w:rPr>
                <w:spacing w:val="-3"/>
              </w:rPr>
              <w:t>1.危险源分类及控制</w:t>
            </w:r>
          </w:p>
          <w:p w14:paraId="6EAA3F51">
            <w:pPr>
              <w:pStyle w:val="7"/>
              <w:spacing w:before="23" w:line="221" w:lineRule="auto"/>
              <w:ind w:left="117"/>
            </w:pPr>
            <w:r>
              <w:rPr>
                <w:spacing w:val="-2"/>
              </w:rPr>
              <w:t>2)危险源控制</w:t>
            </w:r>
          </w:p>
          <w:p w14:paraId="573C8371">
            <w:pPr>
              <w:pStyle w:val="7"/>
              <w:spacing w:before="20" w:line="237" w:lineRule="auto"/>
              <w:ind w:left="113" w:right="46"/>
            </w:pPr>
            <w:r>
              <w:t>第一类危险源的存在是第二类危险源出现的前提，第二类危险源的出现是第一类危险源导致事故的必要条件。第一类危险源是固有的能量或危险物质，主要采用技术手段加以控制，包括消除能量源、约</w:t>
            </w:r>
            <w:r>
              <w:rPr>
                <w:spacing w:val="5"/>
              </w:rPr>
              <w:t>束或限制能量(针对生产过程不能完全消除的能量</w:t>
            </w:r>
            <w:r>
              <w:rPr>
                <w:spacing w:val="-5"/>
              </w:rPr>
              <w:t>源)、屏蔽隔离、防护等技术手段，同时应落实应急</w:t>
            </w:r>
            <w:r>
              <w:t>预案的保障措施；第二类危险源</w:t>
            </w:r>
            <w:r>
              <w:rPr>
                <w:color w:val="EE0000"/>
              </w:rPr>
              <w:t>主要通过强化管理</w:t>
            </w:r>
            <w:r>
              <w:rPr>
                <w:color w:val="EE0000"/>
                <w:spacing w:val="-7"/>
              </w:rPr>
              <w:t>加以控制</w:t>
            </w:r>
            <w:r>
              <w:rPr>
                <w:spacing w:val="-7"/>
              </w:rPr>
              <w:t>，消除人的不安全行为、物的不安全状态，</w:t>
            </w:r>
            <w:r>
              <w:rPr>
                <w:spacing w:val="5"/>
              </w:rPr>
              <w:t>规避环境不良(不安全条件),包括建立健全危险源</w:t>
            </w:r>
            <w:r>
              <w:t>管理规章制度，做好危险源控制管理基础工作，明确控制责任，制定安全操作规程，加强安全教育，定期开展安全检查和隐患治理，实施考核评价和奖</w:t>
            </w:r>
            <w:r>
              <w:rPr>
                <w:spacing w:val="-9"/>
              </w:rPr>
              <w:t>惩等。</w:t>
            </w:r>
          </w:p>
        </w:tc>
      </w:tr>
      <w:tr w14:paraId="643F50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7" w:hRule="atLeast"/>
        </w:trPr>
        <w:tc>
          <w:tcPr>
            <w:tcW w:w="4779" w:type="dxa"/>
            <w:vAlign w:val="top"/>
          </w:tcPr>
          <w:p w14:paraId="64B05BEB">
            <w:pPr>
              <w:pStyle w:val="7"/>
              <w:spacing w:before="70" w:line="182" w:lineRule="auto"/>
              <w:ind w:left="112"/>
            </w:pPr>
            <w:r>
              <w:rPr>
                <w:b/>
                <w:bCs/>
                <w:color w:val="EE0000"/>
                <w:spacing w:val="-3"/>
              </w:rPr>
              <w:t>P286</w:t>
            </w:r>
          </w:p>
          <w:p w14:paraId="28CC936F">
            <w:pPr>
              <w:pStyle w:val="7"/>
              <w:spacing w:before="32" w:line="220" w:lineRule="auto"/>
              <w:ind w:left="121"/>
            </w:pPr>
            <w:r>
              <w:rPr>
                <w:spacing w:val="-2"/>
              </w:rPr>
              <w:t>7.1.1</w:t>
            </w:r>
            <w:r>
              <w:rPr>
                <w:spacing w:val="-37"/>
              </w:rPr>
              <w:t xml:space="preserve"> </w:t>
            </w:r>
            <w:r>
              <w:rPr>
                <w:spacing w:val="-2"/>
              </w:rPr>
              <w:t>施工生产危险源及其控制</w:t>
            </w:r>
          </w:p>
          <w:p w14:paraId="74AA4B23">
            <w:pPr>
              <w:pStyle w:val="7"/>
              <w:spacing w:before="23" w:line="220" w:lineRule="auto"/>
              <w:ind w:left="119"/>
            </w:pPr>
            <w:r>
              <w:rPr>
                <w:spacing w:val="-1"/>
              </w:rPr>
              <w:t>2.施工生产常见危险源</w:t>
            </w:r>
          </w:p>
          <w:p w14:paraId="07759AA9">
            <w:pPr>
              <w:pStyle w:val="7"/>
              <w:spacing w:before="23" w:line="225" w:lineRule="auto"/>
              <w:ind w:left="119" w:right="103" w:firstLine="2"/>
            </w:pPr>
            <w:r>
              <w:rPr>
                <w:spacing w:val="1"/>
              </w:rPr>
              <w:t>（3）坍塌倾覆事故危险源。易发生坍塌倾覆事</w:t>
            </w:r>
            <w:r>
              <w:rPr>
                <w:spacing w:val="-4"/>
              </w:rPr>
              <w:t>故的主要危险部位和施工过程有：基坑作业，边</w:t>
            </w:r>
          </w:p>
        </w:tc>
        <w:tc>
          <w:tcPr>
            <w:tcW w:w="5081" w:type="dxa"/>
            <w:vAlign w:val="top"/>
          </w:tcPr>
          <w:p w14:paraId="06024BEC">
            <w:pPr>
              <w:pStyle w:val="7"/>
              <w:spacing w:before="33" w:line="221" w:lineRule="auto"/>
              <w:ind w:left="104"/>
            </w:pPr>
            <w:r>
              <w:rPr>
                <w:b/>
                <w:bCs/>
                <w:color w:val="EE0000"/>
                <w:spacing w:val="-2"/>
              </w:rPr>
              <w:t>【新增】P289</w:t>
            </w:r>
          </w:p>
          <w:p w14:paraId="26781D88">
            <w:pPr>
              <w:pStyle w:val="7"/>
              <w:spacing w:before="22" w:line="220" w:lineRule="auto"/>
              <w:ind w:left="119"/>
            </w:pPr>
            <w:r>
              <w:rPr>
                <w:spacing w:val="-2"/>
              </w:rPr>
              <w:t>7.1.1</w:t>
            </w:r>
            <w:r>
              <w:rPr>
                <w:spacing w:val="-37"/>
              </w:rPr>
              <w:t xml:space="preserve"> </w:t>
            </w:r>
            <w:r>
              <w:rPr>
                <w:spacing w:val="-2"/>
              </w:rPr>
              <w:t>施工生产危险源及其控制</w:t>
            </w:r>
          </w:p>
          <w:p w14:paraId="706BE6AB">
            <w:pPr>
              <w:pStyle w:val="7"/>
              <w:spacing w:before="23" w:line="220" w:lineRule="auto"/>
              <w:ind w:left="117"/>
            </w:pPr>
            <w:r>
              <w:rPr>
                <w:spacing w:val="-1"/>
              </w:rPr>
              <w:t>2.施工生产常见危险源</w:t>
            </w:r>
          </w:p>
          <w:p w14:paraId="6B985411">
            <w:pPr>
              <w:pStyle w:val="7"/>
              <w:spacing w:before="23" w:line="225" w:lineRule="auto"/>
              <w:ind w:left="114" w:right="105" w:firstLine="38"/>
            </w:pPr>
            <w:r>
              <w:rPr>
                <w:spacing w:val="-6"/>
              </w:rPr>
              <w:t>(3)坍塌倾覆事故危险源。</w:t>
            </w:r>
            <w:r>
              <w:rPr>
                <w:color w:val="EE0000"/>
                <w:spacing w:val="-6"/>
              </w:rPr>
              <w:t>常见的施工坍塌有施工基</w:t>
            </w:r>
            <w:r>
              <w:rPr>
                <w:color w:val="EE0000"/>
              </w:rPr>
              <w:t>坑(槽)坍塌、边坡坍塌、基础桩壁坍塌、模板支撑</w:t>
            </w:r>
          </w:p>
        </w:tc>
      </w:tr>
    </w:tbl>
    <w:p w14:paraId="1ABF2118">
      <w:pPr>
        <w:spacing w:line="165" w:lineRule="exact"/>
        <w:rPr>
          <w:rFonts w:ascii="Arial"/>
          <w:sz w:val="14"/>
        </w:rPr>
      </w:pPr>
    </w:p>
    <w:p w14:paraId="246561EA">
      <w:pPr>
        <w:spacing w:line="165" w:lineRule="exact"/>
        <w:rPr>
          <w:rFonts w:ascii="Arial" w:hAnsi="Arial" w:eastAsia="Arial" w:cs="Arial"/>
          <w:sz w:val="14"/>
          <w:szCs w:val="14"/>
        </w:rPr>
        <w:sectPr>
          <w:footerReference r:id="rId19"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537A7E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4" w:hRule="atLeast"/>
        </w:trPr>
        <w:tc>
          <w:tcPr>
            <w:tcW w:w="4779" w:type="dxa"/>
            <w:vAlign w:val="top"/>
          </w:tcPr>
          <w:p w14:paraId="299C5563">
            <w:pPr>
              <w:pStyle w:val="7"/>
              <w:spacing w:before="30"/>
              <w:ind w:left="115" w:right="40"/>
              <w:jc w:val="both"/>
            </w:pPr>
            <w:r>
              <w:rPr>
                <w:spacing w:val="-6"/>
              </w:rPr>
              <w:t>坡作业，人工挖孔桩施工，脚手架/防护架安拆，</w:t>
            </w:r>
            <w:r>
              <w:rPr>
                <w:spacing w:val="-4"/>
              </w:rPr>
              <w:t>模板工程搭拆，拆除工程施工，挡土墙施工，物料提升机、塔式起重机、滑模、接料平台、移动操作台等。主要危险因素有：危险性较大的分部分项工程无专项施工方案，土方施工未按规定放</w:t>
            </w:r>
            <w:r>
              <w:rPr>
                <w:spacing w:val="-5"/>
              </w:rPr>
              <w:t>坡和支护，基坑/桩孔及边坡护壁未按设计</w:t>
            </w:r>
            <w:r>
              <w:rPr>
                <w:spacing w:val="-6"/>
              </w:rPr>
              <w:t>施工，</w:t>
            </w:r>
            <w:r>
              <w:rPr>
                <w:spacing w:val="2"/>
              </w:rPr>
              <w:t>地下水未及时抽取或无降水措施，流砂/泥未及</w:t>
            </w:r>
            <w:r>
              <w:rPr>
                <w:spacing w:val="-1"/>
              </w:rPr>
              <w:t>时有效防治，脚手架搭设无设计计算书，起重、</w:t>
            </w:r>
            <w:r>
              <w:rPr>
                <w:spacing w:val="-5"/>
              </w:rPr>
              <w:t>吊装、滑模等装置/设备未经验收擅自投入</w:t>
            </w:r>
            <w:r>
              <w:rPr>
                <w:spacing w:val="-6"/>
              </w:rPr>
              <w:t>使用，</w:t>
            </w:r>
            <w:r>
              <w:rPr>
                <w:spacing w:val="1"/>
              </w:rPr>
              <w:t>脚手架/防护架架体与建筑物未按规定拉结，未</w:t>
            </w:r>
            <w:r>
              <w:rPr>
                <w:spacing w:val="-4"/>
              </w:rPr>
              <w:t>设置剪刀墙，支模架未经设计验算，无足够的强</w:t>
            </w:r>
            <w:r>
              <w:rPr>
                <w:spacing w:val="-3"/>
              </w:rPr>
              <w:t>度、刚度、稳定性，拆除工程施工无方案，未按</w:t>
            </w:r>
            <w:r>
              <w:rPr>
                <w:spacing w:val="-4"/>
              </w:rPr>
              <w:t>规定顺序拆除，违规进入危险区域，危险区域未</w:t>
            </w:r>
            <w:r>
              <w:rPr>
                <w:spacing w:val="-2"/>
              </w:rPr>
              <w:t>设置警示标志、防护措施等。</w:t>
            </w:r>
          </w:p>
        </w:tc>
        <w:tc>
          <w:tcPr>
            <w:tcW w:w="5081" w:type="dxa"/>
            <w:vAlign w:val="top"/>
          </w:tcPr>
          <w:p w14:paraId="79BA46DE">
            <w:pPr>
              <w:pStyle w:val="7"/>
              <w:spacing w:before="28" w:line="238" w:lineRule="auto"/>
              <w:ind w:left="113" w:right="29" w:firstLine="5"/>
              <w:jc w:val="both"/>
            </w:pPr>
            <w:r>
              <w:rPr>
                <w:color w:val="EE0000"/>
              </w:rPr>
              <w:t>系统坍塌及临时建筑(包括施工围墙)倒塌等。施工现场倾覆主要是大型机械设备失稳倾倒。坍塌倾覆事故除造成人身挤压伤害及窒息外，还会连带造成高处坠落、物体打击等伤害。</w:t>
            </w:r>
            <w:r>
              <w:t>易发生坍塌倾覆事故的主要危险部位和施工过程有：基坑作业，边坡作</w:t>
            </w:r>
            <w:r>
              <w:rPr>
                <w:spacing w:val="-4"/>
              </w:rPr>
              <w:t>业，人工挖孔桩施工，脚手架/防护架安拆</w:t>
            </w:r>
            <w:r>
              <w:rPr>
                <w:spacing w:val="-5"/>
              </w:rPr>
              <w:t>，模板工</w:t>
            </w:r>
            <w:r>
              <w:rPr>
                <w:spacing w:val="-6"/>
              </w:rPr>
              <w:t>程搭拆，拆除工程施工，挡土墙施工，物料提升机、</w:t>
            </w:r>
            <w:r>
              <w:t>塔式起重机、滑模、接料平台、移动操作台等。主要危险因素有：危险性较大的分部分项工程无专项</w:t>
            </w:r>
            <w:r>
              <w:rPr>
                <w:spacing w:val="5"/>
              </w:rPr>
              <w:t>施工方案，土方施工未按规定放坡和支护，基坑/</w:t>
            </w:r>
            <w:r>
              <w:t>桩孔及边坡护壁未按设计施工，地下水未及时抽取</w:t>
            </w:r>
            <w:r>
              <w:rPr>
                <w:spacing w:val="-5"/>
              </w:rPr>
              <w:t>或无降水措施，流砂/泥未及时有效防治，脚手架搭</w:t>
            </w:r>
            <w:r>
              <w:rPr>
                <w:spacing w:val="-4"/>
              </w:rPr>
              <w:t>设无设计计算书，起重、吊装、滑模等装置</w:t>
            </w:r>
            <w:r>
              <w:rPr>
                <w:spacing w:val="-5"/>
              </w:rPr>
              <w:t>/设备未</w:t>
            </w:r>
            <w:r>
              <w:rPr>
                <w:spacing w:val="-4"/>
              </w:rPr>
              <w:t>经验收擅自投入使用，脚手架/防护架架体与建</w:t>
            </w:r>
            <w:r>
              <w:rPr>
                <w:spacing w:val="-5"/>
              </w:rPr>
              <w:t>筑物</w:t>
            </w:r>
            <w:r>
              <w:t>未按规定拉结，未设置剪刀墙，支模架未经设计验算，无足够的强度、刚度、稳定性，拆除工程</w:t>
            </w:r>
            <w:r>
              <w:rPr>
                <w:spacing w:val="-1"/>
              </w:rPr>
              <w:t>施工</w:t>
            </w:r>
            <w:r>
              <w:t>无方案，未按规定顺序拆除，违规进入危险区域，</w:t>
            </w:r>
            <w:r>
              <w:rPr>
                <w:spacing w:val="-2"/>
              </w:rPr>
              <w:t>危险区域未设置警示标志、防护措施等。</w:t>
            </w:r>
          </w:p>
        </w:tc>
      </w:tr>
      <w:tr w14:paraId="1B2A4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4" w:hRule="atLeast"/>
        </w:trPr>
        <w:tc>
          <w:tcPr>
            <w:tcW w:w="4779" w:type="dxa"/>
            <w:vAlign w:val="top"/>
          </w:tcPr>
          <w:p w14:paraId="18ACB04D">
            <w:pPr>
              <w:pStyle w:val="7"/>
              <w:spacing w:before="67" w:line="182" w:lineRule="auto"/>
              <w:ind w:left="112"/>
            </w:pPr>
            <w:r>
              <w:rPr>
                <w:b/>
                <w:bCs/>
                <w:color w:val="EE0000"/>
                <w:spacing w:val="-3"/>
              </w:rPr>
              <w:t>P290</w:t>
            </w:r>
          </w:p>
          <w:p w14:paraId="1A479C77">
            <w:pPr>
              <w:pStyle w:val="7"/>
              <w:spacing w:before="32" w:line="220" w:lineRule="auto"/>
              <w:ind w:left="121"/>
            </w:pPr>
            <w:r>
              <w:rPr>
                <w:spacing w:val="-2"/>
              </w:rPr>
              <w:t>7.1.1</w:t>
            </w:r>
            <w:r>
              <w:rPr>
                <w:spacing w:val="-37"/>
              </w:rPr>
              <w:t xml:space="preserve"> </w:t>
            </w:r>
            <w:r>
              <w:rPr>
                <w:spacing w:val="-2"/>
              </w:rPr>
              <w:t>施工生产危险源及其控制</w:t>
            </w:r>
          </w:p>
          <w:p w14:paraId="7D6AC1A4">
            <w:pPr>
              <w:pStyle w:val="7"/>
              <w:spacing w:before="22" w:line="219" w:lineRule="auto"/>
              <w:ind w:left="120"/>
            </w:pPr>
            <w:r>
              <w:rPr>
                <w:spacing w:val="-1"/>
              </w:rPr>
              <w:t>3.危险源辨识与风险评价方法</w:t>
            </w:r>
          </w:p>
          <w:p w14:paraId="7C5A090A">
            <w:pPr>
              <w:pStyle w:val="7"/>
              <w:spacing w:before="25"/>
              <w:ind w:left="115" w:right="93" w:firstLine="7"/>
              <w:jc w:val="both"/>
            </w:pPr>
            <w:r>
              <w:rPr>
                <w:spacing w:val="1"/>
              </w:rPr>
              <w:t>（2）预先危险性分析。预先危险性分析也称初</w:t>
            </w:r>
            <w:r>
              <w:rPr>
                <w:spacing w:val="-4"/>
              </w:rPr>
              <w:t>始危险分析，是指在每项生产活动之前，特别是</w:t>
            </w:r>
            <w:r>
              <w:rPr>
                <w:spacing w:val="-3"/>
              </w:rPr>
              <w:t>在设计的开始阶段，对识别和评价对象存在</w:t>
            </w:r>
            <w:r>
              <w:rPr>
                <w:spacing w:val="-4"/>
              </w:rPr>
              <w:t>的危</w:t>
            </w:r>
            <w:r>
              <w:rPr>
                <w:spacing w:val="-3"/>
              </w:rPr>
              <w:t>险类别、出现条件、事故后果等进行概略分析，</w:t>
            </w:r>
            <w:r>
              <w:rPr>
                <w:spacing w:val="-4"/>
              </w:rPr>
              <w:t>尽可能预先找出潜在的危险性，并提出消除或控</w:t>
            </w:r>
            <w:r>
              <w:rPr>
                <w:spacing w:val="-1"/>
              </w:rPr>
              <w:t>制危险性的措施。</w:t>
            </w:r>
          </w:p>
        </w:tc>
        <w:tc>
          <w:tcPr>
            <w:tcW w:w="5081" w:type="dxa"/>
            <w:vAlign w:val="top"/>
          </w:tcPr>
          <w:p w14:paraId="1FF5EB21">
            <w:pPr>
              <w:pStyle w:val="7"/>
              <w:spacing w:before="30" w:line="221" w:lineRule="auto"/>
              <w:ind w:left="104"/>
            </w:pPr>
            <w:r>
              <w:rPr>
                <w:b/>
                <w:bCs/>
                <w:color w:val="EE0000"/>
                <w:spacing w:val="-2"/>
              </w:rPr>
              <w:t>【新增】P290</w:t>
            </w:r>
          </w:p>
          <w:p w14:paraId="60BF0E22">
            <w:pPr>
              <w:pStyle w:val="7"/>
              <w:spacing w:before="22" w:line="220" w:lineRule="auto"/>
              <w:ind w:left="119"/>
            </w:pPr>
            <w:r>
              <w:rPr>
                <w:spacing w:val="-2"/>
              </w:rPr>
              <w:t>7.1.1</w:t>
            </w:r>
            <w:r>
              <w:rPr>
                <w:spacing w:val="-37"/>
              </w:rPr>
              <w:t xml:space="preserve"> </w:t>
            </w:r>
            <w:r>
              <w:rPr>
                <w:spacing w:val="-2"/>
              </w:rPr>
              <w:t>施工生产危险源及其控制</w:t>
            </w:r>
          </w:p>
          <w:p w14:paraId="43A9AB16">
            <w:pPr>
              <w:pStyle w:val="7"/>
              <w:spacing w:before="22" w:line="219" w:lineRule="auto"/>
              <w:ind w:left="118"/>
            </w:pPr>
            <w:r>
              <w:rPr>
                <w:spacing w:val="-1"/>
              </w:rPr>
              <w:t>3.危险源辨识与风险评价方法</w:t>
            </w:r>
          </w:p>
          <w:p w14:paraId="25F67645">
            <w:pPr>
              <w:pStyle w:val="7"/>
              <w:spacing w:before="29" w:line="236" w:lineRule="auto"/>
              <w:ind w:left="113" w:right="105" w:firstLine="39"/>
            </w:pPr>
            <w:r>
              <w:rPr>
                <w:spacing w:val="-6"/>
              </w:rPr>
              <w:t>(2)预先危险性分析法。预先危险性分析法也称初始</w:t>
            </w:r>
            <w:r>
              <w:t>危险分析，是指在每项生产活动之前，特别是在设</w:t>
            </w:r>
            <w:r>
              <w:rPr>
                <w:spacing w:val="-1"/>
              </w:rPr>
              <w:t>计开始阶段，对识别和评价对象存在的危险类别、</w:t>
            </w:r>
            <w:r>
              <w:t>出现条件、事故后果等进行概略分析，尽可能找出潜在危险性的评价方法。</w:t>
            </w:r>
            <w:r>
              <w:rPr>
                <w:color w:val="EE0000"/>
              </w:rPr>
              <w:t>预先危险性分析法也称初始危险性分析法，其原理是利用系统设计方案的相关设计图纸和资料，依据系统各组成部分的功能流程图及有关资料，预先对系统在预期寿命期内的试验、制造、储存、修理、使用等活动进行系统的安</w:t>
            </w:r>
            <w:r>
              <w:rPr>
                <w:color w:val="EE0000"/>
                <w:spacing w:val="-7"/>
              </w:rPr>
              <w:t>全评价。</w:t>
            </w:r>
          </w:p>
        </w:tc>
      </w:tr>
      <w:tr w14:paraId="696F7C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4" w:hRule="atLeast"/>
        </w:trPr>
        <w:tc>
          <w:tcPr>
            <w:tcW w:w="4779" w:type="dxa"/>
            <w:vAlign w:val="top"/>
          </w:tcPr>
          <w:p w14:paraId="6BB7944F">
            <w:pPr>
              <w:pStyle w:val="7"/>
              <w:spacing w:before="32" w:line="220" w:lineRule="auto"/>
              <w:ind w:left="106"/>
            </w:pPr>
            <w:r>
              <w:rPr>
                <w:b/>
                <w:bCs/>
                <w:color w:val="EE0000"/>
                <w:spacing w:val="-2"/>
              </w:rPr>
              <w:t>【修改】P300</w:t>
            </w:r>
          </w:p>
          <w:p w14:paraId="38B006C9">
            <w:pPr>
              <w:pStyle w:val="7"/>
              <w:spacing w:before="22"/>
              <w:ind w:left="115" w:right="2299" w:firstLine="6"/>
            </w:pPr>
            <w:r>
              <w:rPr>
                <w:spacing w:val="-2"/>
              </w:rPr>
              <w:t>7.2.1</w:t>
            </w:r>
            <w:r>
              <w:rPr>
                <w:spacing w:val="-43"/>
              </w:rPr>
              <w:t xml:space="preserve"> </w:t>
            </w:r>
            <w:r>
              <w:rPr>
                <w:spacing w:val="-2"/>
              </w:rPr>
              <w:t>施工安全管理体系</w:t>
            </w:r>
            <w:r>
              <w:rPr>
                <w:spacing w:val="-1"/>
              </w:rPr>
              <w:t>4.本质安全化管理</w:t>
            </w:r>
          </w:p>
          <w:p w14:paraId="2F346D73">
            <w:pPr>
              <w:pStyle w:val="7"/>
              <w:spacing w:before="2" w:line="236" w:lineRule="auto"/>
              <w:ind w:left="114" w:right="100"/>
              <w:jc w:val="both"/>
            </w:pPr>
            <w:r>
              <w:rPr>
                <w:spacing w:val="7"/>
              </w:rPr>
              <w:t>②落实安全风险分级管控和隐患排查治理双重</w:t>
            </w:r>
            <w:r>
              <w:rPr>
                <w:spacing w:val="-3"/>
              </w:rPr>
              <w:t>预防机制。企业应根据《中华人民共和国安全生产法》要求，构建安全风险分级管控和隐患排查</w:t>
            </w:r>
            <w:r>
              <w:rPr>
                <w:spacing w:val="7"/>
              </w:rPr>
              <w:t>治理双重预防机制，建立安全风险分级管控制</w:t>
            </w:r>
            <w:r>
              <w:rPr>
                <w:spacing w:val="-4"/>
              </w:rPr>
              <w:t>度，按照安全风险分级采取相应的管控措施。</w:t>
            </w:r>
            <w:r>
              <w:rPr>
                <w:color w:val="EE0000"/>
                <w:spacing w:val="-4"/>
              </w:rPr>
              <w:t>工程项目应根据施工阶段和施工内容的特点，全面开展安全风险辨识；科学评定安全风险等级，安</w:t>
            </w:r>
            <w:r>
              <w:rPr>
                <w:color w:val="EE0000"/>
                <w:spacing w:val="7"/>
              </w:rPr>
              <w:t>全风险等级从高到低划分为重大风险、较大风</w:t>
            </w:r>
            <w:r>
              <w:rPr>
                <w:color w:val="EE0000"/>
                <w:spacing w:val="-3"/>
              </w:rPr>
              <w:t>险、一般风险和低风险，分别用红、橙、黄、蓝</w:t>
            </w:r>
            <w:r>
              <w:rPr>
                <w:color w:val="EE0000"/>
                <w:spacing w:val="-4"/>
              </w:rPr>
              <w:t>四种颜色标示。</w:t>
            </w:r>
          </w:p>
        </w:tc>
        <w:tc>
          <w:tcPr>
            <w:tcW w:w="5081" w:type="dxa"/>
            <w:vAlign w:val="top"/>
          </w:tcPr>
          <w:p w14:paraId="6687F48D">
            <w:pPr>
              <w:pStyle w:val="7"/>
              <w:spacing w:before="32" w:line="220" w:lineRule="auto"/>
              <w:ind w:left="104"/>
            </w:pPr>
            <w:r>
              <w:rPr>
                <w:b/>
                <w:bCs/>
                <w:color w:val="EE0000"/>
                <w:spacing w:val="-2"/>
              </w:rPr>
              <w:t>【修改】P303</w:t>
            </w:r>
          </w:p>
          <w:p w14:paraId="5153F0A1">
            <w:pPr>
              <w:pStyle w:val="7"/>
              <w:spacing w:before="22"/>
              <w:ind w:left="113" w:right="2603" w:firstLine="6"/>
            </w:pPr>
            <w:r>
              <w:rPr>
                <w:spacing w:val="-2"/>
              </w:rPr>
              <w:t>7.2.1</w:t>
            </w:r>
            <w:r>
              <w:rPr>
                <w:spacing w:val="-43"/>
              </w:rPr>
              <w:t xml:space="preserve"> </w:t>
            </w:r>
            <w:r>
              <w:rPr>
                <w:spacing w:val="-2"/>
              </w:rPr>
              <w:t>施工安全管理体系</w:t>
            </w:r>
            <w:r>
              <w:rPr>
                <w:spacing w:val="-1"/>
              </w:rPr>
              <w:t>4.本质安全化管理</w:t>
            </w:r>
          </w:p>
          <w:p w14:paraId="3208CC95">
            <w:pPr>
              <w:pStyle w:val="7"/>
              <w:spacing w:before="2" w:line="236" w:lineRule="auto"/>
              <w:ind w:left="112" w:right="109"/>
            </w:pPr>
            <w:r>
              <w:t>②落实安全风险分级管控和隐患排查治理双重预防机制。企业应根据《中华人民共和国安全生产法》要求，构建安全风险分级管控和隐患排查治理双重预防机制，建立安全风险分级管控制度，按照安全风险分级采取相应的管控措施。</w:t>
            </w:r>
            <w:r>
              <w:rPr>
                <w:color w:val="EE0000"/>
              </w:rPr>
              <w:t>项目管理机构应根据项目特点及环境条件进行安全分析、危险源辨识和风险评价，编制重大危险源清单并制定相应的预防和控制措施。安全风险等级从高到低划分为重大</w:t>
            </w:r>
            <w:r>
              <w:rPr>
                <w:color w:val="EE0000"/>
                <w:spacing w:val="-1"/>
              </w:rPr>
              <w:t>风险、较大风险、一般风险和低风险，分别用红、橙、黄、蓝四种颜色标示。</w:t>
            </w:r>
          </w:p>
        </w:tc>
      </w:tr>
      <w:tr w14:paraId="2795E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0" w:hRule="atLeast"/>
        </w:trPr>
        <w:tc>
          <w:tcPr>
            <w:tcW w:w="4779" w:type="dxa"/>
            <w:vAlign w:val="top"/>
          </w:tcPr>
          <w:p w14:paraId="48312C5C">
            <w:pPr>
              <w:pStyle w:val="7"/>
              <w:spacing w:before="34" w:line="220" w:lineRule="auto"/>
              <w:ind w:left="106"/>
            </w:pPr>
            <w:r>
              <w:rPr>
                <w:b/>
                <w:bCs/>
                <w:color w:val="EE0000"/>
                <w:spacing w:val="-2"/>
              </w:rPr>
              <w:t>【删除】P301</w:t>
            </w:r>
          </w:p>
          <w:p w14:paraId="19D9A1F1">
            <w:pPr>
              <w:pStyle w:val="7"/>
              <w:spacing w:before="23" w:line="220" w:lineRule="auto"/>
              <w:ind w:left="121"/>
            </w:pPr>
            <w:r>
              <w:rPr>
                <w:spacing w:val="-2"/>
              </w:rPr>
              <w:t>7.2.1</w:t>
            </w:r>
            <w:r>
              <w:rPr>
                <w:spacing w:val="-41"/>
              </w:rPr>
              <w:t xml:space="preserve"> </w:t>
            </w:r>
            <w:r>
              <w:rPr>
                <w:spacing w:val="-2"/>
              </w:rPr>
              <w:t>施工安全管理体系</w:t>
            </w:r>
          </w:p>
          <w:p w14:paraId="0A4E5FE7">
            <w:pPr>
              <w:pStyle w:val="7"/>
              <w:spacing w:before="21" w:line="219" w:lineRule="auto"/>
              <w:ind w:left="115"/>
            </w:pPr>
            <w:r>
              <w:rPr>
                <w:spacing w:val="-1"/>
              </w:rPr>
              <w:t>4.本质安全化管理</w:t>
            </w:r>
          </w:p>
          <w:p w14:paraId="527F8D26">
            <w:pPr>
              <w:pStyle w:val="7"/>
              <w:spacing w:before="23" w:line="230" w:lineRule="auto"/>
              <w:ind w:left="115" w:right="104"/>
              <w:jc w:val="both"/>
            </w:pPr>
            <w:r>
              <w:rPr>
                <w:spacing w:val="-4"/>
              </w:rPr>
              <w:t>①安全生产第一责任人应以身作则。企业主要负责人是生产经营单位安全生产的第一责任人，工程项目负责人是项目施工安全第一责任人。第一</w:t>
            </w:r>
          </w:p>
        </w:tc>
        <w:tc>
          <w:tcPr>
            <w:tcW w:w="5081" w:type="dxa"/>
            <w:vAlign w:val="top"/>
          </w:tcPr>
          <w:p w14:paraId="51B67E95">
            <w:pPr>
              <w:pStyle w:val="7"/>
              <w:spacing w:before="34" w:line="220" w:lineRule="auto"/>
              <w:ind w:left="104"/>
            </w:pPr>
            <w:r>
              <w:rPr>
                <w:b/>
                <w:bCs/>
                <w:color w:val="EE0000"/>
                <w:spacing w:val="-2"/>
              </w:rPr>
              <w:t>【删除】P304</w:t>
            </w:r>
          </w:p>
          <w:p w14:paraId="0A6F761D">
            <w:pPr>
              <w:pStyle w:val="7"/>
              <w:spacing w:before="23" w:line="220" w:lineRule="auto"/>
              <w:ind w:left="119"/>
            </w:pPr>
            <w:r>
              <w:rPr>
                <w:spacing w:val="-2"/>
              </w:rPr>
              <w:t>7.2.1</w:t>
            </w:r>
            <w:r>
              <w:rPr>
                <w:spacing w:val="-41"/>
              </w:rPr>
              <w:t xml:space="preserve"> </w:t>
            </w:r>
            <w:r>
              <w:rPr>
                <w:spacing w:val="-2"/>
              </w:rPr>
              <w:t>施工安全管理体系</w:t>
            </w:r>
          </w:p>
          <w:p w14:paraId="2AD6AF4F">
            <w:pPr>
              <w:pStyle w:val="7"/>
              <w:spacing w:before="21" w:line="219" w:lineRule="auto"/>
              <w:ind w:left="113"/>
            </w:pPr>
            <w:r>
              <w:rPr>
                <w:spacing w:val="-1"/>
              </w:rPr>
              <w:t>4.本质安全化管理</w:t>
            </w:r>
          </w:p>
          <w:p w14:paraId="2C460A41">
            <w:pPr>
              <w:pStyle w:val="7"/>
              <w:spacing w:before="23" w:line="230" w:lineRule="auto"/>
              <w:ind w:left="115" w:right="110" w:hanging="2"/>
              <w:jc w:val="both"/>
            </w:pPr>
            <w:r>
              <w:t>①安全生产第一责任人应以身作则。企业主要负责人是生产经营单位安全生产的第一责任人，工程项目负责人是项目施工安全第一责任人。第一责任人</w:t>
            </w:r>
          </w:p>
        </w:tc>
      </w:tr>
    </w:tbl>
    <w:p w14:paraId="42E4B008">
      <w:pPr>
        <w:spacing w:line="156" w:lineRule="exact"/>
        <w:rPr>
          <w:rFonts w:ascii="Arial"/>
          <w:sz w:val="13"/>
        </w:rPr>
      </w:pPr>
    </w:p>
    <w:p w14:paraId="7DF01325">
      <w:pPr>
        <w:spacing w:line="156" w:lineRule="exact"/>
        <w:rPr>
          <w:rFonts w:ascii="Arial" w:hAnsi="Arial" w:eastAsia="Arial" w:cs="Arial"/>
          <w:sz w:val="13"/>
          <w:szCs w:val="13"/>
        </w:rPr>
        <w:sectPr>
          <w:footerReference r:id="rId20"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4FDEFB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4779" w:type="dxa"/>
            <w:vAlign w:val="top"/>
          </w:tcPr>
          <w:p w14:paraId="7FF3414F">
            <w:pPr>
              <w:pStyle w:val="7"/>
              <w:spacing w:before="35" w:line="236" w:lineRule="auto"/>
              <w:ind w:left="115" w:right="101" w:firstLine="8"/>
            </w:pPr>
            <w:r>
              <w:rPr>
                <w:spacing w:val="-4"/>
              </w:rPr>
              <w:t>责任人以身作则执行安全生产管理制度，落实安</w:t>
            </w:r>
            <w:r>
              <w:rPr>
                <w:spacing w:val="-3"/>
              </w:rPr>
              <w:t>全生产责任制，对提高其他管理人员甚至一</w:t>
            </w:r>
            <w:r>
              <w:rPr>
                <w:spacing w:val="-4"/>
              </w:rPr>
              <w:t>线作业人员的安全意识，规范其安全行为，执行安全生产管理制度有示范引领作用；同时，第一责任</w:t>
            </w:r>
            <w:r>
              <w:rPr>
                <w:spacing w:val="-1"/>
              </w:rPr>
              <w:t>人还应履行法律法规规定和企业安全管理制度</w:t>
            </w:r>
            <w:r>
              <w:rPr>
                <w:spacing w:val="-3"/>
              </w:rPr>
              <w:t>规定的各项职责。</w:t>
            </w:r>
            <w:r>
              <w:rPr>
                <w:strike/>
                <w:color w:val="EE0000"/>
                <w:spacing w:val="-3"/>
              </w:rPr>
              <w:t>如定期地组织检查安全管理制度的落实情况，对各项安全管理制度执行情</w:t>
            </w:r>
            <w:r>
              <w:rPr>
                <w:strike/>
                <w:color w:val="EE0000"/>
                <w:spacing w:val="-4"/>
              </w:rPr>
              <w:t>况进</w:t>
            </w:r>
            <w:r>
              <w:rPr>
                <w:strike/>
                <w:color w:val="EE0000"/>
                <w:spacing w:val="-3"/>
              </w:rPr>
              <w:t>行奖惩，跟踪安全管理制度的效果并适时地</w:t>
            </w:r>
            <w:r>
              <w:rPr>
                <w:strike/>
                <w:color w:val="EE0000"/>
                <w:spacing w:val="-4"/>
              </w:rPr>
              <w:t>加以</w:t>
            </w:r>
            <w:r>
              <w:rPr>
                <w:strike/>
                <w:color w:val="EE0000"/>
                <w:spacing w:val="-1"/>
              </w:rPr>
              <w:t>修改、补充等。</w:t>
            </w:r>
          </w:p>
        </w:tc>
        <w:tc>
          <w:tcPr>
            <w:tcW w:w="5081" w:type="dxa"/>
            <w:vAlign w:val="top"/>
          </w:tcPr>
          <w:p w14:paraId="5567B30D">
            <w:pPr>
              <w:pStyle w:val="7"/>
              <w:spacing w:before="30" w:line="241" w:lineRule="auto"/>
              <w:ind w:left="113" w:right="110" w:firstLine="25"/>
              <w:jc w:val="both"/>
            </w:pPr>
            <w:r>
              <w:rPr>
                <w:spacing w:val="-1"/>
              </w:rPr>
              <w:t>以身作则执行安全生产管理制度，落实安全生产责</w:t>
            </w:r>
            <w:r>
              <w:t>任制，对提高其他管理人员甚至一线作业人员的安全意识，规范其安全行为，执行安全生产管理</w:t>
            </w:r>
            <w:r>
              <w:rPr>
                <w:spacing w:val="-1"/>
              </w:rPr>
              <w:t>制度</w:t>
            </w:r>
            <w:r>
              <w:t>有示范引领作用；同时，第一责任人还应履行法律</w:t>
            </w:r>
            <w:r>
              <w:rPr>
                <w:spacing w:val="-2"/>
              </w:rPr>
              <w:t>法规规定和企业安全管理制度规定的各项职责。</w:t>
            </w:r>
          </w:p>
        </w:tc>
      </w:tr>
      <w:tr w14:paraId="44FA5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4" w:hRule="atLeast"/>
        </w:trPr>
        <w:tc>
          <w:tcPr>
            <w:tcW w:w="4779" w:type="dxa"/>
            <w:vAlign w:val="top"/>
          </w:tcPr>
          <w:p w14:paraId="6B7AC887">
            <w:pPr>
              <w:pStyle w:val="7"/>
              <w:spacing w:before="31" w:line="220" w:lineRule="auto"/>
              <w:ind w:left="106"/>
            </w:pPr>
            <w:r>
              <w:rPr>
                <w:b/>
                <w:bCs/>
                <w:color w:val="EE0000"/>
                <w:spacing w:val="-2"/>
              </w:rPr>
              <w:t>【修改】P302</w:t>
            </w:r>
          </w:p>
          <w:p w14:paraId="7C928812">
            <w:pPr>
              <w:pStyle w:val="7"/>
              <w:spacing w:before="21" w:line="219" w:lineRule="auto"/>
              <w:ind w:left="121"/>
            </w:pPr>
            <w:r>
              <w:rPr>
                <w:spacing w:val="-2"/>
              </w:rPr>
              <w:t>7.2.2</w:t>
            </w:r>
            <w:r>
              <w:rPr>
                <w:spacing w:val="-39"/>
              </w:rPr>
              <w:t xml:space="preserve"> </w:t>
            </w:r>
            <w:r>
              <w:rPr>
                <w:spacing w:val="-2"/>
              </w:rPr>
              <w:t>施工安全管理基本制度</w:t>
            </w:r>
          </w:p>
          <w:p w14:paraId="20D1D984">
            <w:pPr>
              <w:pStyle w:val="7"/>
              <w:spacing w:before="24" w:line="220" w:lineRule="auto"/>
              <w:ind w:left="132"/>
            </w:pPr>
            <w:r>
              <w:rPr>
                <w:spacing w:val="-2"/>
              </w:rPr>
              <w:t>1.全员安全生产责任制</w:t>
            </w:r>
          </w:p>
          <w:p w14:paraId="638A4CB1">
            <w:pPr>
              <w:pStyle w:val="7"/>
              <w:spacing w:before="28" w:line="236" w:lineRule="auto"/>
              <w:ind w:left="115" w:right="93" w:firstLine="7"/>
              <w:jc w:val="both"/>
            </w:pPr>
            <w:r>
              <w:rPr>
                <w:spacing w:val="1"/>
              </w:rPr>
              <w:t>（2）全员安全生产责任制内容应包括：各岗位</w:t>
            </w:r>
            <w:r>
              <w:rPr>
                <w:spacing w:val="7"/>
              </w:rPr>
              <w:t>的责任人员（或各岗位从业人员的安全生产责</w:t>
            </w:r>
            <w:r>
              <w:rPr>
                <w:spacing w:val="-3"/>
              </w:rPr>
              <w:t>任）、责任范围和考核标准。</w:t>
            </w:r>
            <w:r>
              <w:rPr>
                <w:color w:val="EE0000"/>
                <w:spacing w:val="-3"/>
              </w:rPr>
              <w:t>企业应当建立相应的机制，加强对全员安全生产责任制落实情</w:t>
            </w:r>
            <w:r>
              <w:rPr>
                <w:color w:val="EE0000"/>
                <w:spacing w:val="-4"/>
              </w:rPr>
              <w:t>况的</w:t>
            </w:r>
            <w:r>
              <w:rPr>
                <w:color w:val="EE0000"/>
                <w:spacing w:val="-3"/>
              </w:rPr>
              <w:t>监督考核，通过建立健全安全生产责任制管</w:t>
            </w:r>
            <w:r>
              <w:rPr>
                <w:color w:val="EE0000"/>
                <w:spacing w:val="-4"/>
              </w:rPr>
              <w:t>理考</w:t>
            </w:r>
            <w:r>
              <w:rPr>
                <w:color w:val="EE0000"/>
                <w:spacing w:val="-3"/>
              </w:rPr>
              <w:t>核制度和激励约束机制，对全员安全生产责</w:t>
            </w:r>
            <w:r>
              <w:rPr>
                <w:color w:val="EE0000"/>
                <w:spacing w:val="-4"/>
              </w:rPr>
              <w:t>任制落实情况进行考核管理，奖励主动落实、全面落实责任，惩处不落实责任、部分落实责任，不断</w:t>
            </w:r>
            <w:r>
              <w:rPr>
                <w:color w:val="EE0000"/>
                <w:spacing w:val="-3"/>
              </w:rPr>
              <w:t>激发全员参与安全生产工作的积极性和主动性，</w:t>
            </w:r>
            <w:r>
              <w:rPr>
                <w:color w:val="EE0000"/>
                <w:spacing w:val="-1"/>
              </w:rPr>
              <w:t>形成良好的安全文化氛围。</w:t>
            </w:r>
          </w:p>
        </w:tc>
        <w:tc>
          <w:tcPr>
            <w:tcW w:w="5081" w:type="dxa"/>
            <w:vAlign w:val="top"/>
          </w:tcPr>
          <w:p w14:paraId="77396ADF">
            <w:pPr>
              <w:pStyle w:val="7"/>
              <w:spacing w:before="31" w:line="220" w:lineRule="auto"/>
              <w:ind w:left="104"/>
            </w:pPr>
            <w:r>
              <w:rPr>
                <w:b/>
                <w:bCs/>
                <w:color w:val="EE0000"/>
                <w:spacing w:val="-2"/>
              </w:rPr>
              <w:t>【修改】P305</w:t>
            </w:r>
          </w:p>
          <w:p w14:paraId="73B5504D">
            <w:pPr>
              <w:pStyle w:val="7"/>
              <w:spacing w:before="21" w:line="219" w:lineRule="auto"/>
              <w:ind w:left="119"/>
            </w:pPr>
            <w:r>
              <w:rPr>
                <w:spacing w:val="-2"/>
              </w:rPr>
              <w:t>7.2.2</w:t>
            </w:r>
            <w:r>
              <w:rPr>
                <w:spacing w:val="-40"/>
              </w:rPr>
              <w:t xml:space="preserve"> </w:t>
            </w:r>
            <w:r>
              <w:rPr>
                <w:spacing w:val="-2"/>
              </w:rPr>
              <w:t>施工安全管理基本制度</w:t>
            </w:r>
          </w:p>
          <w:p w14:paraId="5FAB1C5E">
            <w:pPr>
              <w:pStyle w:val="7"/>
              <w:spacing w:before="24" w:line="220" w:lineRule="auto"/>
              <w:ind w:left="130"/>
            </w:pPr>
            <w:r>
              <w:rPr>
                <w:spacing w:val="-2"/>
              </w:rPr>
              <w:t>1.全员安全生产责任制</w:t>
            </w:r>
          </w:p>
          <w:p w14:paraId="54C5FFFE">
            <w:pPr>
              <w:pStyle w:val="7"/>
              <w:spacing w:before="20" w:line="241" w:lineRule="auto"/>
              <w:ind w:left="113" w:right="105" w:firstLine="39"/>
              <w:jc w:val="both"/>
            </w:pPr>
            <w:r>
              <w:rPr>
                <w:spacing w:val="-6"/>
              </w:rPr>
              <w:t>(2)全员安全生产责任制内容应包括：各岗位的责任</w:t>
            </w:r>
            <w:r>
              <w:t>人员(或各岗位从业人员的安全生产责任)、责任范</w:t>
            </w:r>
            <w:r>
              <w:rPr>
                <w:spacing w:val="-1"/>
              </w:rPr>
              <w:t>围和考核标准。</w:t>
            </w:r>
            <w:r>
              <w:rPr>
                <w:color w:val="EE0000"/>
                <w:spacing w:val="-1"/>
              </w:rPr>
              <w:t>责任内容、范围、考核标准要简明</w:t>
            </w:r>
            <w:r>
              <w:rPr>
                <w:color w:val="EE0000"/>
              </w:rPr>
              <w:t>扼要、清晰明确、便于操作、适时更新。企业一线</w:t>
            </w:r>
            <w:r>
              <w:rPr>
                <w:color w:val="EE0000"/>
                <w:spacing w:val="-2"/>
              </w:rPr>
              <w:t>从业人员的安全生产责任制，要力求通俗易懂。</w:t>
            </w:r>
          </w:p>
        </w:tc>
      </w:tr>
      <w:tr w14:paraId="6BF6B9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7" w:hRule="atLeast"/>
        </w:trPr>
        <w:tc>
          <w:tcPr>
            <w:tcW w:w="4779" w:type="dxa"/>
            <w:vAlign w:val="top"/>
          </w:tcPr>
          <w:p w14:paraId="0DF3B189">
            <w:pPr>
              <w:rPr>
                <w:rFonts w:ascii="Arial"/>
                <w:sz w:val="21"/>
              </w:rPr>
            </w:pPr>
          </w:p>
        </w:tc>
        <w:tc>
          <w:tcPr>
            <w:tcW w:w="5081" w:type="dxa"/>
            <w:vAlign w:val="top"/>
          </w:tcPr>
          <w:p w14:paraId="38CE123E">
            <w:pPr>
              <w:pStyle w:val="7"/>
              <w:spacing w:before="30" w:line="221" w:lineRule="auto"/>
              <w:ind w:left="104"/>
            </w:pPr>
            <w:r>
              <w:rPr>
                <w:b/>
                <w:bCs/>
                <w:color w:val="EE0000"/>
                <w:spacing w:val="-2"/>
              </w:rPr>
              <w:t>【新增】P305</w:t>
            </w:r>
          </w:p>
          <w:p w14:paraId="49E5B7EB">
            <w:pPr>
              <w:pStyle w:val="7"/>
              <w:spacing w:before="22" w:line="219" w:lineRule="auto"/>
              <w:ind w:left="119"/>
            </w:pPr>
            <w:r>
              <w:rPr>
                <w:spacing w:val="-2"/>
              </w:rPr>
              <w:t>7.2.2</w:t>
            </w:r>
            <w:r>
              <w:rPr>
                <w:spacing w:val="-40"/>
              </w:rPr>
              <w:t xml:space="preserve"> </w:t>
            </w:r>
            <w:r>
              <w:rPr>
                <w:spacing w:val="-2"/>
              </w:rPr>
              <w:t>施工安全管理基本制度</w:t>
            </w:r>
          </w:p>
          <w:p w14:paraId="2882C14C">
            <w:pPr>
              <w:pStyle w:val="7"/>
              <w:spacing w:before="24" w:line="220" w:lineRule="auto"/>
              <w:ind w:left="130"/>
            </w:pPr>
            <w:r>
              <w:rPr>
                <w:spacing w:val="-2"/>
              </w:rPr>
              <w:t>1.全员安全生产责任制</w:t>
            </w:r>
          </w:p>
          <w:p w14:paraId="7336A9D2">
            <w:pPr>
              <w:pStyle w:val="7"/>
              <w:spacing w:before="22" w:line="235" w:lineRule="auto"/>
              <w:ind w:left="113" w:right="105" w:firstLine="39"/>
              <w:jc w:val="both"/>
            </w:pPr>
            <w:r>
              <w:rPr>
                <w:color w:val="EE0000"/>
                <w:spacing w:val="-6"/>
              </w:rPr>
              <w:t>(6)企业应当建立相应的机制，加强对全员安全生产</w:t>
            </w:r>
            <w:r>
              <w:rPr>
                <w:color w:val="EE0000"/>
              </w:rPr>
              <w:t>责任制落实情况的监督考核，通过建立健全安全生产责任制管理考核制度和激励约束机制，对全员安全生产责任制落实情况进行考核管理，奖励主动落实、全面落实责任，惩处不落实责任、部分落实责任，不断激发全员参与安全生产工作的积极性和主</w:t>
            </w:r>
            <w:r>
              <w:rPr>
                <w:color w:val="EE0000"/>
                <w:spacing w:val="-2"/>
              </w:rPr>
              <w:t>动性，形成良好的安全文化氛围。</w:t>
            </w:r>
          </w:p>
        </w:tc>
      </w:tr>
      <w:tr w14:paraId="2F8E13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4" w:hRule="atLeast"/>
        </w:trPr>
        <w:tc>
          <w:tcPr>
            <w:tcW w:w="4779" w:type="dxa"/>
            <w:vAlign w:val="top"/>
          </w:tcPr>
          <w:p w14:paraId="6E3C8583">
            <w:pPr>
              <w:pStyle w:val="7"/>
              <w:spacing w:before="32" w:line="220" w:lineRule="auto"/>
              <w:ind w:left="106"/>
            </w:pPr>
            <w:r>
              <w:rPr>
                <w:b/>
                <w:bCs/>
                <w:color w:val="EE0000"/>
                <w:spacing w:val="-2"/>
              </w:rPr>
              <w:t>【修改】P306</w:t>
            </w:r>
          </w:p>
          <w:p w14:paraId="6BB013E1">
            <w:pPr>
              <w:pStyle w:val="7"/>
              <w:spacing w:before="23" w:line="219" w:lineRule="auto"/>
              <w:ind w:left="121"/>
            </w:pPr>
            <w:r>
              <w:rPr>
                <w:spacing w:val="-2"/>
              </w:rPr>
              <w:t>7.2.2</w:t>
            </w:r>
            <w:r>
              <w:rPr>
                <w:spacing w:val="-39"/>
              </w:rPr>
              <w:t xml:space="preserve"> </w:t>
            </w:r>
            <w:r>
              <w:rPr>
                <w:spacing w:val="-2"/>
              </w:rPr>
              <w:t>施工安全管理基本制度</w:t>
            </w:r>
          </w:p>
          <w:p w14:paraId="0ADB86E0">
            <w:pPr>
              <w:pStyle w:val="7"/>
              <w:spacing w:before="24" w:line="220" w:lineRule="auto"/>
              <w:ind w:left="115"/>
            </w:pPr>
            <w:r>
              <w:rPr>
                <w:spacing w:val="-1"/>
              </w:rPr>
              <w:t>4.安全生产许可制度</w:t>
            </w:r>
          </w:p>
          <w:p w14:paraId="4F8D7DD7">
            <w:pPr>
              <w:pStyle w:val="7"/>
              <w:spacing w:before="23" w:line="220" w:lineRule="auto"/>
              <w:ind w:left="132"/>
            </w:pPr>
            <w:r>
              <w:rPr>
                <w:spacing w:val="-2"/>
              </w:rPr>
              <w:t>1）企业取得安全生产许可证的条件</w:t>
            </w:r>
          </w:p>
          <w:p w14:paraId="49C1FA82">
            <w:pPr>
              <w:pStyle w:val="7"/>
              <w:spacing w:before="29" w:line="239" w:lineRule="auto"/>
              <w:ind w:left="116" w:right="25" w:firstLine="2"/>
            </w:pPr>
            <w:r>
              <w:rPr>
                <w:spacing w:val="-4"/>
              </w:rPr>
              <w:t>建筑施工企业取得安全生产许可证，应具备下列</w:t>
            </w:r>
            <w:r>
              <w:rPr>
                <w:spacing w:val="-1"/>
              </w:rPr>
              <w:t>安全生产条件：①建立、健全安全生产责任制，</w:t>
            </w:r>
            <w:r>
              <w:rPr>
                <w:spacing w:val="-4"/>
              </w:rPr>
              <w:t>制定完备的安全生产规章制度和操作规程；</w:t>
            </w:r>
            <w:r>
              <w:rPr>
                <w:color w:val="EE0000"/>
                <w:spacing w:val="-4"/>
              </w:rPr>
              <w:t>②保证本单位安全生产条件所需资金的投入；③设置安全生产管理机构，按照国家有关规定配备专职</w:t>
            </w:r>
            <w:r>
              <w:rPr>
                <w:color w:val="EE0000"/>
                <w:spacing w:val="-10"/>
              </w:rPr>
              <w:t>安全生产管理人员；</w:t>
            </w:r>
            <w:r>
              <w:rPr>
                <w:spacing w:val="-10"/>
              </w:rPr>
              <w:t>④主要负责人、项目负责人、</w:t>
            </w:r>
            <w:r>
              <w:rPr>
                <w:spacing w:val="7"/>
              </w:rPr>
              <w:t>专职安全生产管理人员经住房城乡建设主管部</w:t>
            </w:r>
            <w:r>
              <w:rPr>
                <w:spacing w:val="-4"/>
              </w:rPr>
              <w:t>门或者其他有关部门考核合格；⑤特种作业人员经有关业务主管部门考核合格，取得特种作业操作资格证书；⑥管理人员和作业人员每年至少进行一次安全生产教育培训并考核合格；⑦依法参加工伤保险，依法为施工现场从事危险作业的人</w:t>
            </w:r>
            <w:r>
              <w:rPr>
                <w:spacing w:val="-2"/>
              </w:rPr>
              <w:t>员办理意外伤害保险，为从业人员交纳保险费；</w:t>
            </w:r>
          </w:p>
          <w:p w14:paraId="420C61B3">
            <w:pPr>
              <w:pStyle w:val="7"/>
              <w:spacing w:line="210" w:lineRule="auto"/>
              <w:ind w:left="114"/>
            </w:pPr>
            <w:r>
              <w:rPr>
                <w:spacing w:val="-3"/>
              </w:rPr>
              <w:t>⑧施工现场的办公、生活区及作业场所和安全防</w:t>
            </w:r>
          </w:p>
        </w:tc>
        <w:tc>
          <w:tcPr>
            <w:tcW w:w="5081" w:type="dxa"/>
            <w:vAlign w:val="top"/>
          </w:tcPr>
          <w:p w14:paraId="3AC52784">
            <w:pPr>
              <w:pStyle w:val="7"/>
              <w:spacing w:before="32" w:line="220" w:lineRule="auto"/>
              <w:ind w:left="104"/>
            </w:pPr>
            <w:r>
              <w:rPr>
                <w:b/>
                <w:bCs/>
                <w:color w:val="EE0000"/>
                <w:spacing w:val="-2"/>
              </w:rPr>
              <w:t>【修改】P309</w:t>
            </w:r>
          </w:p>
          <w:p w14:paraId="4C80D47E">
            <w:pPr>
              <w:pStyle w:val="7"/>
              <w:spacing w:before="23" w:line="219" w:lineRule="auto"/>
              <w:ind w:left="119"/>
            </w:pPr>
            <w:r>
              <w:rPr>
                <w:spacing w:val="-2"/>
              </w:rPr>
              <w:t>7.2.2</w:t>
            </w:r>
            <w:r>
              <w:rPr>
                <w:spacing w:val="-40"/>
              </w:rPr>
              <w:t xml:space="preserve"> </w:t>
            </w:r>
            <w:r>
              <w:rPr>
                <w:spacing w:val="-2"/>
              </w:rPr>
              <w:t>施工安全管理基本制度</w:t>
            </w:r>
          </w:p>
          <w:p w14:paraId="3DF25D9C">
            <w:pPr>
              <w:pStyle w:val="7"/>
              <w:spacing w:before="24" w:line="220" w:lineRule="auto"/>
              <w:ind w:left="113"/>
            </w:pPr>
            <w:r>
              <w:rPr>
                <w:spacing w:val="-1"/>
              </w:rPr>
              <w:t>4.安全生产许可制度</w:t>
            </w:r>
          </w:p>
          <w:p w14:paraId="3DBECD22">
            <w:pPr>
              <w:pStyle w:val="7"/>
              <w:spacing w:before="23" w:line="220" w:lineRule="auto"/>
              <w:ind w:left="130"/>
            </w:pPr>
            <w:r>
              <w:rPr>
                <w:spacing w:val="-2"/>
              </w:rPr>
              <w:t>1)企业取得安全生产许可证的条件</w:t>
            </w:r>
          </w:p>
          <w:p w14:paraId="713A6E22">
            <w:pPr>
              <w:pStyle w:val="7"/>
              <w:spacing w:before="28" w:line="237" w:lineRule="auto"/>
              <w:ind w:left="113" w:right="109" w:firstLine="3"/>
            </w:pPr>
            <w:r>
              <w:t>建筑施工企业取得安全生产许可证，应具备下列安全生产条件：①建立、健全安全生产责任制，制定完备的安全生产规章制度和操作规程；</w:t>
            </w:r>
            <w:r>
              <w:rPr>
                <w:color w:val="EE0000"/>
              </w:rPr>
              <w:t>②安全投入符合安全生产要求；③设置安全生产管理机构，配备专职安全生产管理人员；</w:t>
            </w:r>
            <w:r>
              <w:t>④主要负责人、项目负责人和安全生产管理人员经考核合格；⑤特种作业人员经有关业务主管部门考核合格，取得特种作业操作资格证书；⑥管理人员和作业人员经安全生产教育和培训合格；⑦依法参加工伤保险，依法为施工现场从事危险作业的人员办理意外伤害保险，为从业人员交纳保险费；⑧施工现场的办公、生活区及作业场所和安全防护用具、机械设备、施工机具及配件符合有关安全生产法律、法规、标准和规程的要求；⑨有职业危害防治措施，并为作业人员配</w:t>
            </w:r>
          </w:p>
        </w:tc>
      </w:tr>
    </w:tbl>
    <w:p w14:paraId="07CF4B7F">
      <w:pPr>
        <w:spacing w:line="156" w:lineRule="exact"/>
        <w:rPr>
          <w:rFonts w:ascii="Arial"/>
          <w:sz w:val="13"/>
        </w:rPr>
      </w:pPr>
    </w:p>
    <w:p w14:paraId="00B55A48">
      <w:pPr>
        <w:spacing w:line="156" w:lineRule="exact"/>
        <w:rPr>
          <w:rFonts w:ascii="Arial" w:hAnsi="Arial" w:eastAsia="Arial" w:cs="Arial"/>
          <w:sz w:val="13"/>
          <w:szCs w:val="13"/>
        </w:rPr>
        <w:sectPr>
          <w:footerReference r:id="rId21"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2107B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2" w:hRule="atLeast"/>
        </w:trPr>
        <w:tc>
          <w:tcPr>
            <w:tcW w:w="4779" w:type="dxa"/>
            <w:vAlign w:val="top"/>
          </w:tcPr>
          <w:p w14:paraId="619F3DDC">
            <w:pPr>
              <w:pStyle w:val="7"/>
              <w:spacing w:before="27" w:line="237" w:lineRule="auto"/>
              <w:ind w:left="115" w:right="32" w:firstLine="1"/>
              <w:jc w:val="both"/>
            </w:pPr>
            <w:r>
              <w:rPr>
                <w:spacing w:val="-3"/>
              </w:rPr>
              <w:t>护用具、机械设备、施工机具及配件符合有</w:t>
            </w:r>
            <w:r>
              <w:rPr>
                <w:spacing w:val="-4"/>
              </w:rPr>
              <w:t>关安</w:t>
            </w:r>
            <w:r>
              <w:rPr>
                <w:spacing w:val="-3"/>
              </w:rPr>
              <w:t>全生产法律、法规、标准和规程的要求；⑨</w:t>
            </w:r>
            <w:r>
              <w:rPr>
                <w:spacing w:val="-4"/>
              </w:rPr>
              <w:t>有职</w:t>
            </w:r>
            <w:r>
              <w:rPr>
                <w:spacing w:val="-3"/>
              </w:rPr>
              <w:t>业危害防治措施，并为作业人员配备符合国</w:t>
            </w:r>
            <w:r>
              <w:rPr>
                <w:spacing w:val="-4"/>
              </w:rPr>
              <w:t>家标</w:t>
            </w:r>
            <w:r>
              <w:rPr>
                <w:spacing w:val="7"/>
              </w:rPr>
              <w:t>准或者行业标准的安全防护用具和安全防护服</w:t>
            </w:r>
            <w:r>
              <w:rPr>
                <w:spacing w:val="-3"/>
              </w:rPr>
              <w:t>装；</w:t>
            </w:r>
            <w:r>
              <w:rPr>
                <w:color w:val="EE0000"/>
                <w:spacing w:val="-3"/>
              </w:rPr>
              <w:t>⑩有对危险性较大的分部分项工程及施工现</w:t>
            </w:r>
            <w:r>
              <w:rPr>
                <w:color w:val="EE0000"/>
                <w:spacing w:val="-4"/>
              </w:rPr>
              <w:t>场易发生重大事故的部位、环节的预防、监控措</w:t>
            </w:r>
            <w:r>
              <w:rPr>
                <w:color w:val="EE0000"/>
                <w:spacing w:val="-2"/>
              </w:rPr>
              <w:t>施和应急预案；</w:t>
            </w:r>
            <w:r>
              <w:rPr>
                <w:rFonts w:ascii="Cambria Math" w:hAnsi="Cambria Math" w:eastAsia="Cambria Math" w:cs="Cambria Math"/>
                <w:spacing w:val="-2"/>
              </w:rPr>
              <w:t>⑪</w:t>
            </w:r>
            <w:r>
              <w:rPr>
                <w:spacing w:val="-2"/>
              </w:rPr>
              <w:t>生产安全事故应急救援预案、</w:t>
            </w:r>
            <w:r>
              <w:rPr>
                <w:spacing w:val="-4"/>
              </w:rPr>
              <w:t>应急救援组织或者应急救援人员，配备必要的应</w:t>
            </w:r>
            <w:r>
              <w:rPr>
                <w:spacing w:val="-6"/>
              </w:rPr>
              <w:t>急救援器材、设备；</w:t>
            </w:r>
            <w:r>
              <w:rPr>
                <w:rFonts w:ascii="Cambria Math" w:hAnsi="Cambria Math" w:eastAsia="Cambria Math" w:cs="Cambria Math"/>
                <w:spacing w:val="-6"/>
              </w:rPr>
              <w:t>⑫</w:t>
            </w:r>
            <w:r>
              <w:rPr>
                <w:spacing w:val="-6"/>
              </w:rPr>
              <w:t>法律、法规规定的其他条</w:t>
            </w:r>
            <w:r>
              <w:rPr>
                <w:spacing w:val="-4"/>
              </w:rPr>
              <w:t>件。</w:t>
            </w:r>
          </w:p>
        </w:tc>
        <w:tc>
          <w:tcPr>
            <w:tcW w:w="5081" w:type="dxa"/>
            <w:vAlign w:val="top"/>
          </w:tcPr>
          <w:p w14:paraId="5ECE20BC">
            <w:pPr>
              <w:pStyle w:val="7"/>
              <w:spacing w:before="33" w:line="239" w:lineRule="auto"/>
              <w:ind w:left="114" w:right="28" w:firstLine="2"/>
              <w:jc w:val="both"/>
            </w:pPr>
            <w:r>
              <w:t>备符合国家标准或者行业标准的安全防护用具和安全防护服装；</w:t>
            </w:r>
            <w:r>
              <w:rPr>
                <w:color w:val="EE0000"/>
              </w:rPr>
              <w:t>⑩依法进行安全评价，有对危险性较大的分部分项工程及施工现场易发生重大事故的部</w:t>
            </w:r>
            <w:r>
              <w:rPr>
                <w:color w:val="EE0000"/>
                <w:spacing w:val="-2"/>
              </w:rPr>
              <w:t>位、环节的预防、监控措施和应急预案；</w:t>
            </w:r>
            <w:r>
              <w:rPr>
                <w:rFonts w:ascii="Cambria Math" w:hAnsi="Cambria Math" w:eastAsia="Cambria Math" w:cs="Cambria Math"/>
                <w:spacing w:val="-2"/>
              </w:rPr>
              <w:t>⑪</w:t>
            </w:r>
            <w:r>
              <w:rPr>
                <w:spacing w:val="-2"/>
              </w:rPr>
              <w:t>有生产</w:t>
            </w:r>
            <w:r>
              <w:t>安全事故应急救援预案、应急救援组织或者应急救</w:t>
            </w:r>
            <w:r>
              <w:rPr>
                <w:spacing w:val="-8"/>
              </w:rPr>
              <w:t>援人员，配备必要的应急救援器材、设备；</w:t>
            </w:r>
            <w:r>
              <w:rPr>
                <w:rFonts w:ascii="Cambria Math" w:hAnsi="Cambria Math" w:eastAsia="Cambria Math" w:cs="Cambria Math"/>
                <w:spacing w:val="-8"/>
              </w:rPr>
              <w:t>⑫</w:t>
            </w:r>
            <w:r>
              <w:rPr>
                <w:spacing w:val="-8"/>
              </w:rPr>
              <w:t>法律、</w:t>
            </w:r>
            <w:r>
              <w:rPr>
                <w:spacing w:val="-3"/>
              </w:rPr>
              <w:t>法规规定的其他条件。</w:t>
            </w:r>
          </w:p>
        </w:tc>
      </w:tr>
      <w:tr w14:paraId="44D4E5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8" w:hRule="atLeast"/>
        </w:trPr>
        <w:tc>
          <w:tcPr>
            <w:tcW w:w="4779" w:type="dxa"/>
            <w:vAlign w:val="top"/>
          </w:tcPr>
          <w:p w14:paraId="7E604B31">
            <w:pPr>
              <w:pStyle w:val="7"/>
              <w:spacing w:before="29" w:line="221" w:lineRule="auto"/>
              <w:ind w:left="106"/>
            </w:pPr>
            <w:r>
              <w:rPr>
                <w:b/>
                <w:bCs/>
                <w:color w:val="EE0000"/>
                <w:spacing w:val="-2"/>
              </w:rPr>
              <w:t>【新增】P314</w:t>
            </w:r>
          </w:p>
          <w:p w14:paraId="4FCDE208">
            <w:pPr>
              <w:pStyle w:val="7"/>
              <w:spacing w:before="22" w:line="220" w:lineRule="auto"/>
              <w:ind w:left="121"/>
            </w:pPr>
            <w:r>
              <w:rPr>
                <w:spacing w:val="-1"/>
              </w:rPr>
              <w:t>7.3.2</w:t>
            </w:r>
            <w:r>
              <w:rPr>
                <w:spacing w:val="-47"/>
              </w:rPr>
              <w:t xml:space="preserve"> </w:t>
            </w:r>
            <w:r>
              <w:rPr>
                <w:spacing w:val="-1"/>
              </w:rPr>
              <w:t>施工安全技术措施及安全技术交底</w:t>
            </w:r>
          </w:p>
          <w:p w14:paraId="7B7DA463">
            <w:pPr>
              <w:pStyle w:val="7"/>
              <w:spacing w:before="23" w:line="220" w:lineRule="auto"/>
              <w:ind w:left="132"/>
            </w:pPr>
            <w:r>
              <w:rPr>
                <w:spacing w:val="-3"/>
              </w:rPr>
              <w:t>1.施工安全技术措施</w:t>
            </w:r>
          </w:p>
          <w:p w14:paraId="53C64EB4">
            <w:pPr>
              <w:pStyle w:val="7"/>
              <w:spacing w:before="21" w:line="241" w:lineRule="auto"/>
              <w:ind w:left="117" w:right="101" w:firstLine="5"/>
              <w:jc w:val="both"/>
            </w:pPr>
            <w:r>
              <w:rPr>
                <w:spacing w:val="1"/>
              </w:rPr>
              <w:t>（1）临边作业防坠落措施。距坠落基准面高度</w:t>
            </w:r>
            <w:r>
              <w:rPr>
                <w:spacing w:val="2"/>
              </w:rPr>
              <w:t>2m 及以上进行临边作业时，应在临空一</w:t>
            </w:r>
            <w:r>
              <w:rPr>
                <w:spacing w:val="1"/>
              </w:rPr>
              <w:t>侧设置</w:t>
            </w:r>
            <w:r>
              <w:rPr>
                <w:spacing w:val="-4"/>
              </w:rPr>
              <w:t>防护栏杆，并应采用密目式安全立网或工具式栏</w:t>
            </w:r>
            <w:r>
              <w:rPr>
                <w:spacing w:val="-8"/>
              </w:rPr>
              <w:t>板封闭。</w:t>
            </w:r>
          </w:p>
        </w:tc>
        <w:tc>
          <w:tcPr>
            <w:tcW w:w="5081" w:type="dxa"/>
            <w:vAlign w:val="top"/>
          </w:tcPr>
          <w:p w14:paraId="510CF3D5">
            <w:pPr>
              <w:pStyle w:val="7"/>
              <w:spacing w:before="29" w:line="221" w:lineRule="auto"/>
              <w:ind w:left="104"/>
            </w:pPr>
            <w:r>
              <w:rPr>
                <w:b/>
                <w:bCs/>
                <w:color w:val="EE0000"/>
                <w:spacing w:val="-2"/>
              </w:rPr>
              <w:t>【新增】P317</w:t>
            </w:r>
          </w:p>
          <w:p w14:paraId="0AD10665">
            <w:pPr>
              <w:pStyle w:val="7"/>
              <w:spacing w:before="22" w:line="220" w:lineRule="auto"/>
              <w:ind w:left="119"/>
            </w:pPr>
            <w:r>
              <w:rPr>
                <w:spacing w:val="-1"/>
              </w:rPr>
              <w:t>7.3.2</w:t>
            </w:r>
            <w:r>
              <w:rPr>
                <w:spacing w:val="-48"/>
              </w:rPr>
              <w:t xml:space="preserve"> </w:t>
            </w:r>
            <w:r>
              <w:rPr>
                <w:spacing w:val="-1"/>
              </w:rPr>
              <w:t>施工安全技术措施及安全技术交底</w:t>
            </w:r>
          </w:p>
          <w:p w14:paraId="0059CC13">
            <w:pPr>
              <w:pStyle w:val="7"/>
              <w:spacing w:before="23" w:line="220" w:lineRule="auto"/>
              <w:ind w:left="130"/>
            </w:pPr>
            <w:r>
              <w:rPr>
                <w:spacing w:val="-3"/>
              </w:rPr>
              <w:t>1.施工安全技术措施</w:t>
            </w:r>
          </w:p>
          <w:p w14:paraId="44AB7861">
            <w:pPr>
              <w:pStyle w:val="7"/>
              <w:spacing w:before="24" w:line="235" w:lineRule="auto"/>
              <w:ind w:left="113" w:right="30" w:firstLine="39"/>
              <w:jc w:val="both"/>
            </w:pPr>
            <w:r>
              <w:rPr>
                <w:spacing w:val="-3"/>
              </w:rPr>
              <w:t>(1)临边作业防坠落措施。距坠落基准面高度</w:t>
            </w:r>
            <w:r>
              <w:rPr>
                <w:spacing w:val="-24"/>
              </w:rPr>
              <w:t xml:space="preserve"> </w:t>
            </w:r>
            <w:r>
              <w:rPr>
                <w:spacing w:val="-3"/>
              </w:rPr>
              <w:t>2m</w:t>
            </w:r>
            <w:r>
              <w:rPr>
                <w:spacing w:val="-37"/>
              </w:rPr>
              <w:t xml:space="preserve"> </w:t>
            </w:r>
            <w:r>
              <w:rPr>
                <w:spacing w:val="-3"/>
              </w:rPr>
              <w:t>及</w:t>
            </w:r>
            <w:r>
              <w:rPr>
                <w:spacing w:val="-6"/>
              </w:rPr>
              <w:t>以上进行临边作业时，应在临空一侧设置防护栏杆，</w:t>
            </w:r>
            <w:r>
              <w:t>并应采用密目式安全立网或工具式栏板封闭。</w:t>
            </w:r>
            <w:r>
              <w:rPr>
                <w:color w:val="EE0000"/>
              </w:rPr>
              <w:t>高处作业人员应正确佩戴安全帽、安全带等劳动防护用</w:t>
            </w:r>
            <w:r>
              <w:rPr>
                <w:color w:val="EE0000"/>
                <w:spacing w:val="-6"/>
              </w:rPr>
              <w:t>品。无围护设施或围护设施高度低于</w:t>
            </w:r>
            <w:r>
              <w:rPr>
                <w:color w:val="EE0000"/>
                <w:spacing w:val="-29"/>
              </w:rPr>
              <w:t xml:space="preserve"> </w:t>
            </w:r>
            <w:r>
              <w:rPr>
                <w:color w:val="EE0000"/>
                <w:spacing w:val="-6"/>
              </w:rPr>
              <w:t>1.2m</w:t>
            </w:r>
            <w:r>
              <w:rPr>
                <w:color w:val="EE0000"/>
                <w:spacing w:val="-30"/>
              </w:rPr>
              <w:t xml:space="preserve"> </w:t>
            </w:r>
            <w:r>
              <w:rPr>
                <w:color w:val="EE0000"/>
                <w:spacing w:val="-6"/>
              </w:rPr>
              <w:t>的楼层周边、楼梯侧边、平台或阳台边、屋面周边和沟、坑、</w:t>
            </w:r>
            <w:r>
              <w:rPr>
                <w:color w:val="EE0000"/>
                <w:spacing w:val="-1"/>
              </w:rPr>
              <w:t>槽等边沿应采取安全防护措施，并严禁随意拆除。</w:t>
            </w:r>
          </w:p>
        </w:tc>
      </w:tr>
      <w:tr w14:paraId="34AD2F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8" w:hRule="atLeast"/>
        </w:trPr>
        <w:tc>
          <w:tcPr>
            <w:tcW w:w="4779" w:type="dxa"/>
            <w:vAlign w:val="top"/>
          </w:tcPr>
          <w:p w14:paraId="0E878EE9">
            <w:pPr>
              <w:pStyle w:val="7"/>
              <w:spacing w:before="67" w:line="182" w:lineRule="auto"/>
              <w:ind w:left="112"/>
            </w:pPr>
            <w:r>
              <w:rPr>
                <w:b/>
                <w:bCs/>
                <w:color w:val="EE0000"/>
                <w:spacing w:val="-3"/>
              </w:rPr>
              <w:t>P315</w:t>
            </w:r>
          </w:p>
          <w:p w14:paraId="545F01A1">
            <w:pPr>
              <w:pStyle w:val="7"/>
              <w:spacing w:before="32" w:line="220" w:lineRule="auto"/>
              <w:ind w:left="121"/>
            </w:pPr>
            <w:r>
              <w:rPr>
                <w:spacing w:val="-1"/>
              </w:rPr>
              <w:t>7.3.2</w:t>
            </w:r>
            <w:r>
              <w:rPr>
                <w:spacing w:val="-47"/>
              </w:rPr>
              <w:t xml:space="preserve"> </w:t>
            </w:r>
            <w:r>
              <w:rPr>
                <w:spacing w:val="-1"/>
              </w:rPr>
              <w:t>施工安全技术措施及安全技术交底</w:t>
            </w:r>
          </w:p>
          <w:p w14:paraId="1AC165B9">
            <w:pPr>
              <w:pStyle w:val="7"/>
              <w:spacing w:before="23" w:line="220" w:lineRule="auto"/>
              <w:ind w:left="132"/>
            </w:pPr>
            <w:r>
              <w:rPr>
                <w:spacing w:val="-3"/>
              </w:rPr>
              <w:t>1.施工安全技术措施</w:t>
            </w:r>
          </w:p>
          <w:p w14:paraId="0C68EB6D">
            <w:pPr>
              <w:pStyle w:val="7"/>
              <w:spacing w:before="23" w:line="220" w:lineRule="auto"/>
              <w:ind w:left="119"/>
            </w:pPr>
            <w:r>
              <w:rPr>
                <w:spacing w:val="-2"/>
              </w:rPr>
              <w:t>2）防物体打击的安全技术措施</w:t>
            </w:r>
          </w:p>
          <w:p w14:paraId="60906E99">
            <w:pPr>
              <w:pStyle w:val="7"/>
              <w:spacing w:before="23" w:line="239" w:lineRule="auto"/>
              <w:ind w:left="116" w:right="101"/>
            </w:pPr>
            <w:r>
              <w:rPr>
                <w:spacing w:val="7"/>
              </w:rPr>
              <w:t>物体打击主要是高处坠落物或地面物体坠落至</w:t>
            </w:r>
            <w:r>
              <w:rPr>
                <w:spacing w:val="-4"/>
              </w:rPr>
              <w:t>基坑、槽造成的伤害事故，针对性技术措施包括防落物措施、防飞溅物伤人措施和防护措施三方</w:t>
            </w:r>
            <w:r>
              <w:rPr>
                <w:spacing w:val="-10"/>
              </w:rPr>
              <w:t>面。</w:t>
            </w:r>
          </w:p>
          <w:p w14:paraId="13F2EB21">
            <w:pPr>
              <w:pStyle w:val="7"/>
              <w:spacing w:before="1" w:line="218" w:lineRule="auto"/>
              <w:ind w:left="122"/>
            </w:pPr>
            <w:r>
              <w:rPr>
                <w:spacing w:val="-2"/>
              </w:rPr>
              <w:t>（1）防物体坠落或飞溅的措施</w:t>
            </w:r>
          </w:p>
          <w:p w14:paraId="26224FF7">
            <w:pPr>
              <w:pStyle w:val="7"/>
              <w:spacing w:before="23" w:line="236" w:lineRule="auto"/>
              <w:ind w:left="115" w:right="93"/>
            </w:pPr>
            <w:r>
              <w:rPr>
                <w:spacing w:val="5"/>
              </w:rPr>
              <w:t>①脚手架。施工层应设有</w:t>
            </w:r>
            <w:r>
              <w:rPr>
                <w:spacing w:val="43"/>
              </w:rPr>
              <w:t xml:space="preserve"> </w:t>
            </w:r>
            <w:r>
              <w:rPr>
                <w:spacing w:val="5"/>
              </w:rPr>
              <w:t>1.2m 高防护栏杆和</w:t>
            </w:r>
            <w:r>
              <w:rPr>
                <w:spacing w:val="2"/>
              </w:rPr>
              <w:t>18～20</w:t>
            </w:r>
            <w:r>
              <w:t>cm</w:t>
            </w:r>
            <w:r>
              <w:rPr>
                <w:spacing w:val="2"/>
              </w:rPr>
              <w:t xml:space="preserve"> 高挡脚板。脚手架外侧设置密</w:t>
            </w:r>
            <w:r>
              <w:rPr>
                <w:spacing w:val="1"/>
              </w:rPr>
              <w:t>目式安</w:t>
            </w:r>
            <w:r>
              <w:rPr>
                <w:spacing w:val="-3"/>
              </w:rPr>
              <w:t>全网，网间不应有空缺。脚手架拆除时，拆</w:t>
            </w:r>
            <w:r>
              <w:rPr>
                <w:spacing w:val="-4"/>
              </w:rPr>
              <w:t>下的</w:t>
            </w:r>
            <w:r>
              <w:rPr>
                <w:spacing w:val="-3"/>
              </w:rPr>
              <w:t>脚手杆、脚手板、钢管、扣件、钢丝绳等材料，</w:t>
            </w:r>
            <w:r>
              <w:rPr>
                <w:spacing w:val="-1"/>
              </w:rPr>
              <w:t>应向下传递或用绳吊下，禁止投扔。</w:t>
            </w:r>
          </w:p>
          <w:p w14:paraId="05026B41">
            <w:pPr>
              <w:pStyle w:val="7"/>
              <w:spacing w:before="24" w:line="230" w:lineRule="auto"/>
              <w:ind w:left="121" w:right="101" w:hanging="7"/>
            </w:pPr>
            <w:r>
              <w:rPr>
                <w:spacing w:val="-3"/>
              </w:rPr>
              <w:t>②材料堆放。材料、构件、料具应按施工组织规</w:t>
            </w:r>
            <w:r>
              <w:rPr>
                <w:spacing w:val="-2"/>
              </w:rPr>
              <w:t>定的位置堆放整齐，防止倒塌做到工完场清。</w:t>
            </w:r>
          </w:p>
          <w:p w14:paraId="63409DD5">
            <w:pPr>
              <w:pStyle w:val="7"/>
              <w:spacing w:before="17" w:line="238" w:lineRule="auto"/>
              <w:ind w:left="115" w:right="76" w:hanging="1"/>
            </w:pPr>
            <w:r>
              <w:rPr>
                <w:spacing w:val="-4"/>
              </w:rPr>
              <w:t>③物件运送安全应采用安全技术方案。运送易滑的钢材时，绳结必须系牢。起吊物件应使用交互</w:t>
            </w:r>
            <w:r>
              <w:rPr>
                <w:spacing w:val="-2"/>
              </w:rPr>
              <w:t>捻制的钢丝绳。钢丝绳如有扭结、变形、断丝、</w:t>
            </w:r>
            <w:r>
              <w:rPr>
                <w:spacing w:val="-4"/>
              </w:rPr>
              <w:t>锈蚀等异常现象，应降级使用或报废。严禁使用麻绳起吊重物。吊装不易放稳的构件或大模板应</w:t>
            </w:r>
            <w:r>
              <w:rPr>
                <w:spacing w:val="-3"/>
              </w:rPr>
              <w:t>用卡环，不得用吊钩。禁止将物件放在板形</w:t>
            </w:r>
            <w:r>
              <w:rPr>
                <w:spacing w:val="-4"/>
              </w:rPr>
              <w:t>构件上起吊。在平台上吊运大模板时，平台上不准堆放无关料具，以防滑落伤人。禁止在吊臂下穿行</w:t>
            </w:r>
            <w:r>
              <w:rPr>
                <w:spacing w:val="-8"/>
              </w:rPr>
              <w:t>和停留。</w:t>
            </w:r>
          </w:p>
          <w:p w14:paraId="5DFCF915">
            <w:pPr>
              <w:pStyle w:val="7"/>
              <w:spacing w:before="20" w:line="233" w:lineRule="auto"/>
              <w:ind w:left="115" w:right="93" w:hanging="1"/>
            </w:pPr>
            <w:r>
              <w:rPr>
                <w:spacing w:val="-3"/>
              </w:rPr>
              <w:t>④深坑、槽施工。四周边沿在设计规定范围内，禁止堆放模板、架料、材料。深坑槽施工所有材料均应采用溜槽运送，严禁抛掷。</w:t>
            </w:r>
          </w:p>
          <w:p w14:paraId="59BCCBEF">
            <w:pPr>
              <w:pStyle w:val="7"/>
              <w:spacing w:before="24" w:line="225" w:lineRule="auto"/>
              <w:ind w:left="115" w:right="25" w:hanging="1"/>
            </w:pPr>
            <w:r>
              <w:rPr>
                <w:spacing w:val="-1"/>
              </w:rPr>
              <w:t>⑤工具袋（箱）。高处作业人员应佩带工具袋，</w:t>
            </w:r>
            <w:r>
              <w:rPr>
                <w:spacing w:val="-10"/>
              </w:rPr>
              <w:t>装入小型工具、小材料和配件等，防止坠落伤人。</w:t>
            </w:r>
          </w:p>
        </w:tc>
        <w:tc>
          <w:tcPr>
            <w:tcW w:w="5081" w:type="dxa"/>
            <w:vAlign w:val="top"/>
          </w:tcPr>
          <w:p w14:paraId="33B48478">
            <w:pPr>
              <w:pStyle w:val="7"/>
              <w:spacing w:before="30" w:line="221" w:lineRule="auto"/>
              <w:ind w:left="104"/>
            </w:pPr>
            <w:r>
              <w:rPr>
                <w:b/>
                <w:bCs/>
                <w:color w:val="EE0000"/>
                <w:spacing w:val="-2"/>
              </w:rPr>
              <w:t>【新增】P319</w:t>
            </w:r>
          </w:p>
          <w:p w14:paraId="30A36965">
            <w:pPr>
              <w:pStyle w:val="7"/>
              <w:spacing w:before="22" w:line="220" w:lineRule="auto"/>
              <w:ind w:left="119"/>
            </w:pPr>
            <w:r>
              <w:rPr>
                <w:spacing w:val="-1"/>
              </w:rPr>
              <w:t>7.3.2</w:t>
            </w:r>
            <w:r>
              <w:rPr>
                <w:spacing w:val="-48"/>
              </w:rPr>
              <w:t xml:space="preserve"> </w:t>
            </w:r>
            <w:r>
              <w:rPr>
                <w:spacing w:val="-1"/>
              </w:rPr>
              <w:t>施工安全技术措施及安全技术交底</w:t>
            </w:r>
          </w:p>
          <w:p w14:paraId="317D7BAF">
            <w:pPr>
              <w:pStyle w:val="7"/>
              <w:spacing w:before="23" w:line="220" w:lineRule="auto"/>
              <w:ind w:left="130"/>
            </w:pPr>
            <w:r>
              <w:rPr>
                <w:spacing w:val="-3"/>
              </w:rPr>
              <w:t>1.施工安全技术措施</w:t>
            </w:r>
          </w:p>
          <w:p w14:paraId="0A059F58">
            <w:pPr>
              <w:pStyle w:val="7"/>
              <w:spacing w:before="23" w:line="220" w:lineRule="auto"/>
              <w:ind w:left="117"/>
            </w:pPr>
            <w:r>
              <w:rPr>
                <w:spacing w:val="-1"/>
              </w:rPr>
              <w:t>2)防物体打击的安全技术措施</w:t>
            </w:r>
          </w:p>
          <w:p w14:paraId="0F34CD27">
            <w:pPr>
              <w:pStyle w:val="7"/>
              <w:spacing w:before="22"/>
              <w:ind w:left="114" w:right="110"/>
            </w:pPr>
            <w:r>
              <w:rPr>
                <w:spacing w:val="10"/>
              </w:rPr>
              <w:t>物体打击主要是高处坠落物或地面物体坠落至基</w:t>
            </w:r>
            <w:r>
              <w:t>坑、槽造成的伤害事故，针对性技术措施包括防落</w:t>
            </w:r>
            <w:r>
              <w:rPr>
                <w:spacing w:val="-2"/>
              </w:rPr>
              <w:t>物措施、防飞溅物伤人措施和防护措施三方面。</w:t>
            </w:r>
          </w:p>
          <w:p w14:paraId="34BAAE3F">
            <w:pPr>
              <w:pStyle w:val="7"/>
              <w:spacing w:line="218" w:lineRule="auto"/>
              <w:ind w:left="153"/>
            </w:pPr>
            <w:r>
              <w:rPr>
                <w:spacing w:val="-4"/>
              </w:rPr>
              <w:t>(1)防物体坠落或飞溅的措施</w:t>
            </w:r>
          </w:p>
          <w:p w14:paraId="41D2B4E6">
            <w:pPr>
              <w:pStyle w:val="7"/>
              <w:spacing w:before="22" w:line="236" w:lineRule="auto"/>
              <w:ind w:left="113" w:right="105"/>
            </w:pPr>
            <w:r>
              <w:t>①脚手架。施工层应设有 1.2m 高防护栏杆和 1</w:t>
            </w:r>
            <w:r>
              <w:rPr>
                <w:spacing w:val="-1"/>
              </w:rPr>
              <w:t>8~</w:t>
            </w:r>
            <w:r>
              <w:t xml:space="preserve"> </w:t>
            </w:r>
            <w:r>
              <w:rPr>
                <w:spacing w:val="-3"/>
              </w:rPr>
              <w:t>20cm</w:t>
            </w:r>
            <w:r>
              <w:rPr>
                <w:spacing w:val="-23"/>
              </w:rPr>
              <w:t xml:space="preserve"> </w:t>
            </w:r>
            <w:r>
              <w:rPr>
                <w:spacing w:val="-3"/>
              </w:rPr>
              <w:t>高挡脚板。脚手架外侧设置密目式安全网，网</w:t>
            </w:r>
            <w:r>
              <w:t>间不应有空缺。脚手架拆除时，拆下的脚手杆、脚手板、钢管、扣件、钢丝绳等材料，应向下传递或</w:t>
            </w:r>
            <w:r>
              <w:rPr>
                <w:spacing w:val="-4"/>
              </w:rPr>
              <w:t>用绳吊下，禁止投扔。</w:t>
            </w:r>
          </w:p>
          <w:p w14:paraId="23B263B1">
            <w:pPr>
              <w:pStyle w:val="7"/>
              <w:spacing w:before="23" w:line="230" w:lineRule="auto"/>
              <w:ind w:left="131" w:right="124" w:hanging="19"/>
            </w:pPr>
            <w:r>
              <w:t>②材料堆放。材料、构件、料具应按施工组</w:t>
            </w:r>
            <w:r>
              <w:rPr>
                <w:spacing w:val="-1"/>
              </w:rPr>
              <w:t>织规定</w:t>
            </w:r>
            <w:r>
              <w:rPr>
                <w:spacing w:val="-2"/>
              </w:rPr>
              <w:t>的位置堆放整齐，防止倒塌做到工完场清。</w:t>
            </w:r>
          </w:p>
          <w:p w14:paraId="2050C061">
            <w:pPr>
              <w:pStyle w:val="7"/>
              <w:spacing w:before="23" w:line="237" w:lineRule="auto"/>
              <w:ind w:left="112" w:right="110"/>
            </w:pPr>
            <w:r>
              <w:rPr>
                <w:spacing w:val="-1"/>
              </w:rPr>
              <w:t>③物件运送安全应采用安全技术方案。运送易滑的</w:t>
            </w:r>
            <w:r>
              <w:t>钢材时，绳结必须系牢。起吊物件应使用交互捻制的钢丝绳。钢丝绳如有扭结、变形、断丝、锈蚀等异常现象，应降级使用或报废。严禁使用麻绳起吊重物。吊装不易放稳的构件或大模板应用卡环，不得用吊钩。禁止将物件放在板形构件上起吊。在平台上吊运大模板时，平台上不准堆放无关料具，以</w:t>
            </w:r>
            <w:r>
              <w:rPr>
                <w:spacing w:val="-2"/>
              </w:rPr>
              <w:t>防滑落伤人。禁止在吊臂下穿行和停留。</w:t>
            </w:r>
          </w:p>
          <w:p w14:paraId="4A9B7197">
            <w:pPr>
              <w:pStyle w:val="7"/>
              <w:spacing w:before="25" w:line="232" w:lineRule="auto"/>
              <w:ind w:left="113" w:right="110" w:hanging="1"/>
            </w:pPr>
            <w:r>
              <w:t>④深坑、槽施工。四周边沿在设计规定范围内，禁</w:t>
            </w:r>
            <w:r>
              <w:rPr>
                <w:spacing w:val="-1"/>
              </w:rPr>
              <w:t>止堆放模板、架料、材料。深坑槽施工所有材料均</w:t>
            </w:r>
            <w:r>
              <w:rPr>
                <w:spacing w:val="-2"/>
              </w:rPr>
              <w:t>应采用溜槽运送，严禁抛掷。</w:t>
            </w:r>
          </w:p>
          <w:p w14:paraId="0DF81C1A">
            <w:pPr>
              <w:pStyle w:val="7"/>
              <w:spacing w:before="26" w:line="232" w:lineRule="auto"/>
              <w:ind w:left="112" w:right="109"/>
            </w:pPr>
            <w:r>
              <w:t>⑤工具袋(箱)。高处作业人员应佩带工具袋，装入小型工具、小材料和配件等，防止坠落伤人。高处作业所有的较大工具，应放入工具箱。上下传递物</w:t>
            </w:r>
            <w:r>
              <w:rPr>
                <w:spacing w:val="-4"/>
              </w:rPr>
              <w:t>件禁止抛掷。</w:t>
            </w:r>
          </w:p>
        </w:tc>
      </w:tr>
    </w:tbl>
    <w:p w14:paraId="512597FA">
      <w:pPr>
        <w:spacing w:line="165" w:lineRule="exact"/>
        <w:rPr>
          <w:rFonts w:ascii="Arial"/>
          <w:sz w:val="14"/>
        </w:rPr>
      </w:pPr>
    </w:p>
    <w:p w14:paraId="7588481F">
      <w:pPr>
        <w:spacing w:line="165" w:lineRule="exact"/>
        <w:rPr>
          <w:rFonts w:ascii="Arial" w:hAnsi="Arial" w:eastAsia="Arial" w:cs="Arial"/>
          <w:sz w:val="14"/>
          <w:szCs w:val="14"/>
        </w:rPr>
        <w:sectPr>
          <w:footerReference r:id="rId22"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5437BB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9" w:hRule="atLeast"/>
        </w:trPr>
        <w:tc>
          <w:tcPr>
            <w:tcW w:w="4779" w:type="dxa"/>
            <w:vAlign w:val="top"/>
          </w:tcPr>
          <w:p w14:paraId="1957F84B">
            <w:pPr>
              <w:pStyle w:val="7"/>
              <w:spacing w:before="32"/>
              <w:ind w:left="114" w:right="103" w:firstLine="7"/>
            </w:pPr>
            <w:r>
              <w:rPr>
                <w:spacing w:val="-4"/>
              </w:rPr>
              <w:t>高处作业所有的较大工具，应放入工具箱。上下</w:t>
            </w:r>
            <w:r>
              <w:rPr>
                <w:spacing w:val="-3"/>
              </w:rPr>
              <w:t>传递物件禁止抛掷。</w:t>
            </w:r>
          </w:p>
          <w:p w14:paraId="7951D351">
            <w:pPr>
              <w:pStyle w:val="7"/>
              <w:spacing w:before="1" w:line="229" w:lineRule="auto"/>
              <w:ind w:left="116" w:right="101" w:hanging="2"/>
            </w:pPr>
            <w:r>
              <w:rPr>
                <w:spacing w:val="-3"/>
              </w:rPr>
              <w:t>⑥防飞溅物伤人。圆盘锯上必须设置分割刀和防</w:t>
            </w:r>
            <w:r>
              <w:rPr>
                <w:spacing w:val="-2"/>
              </w:rPr>
              <w:t>护罩，防止锯下木料被锯齿弹飞伤人。</w:t>
            </w:r>
          </w:p>
          <w:p w14:paraId="5DEBD736">
            <w:pPr>
              <w:pStyle w:val="7"/>
              <w:spacing w:before="22" w:line="234" w:lineRule="auto"/>
              <w:ind w:left="115" w:right="101" w:hanging="1"/>
            </w:pPr>
            <w:r>
              <w:rPr>
                <w:spacing w:val="-4"/>
              </w:rPr>
              <w:t>⑦拆除工程。除设置警戒的安全围栏外，拆下的材料要及时清理运走，散碎材料应用溜槽顺槽溜</w:t>
            </w:r>
            <w:r>
              <w:rPr>
                <w:spacing w:val="-10"/>
              </w:rPr>
              <w:t>下。</w:t>
            </w:r>
          </w:p>
          <w:p w14:paraId="6A2520B4">
            <w:pPr>
              <w:pStyle w:val="7"/>
              <w:spacing w:before="21" w:line="229" w:lineRule="auto"/>
              <w:ind w:left="117" w:right="103" w:hanging="3"/>
            </w:pPr>
            <w:r>
              <w:rPr>
                <w:spacing w:val="-4"/>
              </w:rPr>
              <w:t>⑧现场清理。清理高处杂物，应集中放在斗车或</w:t>
            </w:r>
            <w:r>
              <w:rPr>
                <w:spacing w:val="-2"/>
              </w:rPr>
              <w:t>桶内，及时吊运地面，严禁往外抛掷。</w:t>
            </w:r>
          </w:p>
        </w:tc>
        <w:tc>
          <w:tcPr>
            <w:tcW w:w="5081" w:type="dxa"/>
            <w:vAlign w:val="top"/>
          </w:tcPr>
          <w:p w14:paraId="225E01CB">
            <w:pPr>
              <w:pStyle w:val="7"/>
              <w:spacing w:before="32" w:line="230" w:lineRule="auto"/>
              <w:ind w:left="113" w:right="110" w:hanging="1"/>
            </w:pPr>
            <w:r>
              <w:t>⑥防飞溅物伤人。圆盘锯上必须设置分割刀和防护</w:t>
            </w:r>
            <w:r>
              <w:rPr>
                <w:spacing w:val="-1"/>
              </w:rPr>
              <w:t>罩，防止锯下木料被锯齿弹飞伤人。</w:t>
            </w:r>
          </w:p>
          <w:p w14:paraId="47BE6CF5">
            <w:pPr>
              <w:pStyle w:val="7"/>
              <w:spacing w:before="23" w:line="236" w:lineRule="auto"/>
              <w:ind w:left="112" w:right="110"/>
            </w:pPr>
            <w:r>
              <w:t>⑦拆除工程。除设置警戒的安全围栏外，拆下的材</w:t>
            </w:r>
            <w:r>
              <w:rPr>
                <w:spacing w:val="-1"/>
              </w:rPr>
              <w:t>料要及时清理运走，散碎材料应用溜槽顺槽溜下。在高处拆除或在拆卸作业时，严禁上下同时进行。</w:t>
            </w:r>
            <w:r>
              <w:t>拆卸的施工材料、机具、构件、配件等，应运至地</w:t>
            </w:r>
            <w:r>
              <w:rPr>
                <w:spacing w:val="-4"/>
              </w:rPr>
              <w:t>面，严禁抛掷。</w:t>
            </w:r>
          </w:p>
          <w:p w14:paraId="150B4EFD">
            <w:pPr>
              <w:pStyle w:val="7"/>
              <w:spacing w:before="23" w:line="229" w:lineRule="auto"/>
              <w:ind w:left="140" w:right="110" w:hanging="28"/>
            </w:pPr>
            <w:r>
              <w:t>⑧现场清理。清理高处杂物，应集中放在斗车或桶</w:t>
            </w:r>
            <w:r>
              <w:rPr>
                <w:spacing w:val="-3"/>
              </w:rPr>
              <w:t>内，及时吊运地面，严禁往外抛掷。</w:t>
            </w:r>
          </w:p>
          <w:p w14:paraId="4FDA213E">
            <w:pPr>
              <w:pStyle w:val="7"/>
              <w:spacing w:before="23" w:line="230" w:lineRule="auto"/>
              <w:ind w:left="125" w:right="127" w:hanging="13"/>
            </w:pPr>
            <w:r>
              <w:rPr>
                <w:color w:val="EE0000"/>
                <w:spacing w:val="-1"/>
              </w:rPr>
              <w:t>⑨在高处安装构件、部件、设施时，应采取可靠的</w:t>
            </w:r>
            <w:r>
              <w:rPr>
                <w:color w:val="EE0000"/>
                <w:spacing w:val="-2"/>
              </w:rPr>
              <w:t>临时固定措施或防坠措施。</w:t>
            </w:r>
          </w:p>
          <w:p w14:paraId="10CE517D">
            <w:pPr>
              <w:pStyle w:val="7"/>
              <w:spacing w:before="23" w:line="225" w:lineRule="auto"/>
              <w:ind w:left="113" w:right="110" w:hanging="1"/>
            </w:pPr>
            <w:r>
              <w:rPr>
                <w:color w:val="EE0000"/>
              </w:rPr>
              <w:t>⑩施工作业平台物料堆放重量不应超过平台的容许</w:t>
            </w:r>
            <w:r>
              <w:rPr>
                <w:color w:val="EE0000"/>
                <w:spacing w:val="-1"/>
              </w:rPr>
              <w:t>承载力，物料堆放高度应满足稳定性要求。</w:t>
            </w:r>
          </w:p>
        </w:tc>
      </w:tr>
      <w:tr w14:paraId="4511BC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9" w:hRule="atLeast"/>
        </w:trPr>
        <w:tc>
          <w:tcPr>
            <w:tcW w:w="4779" w:type="dxa"/>
            <w:vAlign w:val="top"/>
          </w:tcPr>
          <w:p w14:paraId="046A984A">
            <w:pPr>
              <w:pStyle w:val="7"/>
              <w:spacing w:before="66" w:line="182" w:lineRule="auto"/>
              <w:ind w:left="112"/>
            </w:pPr>
            <w:r>
              <w:rPr>
                <w:b/>
                <w:bCs/>
                <w:color w:val="EE0000"/>
                <w:spacing w:val="-3"/>
              </w:rPr>
              <w:t>P315</w:t>
            </w:r>
          </w:p>
          <w:p w14:paraId="165F73BB">
            <w:pPr>
              <w:pStyle w:val="7"/>
              <w:spacing w:before="32" w:line="220" w:lineRule="auto"/>
              <w:ind w:left="121"/>
            </w:pPr>
            <w:r>
              <w:rPr>
                <w:spacing w:val="-1"/>
              </w:rPr>
              <w:t>7.3.2</w:t>
            </w:r>
            <w:r>
              <w:rPr>
                <w:spacing w:val="-47"/>
              </w:rPr>
              <w:t xml:space="preserve"> </w:t>
            </w:r>
            <w:r>
              <w:rPr>
                <w:spacing w:val="-1"/>
              </w:rPr>
              <w:t>施工安全技术措施及安全技术交底</w:t>
            </w:r>
          </w:p>
          <w:p w14:paraId="01020D97">
            <w:pPr>
              <w:pStyle w:val="7"/>
              <w:spacing w:before="24" w:line="220" w:lineRule="auto"/>
              <w:ind w:left="132"/>
            </w:pPr>
            <w:r>
              <w:rPr>
                <w:spacing w:val="-3"/>
              </w:rPr>
              <w:t>1.施工安全技术措施</w:t>
            </w:r>
          </w:p>
          <w:p w14:paraId="2625DBD8">
            <w:pPr>
              <w:pStyle w:val="7"/>
              <w:spacing w:before="23" w:line="221" w:lineRule="auto"/>
              <w:ind w:left="122"/>
            </w:pPr>
            <w:r>
              <w:rPr>
                <w:spacing w:val="-4"/>
              </w:rPr>
              <w:t>（2）防护措施</w:t>
            </w:r>
          </w:p>
          <w:p w14:paraId="6BC22187">
            <w:pPr>
              <w:pStyle w:val="7"/>
              <w:spacing w:before="21" w:line="233" w:lineRule="auto"/>
              <w:ind w:left="115" w:right="101"/>
            </w:pPr>
            <w:r>
              <w:rPr>
                <w:spacing w:val="-3"/>
              </w:rPr>
              <w:t>①防护棚。施工工程邻近必须通行的道路上</w:t>
            </w:r>
            <w:r>
              <w:rPr>
                <w:spacing w:val="-4"/>
              </w:rPr>
              <w:t>方和施工工程出入口处上方，均应搭设坚固、密封的</w:t>
            </w:r>
            <w:r>
              <w:rPr>
                <w:spacing w:val="-7"/>
              </w:rPr>
              <w:t>防护棚。</w:t>
            </w:r>
          </w:p>
          <w:p w14:paraId="027BD25D">
            <w:pPr>
              <w:pStyle w:val="7"/>
              <w:spacing w:before="22" w:line="230" w:lineRule="auto"/>
              <w:ind w:left="115" w:right="103" w:hanging="1"/>
            </w:pPr>
            <w:r>
              <w:rPr>
                <w:spacing w:val="-4"/>
              </w:rPr>
              <w:t>②防护隔离层。垂直交叉作业时，必须设置有效</w:t>
            </w:r>
            <w:r>
              <w:rPr>
                <w:spacing w:val="-2"/>
              </w:rPr>
              <w:t>地隔离层，防止坠落物伤人。</w:t>
            </w:r>
          </w:p>
          <w:p w14:paraId="2D0D9B1C">
            <w:pPr>
              <w:pStyle w:val="7"/>
              <w:spacing w:before="23" w:line="230" w:lineRule="auto"/>
              <w:ind w:left="117" w:right="101" w:hanging="3"/>
            </w:pPr>
            <w:r>
              <w:rPr>
                <w:spacing w:val="-3"/>
              </w:rPr>
              <w:t>③设置防护栏杆。起重机械和桩机机械下不准站</w:t>
            </w:r>
            <w:r>
              <w:rPr>
                <w:spacing w:val="-2"/>
              </w:rPr>
              <w:t>人或穿行。</w:t>
            </w:r>
          </w:p>
          <w:p w14:paraId="7036161A">
            <w:pPr>
              <w:pStyle w:val="7"/>
              <w:spacing w:before="23" w:line="232" w:lineRule="auto"/>
              <w:ind w:left="117" w:right="101" w:hanging="3"/>
            </w:pPr>
            <w:r>
              <w:rPr>
                <w:spacing w:val="-3"/>
              </w:rPr>
              <w:t>④安全帽。进入施工现场的所有人员都必须戴好</w:t>
            </w:r>
            <w:r>
              <w:rPr>
                <w:spacing w:val="-4"/>
              </w:rPr>
              <w:t>符合安全标准、具有检验合格证的安全帽，并系</w:t>
            </w:r>
            <w:r>
              <w:rPr>
                <w:spacing w:val="-8"/>
              </w:rPr>
              <w:t>牢帽带。</w:t>
            </w:r>
          </w:p>
        </w:tc>
        <w:tc>
          <w:tcPr>
            <w:tcW w:w="5081" w:type="dxa"/>
            <w:vAlign w:val="top"/>
          </w:tcPr>
          <w:p w14:paraId="7A40963F">
            <w:pPr>
              <w:pStyle w:val="7"/>
              <w:spacing w:before="29" w:line="221" w:lineRule="auto"/>
              <w:ind w:left="104"/>
            </w:pPr>
            <w:r>
              <w:rPr>
                <w:b/>
                <w:bCs/>
                <w:color w:val="EE0000"/>
                <w:spacing w:val="-2"/>
              </w:rPr>
              <w:t>【新增】P319</w:t>
            </w:r>
          </w:p>
          <w:p w14:paraId="7B246A4F">
            <w:pPr>
              <w:pStyle w:val="7"/>
              <w:spacing w:before="22" w:line="220" w:lineRule="auto"/>
              <w:ind w:left="119"/>
            </w:pPr>
            <w:r>
              <w:rPr>
                <w:spacing w:val="-1"/>
              </w:rPr>
              <w:t>7.3.2</w:t>
            </w:r>
            <w:r>
              <w:rPr>
                <w:spacing w:val="-48"/>
              </w:rPr>
              <w:t xml:space="preserve"> </w:t>
            </w:r>
            <w:r>
              <w:rPr>
                <w:spacing w:val="-1"/>
              </w:rPr>
              <w:t>施工安全技术措施及安全技术交底</w:t>
            </w:r>
          </w:p>
          <w:p w14:paraId="3B2EDCB4">
            <w:pPr>
              <w:pStyle w:val="7"/>
              <w:spacing w:before="24" w:line="220" w:lineRule="auto"/>
              <w:ind w:left="130"/>
            </w:pPr>
            <w:r>
              <w:rPr>
                <w:spacing w:val="-3"/>
              </w:rPr>
              <w:t>1.施工安全技术措施</w:t>
            </w:r>
          </w:p>
          <w:p w14:paraId="2098BD4F">
            <w:pPr>
              <w:pStyle w:val="7"/>
              <w:spacing w:before="23" w:line="221" w:lineRule="auto"/>
              <w:ind w:left="153"/>
            </w:pPr>
            <w:r>
              <w:rPr>
                <w:spacing w:val="-7"/>
              </w:rPr>
              <w:t>(2)防护措施</w:t>
            </w:r>
          </w:p>
          <w:p w14:paraId="570CC494">
            <w:pPr>
              <w:pStyle w:val="7"/>
              <w:spacing w:before="20" w:line="233" w:lineRule="auto"/>
              <w:ind w:left="113" w:right="110"/>
            </w:pPr>
            <w:r>
              <w:t>①防护棚。施工工程邻近必须通行的道路上方和施工工程出入口处上方，均应搭设坚固、密封的防护</w:t>
            </w:r>
            <w:r>
              <w:rPr>
                <w:spacing w:val="-2"/>
              </w:rPr>
              <w:t>棚。</w:t>
            </w:r>
            <w:r>
              <w:rPr>
                <w:color w:val="EE0000"/>
                <w:spacing w:val="-2"/>
              </w:rPr>
              <w:t>防护设施应具备抗高处坠物穿透的性能。</w:t>
            </w:r>
          </w:p>
          <w:p w14:paraId="705DC4F4">
            <w:pPr>
              <w:pStyle w:val="7"/>
              <w:spacing w:before="23" w:line="230" w:lineRule="auto"/>
              <w:ind w:left="126" w:right="110" w:hanging="14"/>
            </w:pPr>
            <w:r>
              <w:t>②防护隔离层。垂直交叉作业时，必须设置有效地</w:t>
            </w:r>
            <w:r>
              <w:rPr>
                <w:spacing w:val="-2"/>
              </w:rPr>
              <w:t>隔离层，防止坠落物伤人。</w:t>
            </w:r>
          </w:p>
          <w:p w14:paraId="08D96433">
            <w:pPr>
              <w:pStyle w:val="7"/>
              <w:spacing w:before="23" w:line="230" w:lineRule="auto"/>
              <w:ind w:left="116" w:right="110" w:hanging="4"/>
            </w:pPr>
            <w:r>
              <w:t>③设置防护栏杆。起重机械和桩机机械下不准站人</w:t>
            </w:r>
            <w:r>
              <w:rPr>
                <w:spacing w:val="-8"/>
              </w:rPr>
              <w:t>或穿行。</w:t>
            </w:r>
          </w:p>
          <w:p w14:paraId="5D028F7E">
            <w:pPr>
              <w:pStyle w:val="7"/>
              <w:spacing w:before="21" w:line="233" w:lineRule="auto"/>
              <w:ind w:left="114" w:right="110" w:hanging="2"/>
            </w:pPr>
            <w:r>
              <w:t>④安全帽。进入施工现场的所有人员都必须戴好符合安全标准、具有检验合格证的安全帽，并系牢帽</w:t>
            </w:r>
            <w:r>
              <w:rPr>
                <w:spacing w:val="-11"/>
              </w:rPr>
              <w:t>带。</w:t>
            </w:r>
          </w:p>
          <w:p w14:paraId="46A1E7CE">
            <w:pPr>
              <w:pStyle w:val="7"/>
              <w:spacing w:before="22" w:line="232" w:lineRule="auto"/>
              <w:ind w:left="114" w:right="110" w:hanging="2"/>
            </w:pPr>
            <w:r>
              <w:rPr>
                <w:color w:val="EE0000"/>
              </w:rPr>
              <w:t>⑤预应力结构张拉、拆除时，预应力端头应采取防护措施，且轴线方向不应有施工作业人员。无粘结预应力结构拆除时，应先解除预应力，再拆除相应</w:t>
            </w:r>
            <w:r>
              <w:rPr>
                <w:color w:val="EE0000"/>
                <w:spacing w:val="-9"/>
              </w:rPr>
              <w:t>结构。</w:t>
            </w:r>
          </w:p>
        </w:tc>
      </w:tr>
      <w:tr w14:paraId="27279F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6" w:hRule="atLeast"/>
        </w:trPr>
        <w:tc>
          <w:tcPr>
            <w:tcW w:w="4779" w:type="dxa"/>
            <w:vAlign w:val="top"/>
          </w:tcPr>
          <w:p w14:paraId="0A2412DC">
            <w:pPr>
              <w:pStyle w:val="7"/>
              <w:spacing w:before="32" w:line="220" w:lineRule="auto"/>
              <w:ind w:left="106"/>
            </w:pPr>
            <w:r>
              <w:rPr>
                <w:b/>
                <w:bCs/>
                <w:color w:val="EE0000"/>
                <w:spacing w:val="-2"/>
              </w:rPr>
              <w:t>【修改】P316</w:t>
            </w:r>
          </w:p>
          <w:p w14:paraId="77925639">
            <w:pPr>
              <w:pStyle w:val="7"/>
              <w:spacing w:before="23" w:line="220" w:lineRule="auto"/>
              <w:ind w:left="121"/>
            </w:pPr>
            <w:r>
              <w:rPr>
                <w:spacing w:val="-1"/>
              </w:rPr>
              <w:t>7.3.2</w:t>
            </w:r>
            <w:r>
              <w:rPr>
                <w:spacing w:val="-47"/>
              </w:rPr>
              <w:t xml:space="preserve"> </w:t>
            </w:r>
            <w:r>
              <w:rPr>
                <w:spacing w:val="-1"/>
              </w:rPr>
              <w:t>施工安全技术措施及安全技术交底</w:t>
            </w:r>
          </w:p>
          <w:p w14:paraId="201498D8">
            <w:pPr>
              <w:pStyle w:val="7"/>
              <w:spacing w:before="23" w:line="220" w:lineRule="auto"/>
              <w:ind w:left="132"/>
            </w:pPr>
            <w:r>
              <w:rPr>
                <w:spacing w:val="-3"/>
              </w:rPr>
              <w:t>1.施工安全技术措施</w:t>
            </w:r>
          </w:p>
          <w:p w14:paraId="56056B2C">
            <w:pPr>
              <w:pStyle w:val="7"/>
              <w:spacing w:before="21" w:line="233" w:lineRule="auto"/>
              <w:ind w:left="115" w:right="101" w:firstLine="7"/>
              <w:jc w:val="both"/>
            </w:pPr>
            <w:r>
              <w:rPr>
                <w:color w:val="EE0000"/>
                <w:spacing w:val="1"/>
              </w:rPr>
              <w:t>（6）按顺序组织施工。施工时应遵循自上而下</w:t>
            </w:r>
            <w:r>
              <w:rPr>
                <w:color w:val="EE0000"/>
                <w:spacing w:val="-4"/>
              </w:rPr>
              <w:t>的开挖顺序，严禁先切除坡脚。爆破施工时，应防止爆破振动影响边坡稳定。地质灾害易发区内</w:t>
            </w:r>
            <w:r>
              <w:rPr>
                <w:color w:val="EE0000"/>
                <w:spacing w:val="-3"/>
              </w:rPr>
              <w:t>施工时，施工单位应根据地质勘察资料编制</w:t>
            </w:r>
            <w:r>
              <w:rPr>
                <w:color w:val="EE0000"/>
                <w:spacing w:val="-4"/>
              </w:rPr>
              <w:t>施工</w:t>
            </w:r>
            <w:r>
              <w:rPr>
                <w:color w:val="EE0000"/>
                <w:spacing w:val="-9"/>
              </w:rPr>
              <w:t>方案。</w:t>
            </w:r>
          </w:p>
        </w:tc>
        <w:tc>
          <w:tcPr>
            <w:tcW w:w="5081" w:type="dxa"/>
            <w:vAlign w:val="top"/>
          </w:tcPr>
          <w:p w14:paraId="16B350FC">
            <w:pPr>
              <w:pStyle w:val="7"/>
              <w:spacing w:before="32" w:line="220" w:lineRule="auto"/>
              <w:ind w:left="104"/>
            </w:pPr>
            <w:r>
              <w:rPr>
                <w:b/>
                <w:bCs/>
                <w:color w:val="EE0000"/>
                <w:spacing w:val="-2"/>
              </w:rPr>
              <w:t>【修改】P320</w:t>
            </w:r>
          </w:p>
          <w:p w14:paraId="059C67B8">
            <w:pPr>
              <w:pStyle w:val="7"/>
              <w:spacing w:before="23" w:line="220" w:lineRule="auto"/>
              <w:ind w:left="119"/>
            </w:pPr>
            <w:r>
              <w:rPr>
                <w:spacing w:val="-1"/>
              </w:rPr>
              <w:t>7.3.2</w:t>
            </w:r>
            <w:r>
              <w:rPr>
                <w:spacing w:val="-48"/>
              </w:rPr>
              <w:t xml:space="preserve"> </w:t>
            </w:r>
            <w:r>
              <w:rPr>
                <w:spacing w:val="-1"/>
              </w:rPr>
              <w:t>施工安全技术措施及安全技术交底</w:t>
            </w:r>
          </w:p>
          <w:p w14:paraId="5B649DB1">
            <w:pPr>
              <w:pStyle w:val="7"/>
              <w:spacing w:before="23" w:line="220" w:lineRule="auto"/>
              <w:ind w:left="130"/>
            </w:pPr>
            <w:r>
              <w:rPr>
                <w:spacing w:val="-3"/>
              </w:rPr>
              <w:t>1.施工安全技术措施</w:t>
            </w:r>
          </w:p>
          <w:p w14:paraId="03DF4604">
            <w:pPr>
              <w:pStyle w:val="7"/>
              <w:spacing w:before="21" w:line="233" w:lineRule="auto"/>
              <w:ind w:left="113" w:right="47" w:firstLine="39"/>
              <w:jc w:val="both"/>
            </w:pPr>
            <w:r>
              <w:rPr>
                <w:color w:val="EE0000"/>
                <w:spacing w:val="-6"/>
              </w:rPr>
              <w:t>(6)按顺序组织施工。土方开挖顺序、方法应与设计</w:t>
            </w:r>
            <w:r>
              <w:rPr>
                <w:color w:val="EE0000"/>
              </w:rPr>
              <w:t>工况相一致，严禁超挖。施工时应遵循自上而下的开挖顺序，严禁先切除坡脚。爆破施工时，应防止</w:t>
            </w:r>
            <w:r>
              <w:rPr>
                <w:color w:val="EE0000"/>
                <w:spacing w:val="-7"/>
              </w:rPr>
              <w:t>爆破振动影响边坡稳定。地质灾害易发区内施工时，</w:t>
            </w:r>
            <w:r>
              <w:rPr>
                <w:color w:val="EE0000"/>
                <w:spacing w:val="-2"/>
              </w:rPr>
              <w:t>施工单位应根据地质勘察资料编制施工方案。</w:t>
            </w:r>
          </w:p>
        </w:tc>
      </w:tr>
      <w:tr w14:paraId="04C0AE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8" w:hRule="atLeast"/>
        </w:trPr>
        <w:tc>
          <w:tcPr>
            <w:tcW w:w="4779" w:type="dxa"/>
            <w:vAlign w:val="top"/>
          </w:tcPr>
          <w:p w14:paraId="6BC847A7">
            <w:pPr>
              <w:pStyle w:val="7"/>
              <w:spacing w:before="70" w:line="182" w:lineRule="auto"/>
              <w:ind w:left="112"/>
            </w:pPr>
            <w:r>
              <w:rPr>
                <w:b/>
                <w:bCs/>
                <w:color w:val="EE0000"/>
                <w:spacing w:val="-3"/>
              </w:rPr>
              <w:t>P318</w:t>
            </w:r>
          </w:p>
          <w:p w14:paraId="3960414E">
            <w:pPr>
              <w:pStyle w:val="7"/>
              <w:spacing w:before="32" w:line="220" w:lineRule="auto"/>
              <w:ind w:left="121"/>
            </w:pPr>
            <w:r>
              <w:rPr>
                <w:spacing w:val="-1"/>
              </w:rPr>
              <w:t>7.3.2</w:t>
            </w:r>
            <w:r>
              <w:rPr>
                <w:spacing w:val="-47"/>
              </w:rPr>
              <w:t xml:space="preserve"> </w:t>
            </w:r>
            <w:r>
              <w:rPr>
                <w:spacing w:val="-1"/>
              </w:rPr>
              <w:t>施工安全技术措施及安全技术交底</w:t>
            </w:r>
          </w:p>
          <w:p w14:paraId="07622DBD">
            <w:pPr>
              <w:pStyle w:val="7"/>
              <w:spacing w:before="23" w:line="220" w:lineRule="auto"/>
              <w:ind w:left="132"/>
            </w:pPr>
            <w:r>
              <w:rPr>
                <w:spacing w:val="-3"/>
              </w:rPr>
              <w:t>1.施工安全技术措施</w:t>
            </w:r>
          </w:p>
          <w:p w14:paraId="139E7044">
            <w:pPr>
              <w:pStyle w:val="7"/>
              <w:spacing w:before="24" w:line="219" w:lineRule="auto"/>
              <w:ind w:left="122"/>
            </w:pPr>
            <w:r>
              <w:rPr>
                <w:spacing w:val="-2"/>
              </w:rPr>
              <w:t>（2）机械安全操作技术要求</w:t>
            </w:r>
          </w:p>
          <w:p w14:paraId="3EF55CBA">
            <w:pPr>
              <w:pStyle w:val="7"/>
              <w:spacing w:before="24" w:line="233" w:lineRule="auto"/>
              <w:ind w:left="116" w:right="104" w:hanging="1"/>
            </w:pPr>
            <w:r>
              <w:rPr>
                <w:spacing w:val="-4"/>
              </w:rPr>
              <w:t>①特种设备操作人员应经过专业培训、考核合格取得相关主管部门颁发的操作证，并应经过安全</w:t>
            </w:r>
            <w:r>
              <w:rPr>
                <w:spacing w:val="-3"/>
              </w:rPr>
              <w:t>技术交底后持证上岗。</w:t>
            </w:r>
          </w:p>
          <w:p w14:paraId="22647514">
            <w:pPr>
              <w:pStyle w:val="7"/>
              <w:spacing w:before="21" w:line="233" w:lineRule="auto"/>
              <w:ind w:left="117" w:right="76" w:hanging="3"/>
            </w:pPr>
            <w:r>
              <w:rPr>
                <w:spacing w:val="-3"/>
              </w:rPr>
              <w:t>②机械作业前，施工技术人员应向操作人员进行</w:t>
            </w:r>
            <w:r>
              <w:rPr>
                <w:spacing w:val="-4"/>
              </w:rPr>
              <w:t>安全技术交底。操作人员应熟悉作业环境和施工</w:t>
            </w:r>
            <w:r>
              <w:rPr>
                <w:spacing w:val="-2"/>
              </w:rPr>
              <w:t>条件，并应听从指挥，遵守现场安全管理规定。</w:t>
            </w:r>
          </w:p>
          <w:p w14:paraId="76CA722B">
            <w:pPr>
              <w:pStyle w:val="7"/>
              <w:spacing w:before="23" w:line="210" w:lineRule="auto"/>
              <w:ind w:left="114"/>
            </w:pPr>
            <w:r>
              <w:rPr>
                <w:spacing w:val="-2"/>
              </w:rPr>
              <w:t>③机械使用前，应对机械进行检查、试运转。</w:t>
            </w:r>
          </w:p>
        </w:tc>
        <w:tc>
          <w:tcPr>
            <w:tcW w:w="5081" w:type="dxa"/>
            <w:vAlign w:val="top"/>
          </w:tcPr>
          <w:p w14:paraId="4D9BEB1D">
            <w:pPr>
              <w:pStyle w:val="7"/>
              <w:spacing w:before="33" w:line="221" w:lineRule="auto"/>
              <w:ind w:left="104"/>
            </w:pPr>
            <w:r>
              <w:rPr>
                <w:b/>
                <w:bCs/>
                <w:color w:val="EE0000"/>
                <w:spacing w:val="-2"/>
              </w:rPr>
              <w:t>【新增】P322</w:t>
            </w:r>
          </w:p>
          <w:p w14:paraId="1AB0FB96">
            <w:pPr>
              <w:pStyle w:val="7"/>
              <w:spacing w:before="22" w:line="220" w:lineRule="auto"/>
              <w:ind w:left="119"/>
            </w:pPr>
            <w:r>
              <w:rPr>
                <w:spacing w:val="-1"/>
              </w:rPr>
              <w:t>7.3.2</w:t>
            </w:r>
            <w:r>
              <w:rPr>
                <w:spacing w:val="-48"/>
              </w:rPr>
              <w:t xml:space="preserve"> </w:t>
            </w:r>
            <w:r>
              <w:rPr>
                <w:spacing w:val="-1"/>
              </w:rPr>
              <w:t>施工安全技术措施及安全技术交底</w:t>
            </w:r>
          </w:p>
          <w:p w14:paraId="7918022E">
            <w:pPr>
              <w:pStyle w:val="7"/>
              <w:spacing w:before="23" w:line="220" w:lineRule="auto"/>
              <w:ind w:left="130"/>
            </w:pPr>
            <w:r>
              <w:rPr>
                <w:spacing w:val="-3"/>
              </w:rPr>
              <w:t>1.施工安全技术措施</w:t>
            </w:r>
          </w:p>
          <w:p w14:paraId="75725484">
            <w:pPr>
              <w:pStyle w:val="7"/>
              <w:spacing w:before="24" w:line="219" w:lineRule="auto"/>
              <w:ind w:left="153"/>
            </w:pPr>
            <w:r>
              <w:rPr>
                <w:spacing w:val="-4"/>
              </w:rPr>
              <w:t>(2)机械安全操作技术要求</w:t>
            </w:r>
          </w:p>
          <w:p w14:paraId="175035C7">
            <w:pPr>
              <w:pStyle w:val="7"/>
              <w:spacing w:before="24" w:line="233" w:lineRule="auto"/>
              <w:ind w:left="114" w:right="110" w:hanging="1"/>
            </w:pPr>
            <w:r>
              <w:t>①特种设备操作人员应经过专业培训、考核合格取得相关主管部门颁发的操作证，并应经过安全技术</w:t>
            </w:r>
            <w:r>
              <w:rPr>
                <w:spacing w:val="-1"/>
              </w:rPr>
              <w:t>交底后持证上岗。</w:t>
            </w:r>
          </w:p>
          <w:p w14:paraId="3F1F7CF5">
            <w:pPr>
              <w:pStyle w:val="7"/>
              <w:spacing w:before="21" w:line="233" w:lineRule="auto"/>
              <w:ind w:left="113" w:right="47" w:hanging="1"/>
            </w:pPr>
            <w:r>
              <w:t>②机械作业前，施工技术人员应向操作人员进行安</w:t>
            </w:r>
            <w:r>
              <w:rPr>
                <w:spacing w:val="-7"/>
              </w:rPr>
              <w:t>全技术交底。操作人员应熟悉作业环境和施工条件，</w:t>
            </w:r>
            <w:r>
              <w:rPr>
                <w:spacing w:val="-2"/>
              </w:rPr>
              <w:t>并应听从指挥，遵守现场安全管理规定。</w:t>
            </w:r>
          </w:p>
          <w:p w14:paraId="0CDCBDCE">
            <w:pPr>
              <w:pStyle w:val="7"/>
              <w:spacing w:before="24" w:line="210" w:lineRule="auto"/>
              <w:ind w:left="112"/>
            </w:pPr>
            <w:r>
              <w:rPr>
                <w:spacing w:val="-2"/>
              </w:rPr>
              <w:t>③机械使用前，应对机械进行检查、试运转。</w:t>
            </w:r>
          </w:p>
        </w:tc>
      </w:tr>
    </w:tbl>
    <w:p w14:paraId="6BCEBB6B">
      <w:pPr>
        <w:spacing w:line="156" w:lineRule="exact"/>
        <w:rPr>
          <w:rFonts w:ascii="Arial"/>
          <w:sz w:val="13"/>
        </w:rPr>
      </w:pPr>
    </w:p>
    <w:p w14:paraId="22857D90">
      <w:pPr>
        <w:spacing w:line="156" w:lineRule="exact"/>
        <w:rPr>
          <w:rFonts w:ascii="Arial" w:hAnsi="Arial" w:eastAsia="Arial" w:cs="Arial"/>
          <w:sz w:val="13"/>
          <w:szCs w:val="13"/>
        </w:rPr>
        <w:sectPr>
          <w:footerReference r:id="rId23"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52DD82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9" w:hRule="atLeast"/>
        </w:trPr>
        <w:tc>
          <w:tcPr>
            <w:tcW w:w="4779" w:type="dxa"/>
            <w:vAlign w:val="top"/>
          </w:tcPr>
          <w:p w14:paraId="086D0C45">
            <w:pPr>
              <w:pStyle w:val="7"/>
              <w:spacing w:before="33" w:line="218" w:lineRule="auto"/>
              <w:ind w:left="114"/>
            </w:pPr>
            <w:r>
              <w:rPr>
                <w:spacing w:val="-1"/>
              </w:rPr>
              <w:t>④在工作中，应按规定使用劳动保护用品。</w:t>
            </w:r>
          </w:p>
          <w:p w14:paraId="25D3D7AF">
            <w:pPr>
              <w:pStyle w:val="7"/>
              <w:spacing w:before="25" w:line="235" w:lineRule="auto"/>
              <w:ind w:left="114" w:right="101"/>
            </w:pPr>
            <w:r>
              <w:rPr>
                <w:spacing w:val="-4"/>
              </w:rPr>
              <w:t>⑤操作人员在作业过程中，应集中精力，正确操</w:t>
            </w:r>
            <w:r>
              <w:rPr>
                <w:spacing w:val="-3"/>
              </w:rPr>
              <w:t>作，并应检查机械工况，不得擅自离开工作岗位</w:t>
            </w:r>
            <w:r>
              <w:rPr>
                <w:spacing w:val="-4"/>
              </w:rPr>
              <w:t>或将机械交给其他无证人员操作。无关人员不得</w:t>
            </w:r>
            <w:r>
              <w:rPr>
                <w:spacing w:val="-1"/>
              </w:rPr>
              <w:t>进入作业区或操作室内。</w:t>
            </w:r>
          </w:p>
          <w:p w14:paraId="13289719">
            <w:pPr>
              <w:pStyle w:val="7"/>
              <w:spacing w:before="23" w:line="233" w:lineRule="auto"/>
              <w:ind w:left="114" w:right="104"/>
            </w:pPr>
            <w:r>
              <w:rPr>
                <w:spacing w:val="-4"/>
              </w:rPr>
              <w:t>⑥操作人员应根据机械有关保养维修规定，认真及时做好机械保养维修工作，保持机械的完好状</w:t>
            </w:r>
            <w:r>
              <w:rPr>
                <w:spacing w:val="-2"/>
              </w:rPr>
              <w:t>态，并应做好维修保养记录。</w:t>
            </w:r>
          </w:p>
          <w:p w14:paraId="6BFB18C3">
            <w:pPr>
              <w:pStyle w:val="7"/>
              <w:spacing w:before="20" w:line="230" w:lineRule="auto"/>
              <w:ind w:left="121" w:right="103" w:hanging="7"/>
            </w:pPr>
            <w:r>
              <w:rPr>
                <w:spacing w:val="-4"/>
              </w:rPr>
              <w:t>⑦实行多班作业的机械，应执行交接班制度，填</w:t>
            </w:r>
            <w:r>
              <w:rPr>
                <w:spacing w:val="-2"/>
              </w:rPr>
              <w:t>写交接班记录，接班人员上岗前应认真检查。</w:t>
            </w:r>
          </w:p>
        </w:tc>
        <w:tc>
          <w:tcPr>
            <w:tcW w:w="5081" w:type="dxa"/>
            <w:vAlign w:val="top"/>
          </w:tcPr>
          <w:p w14:paraId="29608623">
            <w:pPr>
              <w:pStyle w:val="7"/>
              <w:spacing w:before="33" w:line="218" w:lineRule="auto"/>
              <w:ind w:left="112"/>
            </w:pPr>
            <w:r>
              <w:rPr>
                <w:spacing w:val="-1"/>
              </w:rPr>
              <w:t>④在工作中，应按规定使用劳动保护用品。</w:t>
            </w:r>
          </w:p>
          <w:p w14:paraId="086DE0E7">
            <w:pPr>
              <w:pStyle w:val="7"/>
              <w:spacing w:before="25" w:line="235" w:lineRule="auto"/>
              <w:ind w:left="112" w:right="44"/>
            </w:pPr>
            <w:r>
              <w:rPr>
                <w:spacing w:val="-7"/>
              </w:rPr>
              <w:t>⑤操作人员在作业过程中，应集中精力，正确操作，</w:t>
            </w:r>
            <w:r>
              <w:t>并应检查机械工况，不得擅自离开工作岗位或将机械交给其他无证人员操作。无关人员不得进入作业</w:t>
            </w:r>
            <w:r>
              <w:rPr>
                <w:spacing w:val="-4"/>
              </w:rPr>
              <w:t>区或操作室内。</w:t>
            </w:r>
          </w:p>
          <w:p w14:paraId="24EB215B">
            <w:pPr>
              <w:pStyle w:val="7"/>
              <w:spacing w:before="23" w:line="233" w:lineRule="auto"/>
              <w:ind w:left="119" w:right="110" w:hanging="7"/>
            </w:pPr>
            <w:r>
              <w:t>⑥操作人员应根据机械有关保养维修规定，认真及</w:t>
            </w:r>
            <w:r>
              <w:rPr>
                <w:spacing w:val="-1"/>
              </w:rPr>
              <w:t>时做好机械保养维修工作，保持机械的完好状态，并应做好维修保养记录。</w:t>
            </w:r>
          </w:p>
          <w:p w14:paraId="3CCDD52F">
            <w:pPr>
              <w:pStyle w:val="7"/>
              <w:spacing w:before="20" w:line="230" w:lineRule="auto"/>
              <w:ind w:left="118" w:right="110" w:hanging="6"/>
            </w:pPr>
            <w:r>
              <w:t>⑦实行多班作业的机械，应执行交接班制度，填写</w:t>
            </w:r>
            <w:r>
              <w:rPr>
                <w:spacing w:val="-1"/>
              </w:rPr>
              <w:t>交接班记录，接班人员上岗前应认真检查。</w:t>
            </w:r>
          </w:p>
          <w:p w14:paraId="5B0BA2FC">
            <w:pPr>
              <w:pStyle w:val="7"/>
              <w:spacing w:before="22" w:line="230" w:lineRule="auto"/>
              <w:ind w:left="112" w:right="51"/>
            </w:pPr>
            <w:r>
              <w:rPr>
                <w:color w:val="EE0000"/>
              </w:rPr>
              <w:t>⑧严禁在雨、雪、雾、霾、沙尘等低能见度天气进行大型起重机械安装拆卸作业；起重机械最高处风</w:t>
            </w:r>
            <w:r>
              <w:rPr>
                <w:color w:val="EE0000"/>
                <w:spacing w:val="-3"/>
              </w:rPr>
              <w:t>速达到</w:t>
            </w:r>
            <w:r>
              <w:rPr>
                <w:color w:val="EE0000"/>
                <w:spacing w:val="-39"/>
              </w:rPr>
              <w:t xml:space="preserve"> </w:t>
            </w:r>
            <w:r>
              <w:rPr>
                <w:color w:val="EE0000"/>
                <w:spacing w:val="-3"/>
              </w:rPr>
              <w:t>9.0m/s</w:t>
            </w:r>
            <w:r>
              <w:rPr>
                <w:color w:val="EE0000"/>
                <w:spacing w:val="-36"/>
              </w:rPr>
              <w:t xml:space="preserve"> </w:t>
            </w:r>
            <w:r>
              <w:rPr>
                <w:color w:val="EE0000"/>
                <w:spacing w:val="-3"/>
              </w:rPr>
              <w:t>时，应停止起重机械安装拆卸作业。</w:t>
            </w:r>
          </w:p>
        </w:tc>
      </w:tr>
      <w:tr w14:paraId="23D374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64" w:hRule="atLeast"/>
        </w:trPr>
        <w:tc>
          <w:tcPr>
            <w:tcW w:w="4779" w:type="dxa"/>
            <w:vAlign w:val="top"/>
          </w:tcPr>
          <w:p w14:paraId="74B20265">
            <w:pPr>
              <w:pStyle w:val="7"/>
              <w:spacing w:before="29" w:line="220" w:lineRule="auto"/>
              <w:ind w:left="106"/>
            </w:pPr>
            <w:r>
              <w:rPr>
                <w:b/>
                <w:bCs/>
                <w:color w:val="EE0000"/>
                <w:spacing w:val="-2"/>
              </w:rPr>
              <w:t>【修改】P322</w:t>
            </w:r>
          </w:p>
          <w:p w14:paraId="5128A703">
            <w:pPr>
              <w:pStyle w:val="7"/>
              <w:spacing w:before="23" w:line="220" w:lineRule="auto"/>
              <w:ind w:left="121"/>
            </w:pPr>
            <w:r>
              <w:rPr>
                <w:spacing w:val="-1"/>
              </w:rPr>
              <w:t>7.3.2</w:t>
            </w:r>
            <w:r>
              <w:rPr>
                <w:spacing w:val="-47"/>
              </w:rPr>
              <w:t xml:space="preserve"> </w:t>
            </w:r>
            <w:r>
              <w:rPr>
                <w:spacing w:val="-1"/>
              </w:rPr>
              <w:t>施工安全技术措施及安全技术交底</w:t>
            </w:r>
          </w:p>
          <w:p w14:paraId="29DE67BD">
            <w:pPr>
              <w:pStyle w:val="7"/>
              <w:spacing w:before="24" w:line="220" w:lineRule="auto"/>
              <w:ind w:left="119"/>
            </w:pPr>
            <w:r>
              <w:rPr>
                <w:spacing w:val="-1"/>
              </w:rPr>
              <w:t>2.安全防护设施、用品技术要求</w:t>
            </w:r>
          </w:p>
          <w:p w14:paraId="2690B8FE">
            <w:pPr>
              <w:pStyle w:val="7"/>
              <w:spacing w:before="23" w:line="219" w:lineRule="auto"/>
              <w:ind w:left="118"/>
            </w:pPr>
            <w:r>
              <w:rPr>
                <w:color w:val="EE0000"/>
                <w:spacing w:val="-5"/>
              </w:rPr>
              <w:t>6）安全帽</w:t>
            </w:r>
          </w:p>
          <w:p w14:paraId="043B4B04">
            <w:pPr>
              <w:pStyle w:val="7"/>
              <w:spacing w:before="23" w:line="239" w:lineRule="auto"/>
              <w:ind w:left="121" w:right="104" w:hanging="1"/>
            </w:pPr>
            <w:r>
              <w:rPr>
                <w:color w:val="EE0000"/>
                <w:spacing w:val="-4"/>
              </w:rPr>
              <w:t>安全帽是防止冲击物伤害头部的防护用品。由帽</w:t>
            </w:r>
            <w:r>
              <w:rPr>
                <w:color w:val="EE0000"/>
                <w:spacing w:val="-3"/>
              </w:rPr>
              <w:t>壳、帽衬、下颊带和后箍组成。</w:t>
            </w:r>
          </w:p>
          <w:p w14:paraId="29E47734">
            <w:pPr>
              <w:pStyle w:val="7"/>
              <w:spacing w:before="4" w:line="239" w:lineRule="auto"/>
              <w:ind w:left="116" w:right="26" w:firstLine="9"/>
            </w:pPr>
            <w:r>
              <w:rPr>
                <w:color w:val="EE0000"/>
                <w:spacing w:val="-4"/>
              </w:rPr>
              <w:t>帽壳呈半球形，坚固、光滑并有一定弹性，打击物的冲击和穿刺动能主要由帽壳承受。帽壳和帽</w:t>
            </w:r>
            <w:r>
              <w:rPr>
                <w:color w:val="EE0000"/>
                <w:spacing w:val="-10"/>
              </w:rPr>
              <w:t>衬之间留有一定空间，可缓冲、分散瞬时冲击力，</w:t>
            </w:r>
            <w:r>
              <w:rPr>
                <w:color w:val="EE0000"/>
                <w:spacing w:val="-4"/>
              </w:rPr>
              <w:t>从而避免或减轻对头部的直接伤害。安全帽的基本技术性能的要求包括冲击吸收性能、耐穿刺性</w:t>
            </w:r>
            <w:r>
              <w:rPr>
                <w:color w:val="EE0000"/>
                <w:spacing w:val="-10"/>
              </w:rPr>
              <w:t>能、侧向刚性、电绝缘性、阻燃性、耐温性能等。</w:t>
            </w:r>
            <w:r>
              <w:rPr>
                <w:color w:val="EE0000"/>
                <w:spacing w:val="4"/>
              </w:rPr>
              <w:t>按照国家标准《安全帽测试方法》</w:t>
            </w:r>
            <w:r>
              <w:rPr>
                <w:color w:val="EE0000"/>
                <w:spacing w:val="-42"/>
              </w:rPr>
              <w:t xml:space="preserve"> </w:t>
            </w:r>
            <w:r>
              <w:rPr>
                <w:color w:val="EE0000"/>
              </w:rPr>
              <w:t>GB</w:t>
            </w:r>
            <w:r>
              <w:rPr>
                <w:color w:val="EE0000"/>
                <w:spacing w:val="4"/>
              </w:rPr>
              <w:t>/T2812—</w:t>
            </w:r>
            <w:r>
              <w:rPr>
                <w:color w:val="EE0000"/>
              </w:rPr>
              <w:t xml:space="preserve"> </w:t>
            </w:r>
            <w:r>
              <w:rPr>
                <w:color w:val="EE0000"/>
                <w:spacing w:val="-1"/>
              </w:rPr>
              <w:t>2006</w:t>
            </w:r>
            <w:r>
              <w:rPr>
                <w:color w:val="EE0000"/>
                <w:spacing w:val="-44"/>
              </w:rPr>
              <w:t xml:space="preserve"> </w:t>
            </w:r>
            <w:r>
              <w:rPr>
                <w:color w:val="EE0000"/>
                <w:spacing w:val="-1"/>
              </w:rPr>
              <w:t>规定的方法测试，安全帽的性</w:t>
            </w:r>
          </w:p>
          <w:p w14:paraId="30CE9E77">
            <w:pPr>
              <w:pStyle w:val="7"/>
              <w:spacing w:before="1" w:line="220" w:lineRule="auto"/>
              <w:ind w:left="125"/>
            </w:pPr>
            <w:r>
              <w:rPr>
                <w:color w:val="EE0000"/>
                <w:spacing w:val="-7"/>
              </w:rPr>
              <w:t>能要求如下：</w:t>
            </w:r>
          </w:p>
          <w:p w14:paraId="136D95CD">
            <w:pPr>
              <w:pStyle w:val="7"/>
              <w:spacing w:before="21" w:line="235" w:lineRule="auto"/>
              <w:ind w:left="118" w:right="100" w:firstLine="4"/>
            </w:pPr>
            <w:r>
              <w:rPr>
                <w:color w:val="EE0000"/>
                <w:spacing w:val="-3"/>
              </w:rPr>
              <w:t>（1）冲击吸收性能。经高温（50℃±2℃) 、低</w:t>
            </w:r>
            <w:r>
              <w:rPr>
                <w:color w:val="EE0000"/>
                <w:spacing w:val="6"/>
              </w:rPr>
              <w:t>温（-10℃±2℃)、浸水（水温</w:t>
            </w:r>
            <w:r>
              <w:rPr>
                <w:color w:val="EE0000"/>
                <w:spacing w:val="-20"/>
              </w:rPr>
              <w:t xml:space="preserve"> </w:t>
            </w:r>
            <w:r>
              <w:rPr>
                <w:color w:val="EE0000"/>
                <w:spacing w:val="6"/>
              </w:rPr>
              <w:t>20℃±2℃)、</w:t>
            </w:r>
            <w:r>
              <w:rPr>
                <w:color w:val="EE0000"/>
                <w:spacing w:val="-4"/>
              </w:rPr>
              <w:t>紫外线照射预处理后做冲击测试，传递到头模的</w:t>
            </w:r>
            <w:r>
              <w:rPr>
                <w:color w:val="EE0000"/>
                <w:spacing w:val="-1"/>
              </w:rPr>
              <w:t>力不应大于</w:t>
            </w:r>
            <w:r>
              <w:rPr>
                <w:color w:val="EE0000"/>
                <w:spacing w:val="-43"/>
              </w:rPr>
              <w:t xml:space="preserve"> </w:t>
            </w:r>
            <w:r>
              <w:rPr>
                <w:color w:val="EE0000"/>
                <w:spacing w:val="-1"/>
              </w:rPr>
              <w:t>4900N，帽壳不得有碎片脱落。</w:t>
            </w:r>
          </w:p>
          <w:p w14:paraId="0F9D9076">
            <w:pPr>
              <w:pStyle w:val="7"/>
              <w:spacing w:before="24" w:line="234" w:lineRule="auto"/>
              <w:ind w:left="115" w:right="100" w:firstLine="7"/>
            </w:pPr>
            <w:r>
              <w:rPr>
                <w:color w:val="EE0000"/>
                <w:spacing w:val="-3"/>
              </w:rPr>
              <w:t>（2）耐穿刺性能。经高温（50℃±2℃) 、低温</w:t>
            </w:r>
            <w:r>
              <w:rPr>
                <w:color w:val="EE0000"/>
                <w:spacing w:val="3"/>
              </w:rPr>
              <w:t>（-10℃±2℃)、浸水（水温</w:t>
            </w:r>
            <w:r>
              <w:rPr>
                <w:color w:val="EE0000"/>
                <w:spacing w:val="-43"/>
              </w:rPr>
              <w:t xml:space="preserve"> </w:t>
            </w:r>
            <w:r>
              <w:rPr>
                <w:color w:val="EE0000"/>
                <w:spacing w:val="3"/>
              </w:rPr>
              <w:t xml:space="preserve">20℃±2℃) </w:t>
            </w:r>
            <w:r>
              <w:rPr>
                <w:color w:val="EE0000"/>
                <w:spacing w:val="2"/>
              </w:rPr>
              <w:t>、紫</w:t>
            </w:r>
            <w:r>
              <w:rPr>
                <w:color w:val="EE0000"/>
                <w:spacing w:val="-4"/>
              </w:rPr>
              <w:t>外线照射预处理后做冲击测试，钢锥不得接触头</w:t>
            </w:r>
            <w:r>
              <w:rPr>
                <w:color w:val="EE0000"/>
                <w:spacing w:val="-2"/>
              </w:rPr>
              <w:t>模表面，帽壳不得有碎片脱落。</w:t>
            </w:r>
          </w:p>
          <w:p w14:paraId="0390F918">
            <w:pPr>
              <w:pStyle w:val="7"/>
              <w:spacing w:before="24" w:line="230" w:lineRule="auto"/>
              <w:ind w:left="116" w:right="112" w:firstLine="6"/>
            </w:pPr>
            <w:r>
              <w:rPr>
                <w:color w:val="EE0000"/>
                <w:spacing w:val="-2"/>
              </w:rPr>
              <w:t>（3）侧向刚性。最大变形不应大于</w:t>
            </w:r>
            <w:r>
              <w:rPr>
                <w:color w:val="EE0000"/>
                <w:spacing w:val="-37"/>
              </w:rPr>
              <w:t xml:space="preserve"> </w:t>
            </w:r>
            <w:r>
              <w:rPr>
                <w:color w:val="EE0000"/>
                <w:spacing w:val="-2"/>
              </w:rPr>
              <w:t>40mm，残余</w:t>
            </w:r>
            <w:r>
              <w:rPr>
                <w:color w:val="EE0000"/>
                <w:spacing w:val="-3"/>
              </w:rPr>
              <w:t>变形不应大于</w:t>
            </w:r>
            <w:r>
              <w:rPr>
                <w:color w:val="EE0000"/>
                <w:spacing w:val="-14"/>
              </w:rPr>
              <w:t xml:space="preserve"> </w:t>
            </w:r>
            <w:r>
              <w:rPr>
                <w:color w:val="EE0000"/>
                <w:spacing w:val="-3"/>
              </w:rPr>
              <w:t>15mm，帽壳不得有碎片脱落。</w:t>
            </w:r>
          </w:p>
          <w:p w14:paraId="2ECF7E51">
            <w:pPr>
              <w:pStyle w:val="7"/>
              <w:spacing w:before="22" w:line="235" w:lineRule="auto"/>
              <w:ind w:left="119" w:right="22" w:firstLine="2"/>
            </w:pPr>
            <w:r>
              <w:rPr>
                <w:color w:val="EE0000"/>
                <w:spacing w:val="1"/>
              </w:rPr>
              <w:t>（4）电绝缘性能。G 级安全帽泄漏电流不应大</w:t>
            </w:r>
            <w:r>
              <w:rPr>
                <w:color w:val="EE0000"/>
                <w:spacing w:val="-3"/>
              </w:rPr>
              <w:t>于</w:t>
            </w:r>
            <w:r>
              <w:rPr>
                <w:color w:val="EE0000"/>
                <w:spacing w:val="-39"/>
              </w:rPr>
              <w:t xml:space="preserve"> </w:t>
            </w:r>
            <w:r>
              <w:rPr>
                <w:color w:val="EE0000"/>
                <w:spacing w:val="-3"/>
              </w:rPr>
              <w:t>3.0mA；E</w:t>
            </w:r>
            <w:r>
              <w:rPr>
                <w:color w:val="EE0000"/>
                <w:spacing w:val="-45"/>
              </w:rPr>
              <w:t xml:space="preserve"> </w:t>
            </w:r>
            <w:r>
              <w:rPr>
                <w:color w:val="EE0000"/>
                <w:spacing w:val="-3"/>
              </w:rPr>
              <w:t>级安全帽泄漏电流不应大于</w:t>
            </w:r>
            <w:r>
              <w:rPr>
                <w:color w:val="EE0000"/>
                <w:spacing w:val="-48"/>
              </w:rPr>
              <w:t xml:space="preserve"> </w:t>
            </w:r>
            <w:r>
              <w:rPr>
                <w:color w:val="EE0000"/>
                <w:spacing w:val="-3"/>
              </w:rPr>
              <w:t>9.0mA。当测试电压加大至 30000V 时，安全帽不应被击穿、发生燃烧现象。</w:t>
            </w:r>
          </w:p>
          <w:p w14:paraId="6E92E6F4">
            <w:pPr>
              <w:pStyle w:val="7"/>
              <w:spacing w:before="23" w:line="229" w:lineRule="auto"/>
              <w:ind w:left="117" w:right="115" w:firstLine="5"/>
            </w:pPr>
            <w:r>
              <w:rPr>
                <w:color w:val="EE0000"/>
                <w:spacing w:val="-2"/>
              </w:rPr>
              <w:t>（5）阻燃性能。续燃时间不应超过</w:t>
            </w:r>
            <w:r>
              <w:rPr>
                <w:color w:val="EE0000"/>
                <w:spacing w:val="-41"/>
              </w:rPr>
              <w:t xml:space="preserve"> </w:t>
            </w:r>
            <w:r>
              <w:rPr>
                <w:color w:val="EE0000"/>
                <w:spacing w:val="-2"/>
              </w:rPr>
              <w:t>5s，帽壳不</w:t>
            </w:r>
            <w:r>
              <w:rPr>
                <w:color w:val="EE0000"/>
                <w:spacing w:val="-8"/>
              </w:rPr>
              <w:t>得烧穿。</w:t>
            </w:r>
          </w:p>
          <w:p w14:paraId="28EB7DC8">
            <w:pPr>
              <w:pStyle w:val="7"/>
              <w:spacing w:before="22" w:line="236" w:lineRule="auto"/>
              <w:ind w:left="115" w:right="101" w:firstLine="7"/>
            </w:pPr>
            <w:r>
              <w:rPr>
                <w:color w:val="EE0000"/>
                <w:spacing w:val="-1"/>
              </w:rPr>
              <w:t>（6）耐低温性能。经低温（-30℃±2℃)、</w:t>
            </w:r>
            <w:r>
              <w:rPr>
                <w:color w:val="EE0000"/>
                <w:spacing w:val="61"/>
              </w:rPr>
              <w:t xml:space="preserve"> </w:t>
            </w:r>
            <w:r>
              <w:rPr>
                <w:color w:val="EE0000"/>
                <w:spacing w:val="-1"/>
              </w:rPr>
              <w:t>3h</w:t>
            </w:r>
            <w:r>
              <w:rPr>
                <w:color w:val="EE0000"/>
                <w:spacing w:val="-3"/>
              </w:rPr>
              <w:t>预处理后做冲击测试，传递到头模的力不应</w:t>
            </w:r>
            <w:r>
              <w:rPr>
                <w:color w:val="EE0000"/>
                <w:spacing w:val="-4"/>
              </w:rPr>
              <w:t>大于</w:t>
            </w:r>
            <w:r>
              <w:rPr>
                <w:color w:val="EE0000"/>
                <w:spacing w:val="-3"/>
              </w:rPr>
              <w:t>4900N，帽壳不得有碎片脱落；经低温（-30℃±</w:t>
            </w:r>
            <w:r>
              <w:rPr>
                <w:color w:val="EE0000"/>
                <w:spacing w:val="9"/>
              </w:rPr>
              <w:t xml:space="preserve"> </w:t>
            </w:r>
            <w:r>
              <w:rPr>
                <w:color w:val="EE0000"/>
                <w:spacing w:val="-3"/>
              </w:rPr>
              <w:t>2℃)</w:t>
            </w:r>
            <w:r>
              <w:rPr>
                <w:color w:val="EE0000"/>
                <w:spacing w:val="44"/>
              </w:rPr>
              <w:t xml:space="preserve"> </w:t>
            </w:r>
            <w:r>
              <w:rPr>
                <w:color w:val="EE0000"/>
                <w:spacing w:val="-3"/>
              </w:rPr>
              <w:t>、3h</w:t>
            </w:r>
            <w:r>
              <w:rPr>
                <w:color w:val="EE0000"/>
                <w:spacing w:val="-45"/>
              </w:rPr>
              <w:t xml:space="preserve"> </w:t>
            </w:r>
            <w:r>
              <w:rPr>
                <w:color w:val="EE0000"/>
                <w:spacing w:val="-3"/>
              </w:rPr>
              <w:t>预处理后做穿刺测试，钢锥不得接触</w:t>
            </w:r>
            <w:r>
              <w:rPr>
                <w:color w:val="EE0000"/>
                <w:spacing w:val="-2"/>
              </w:rPr>
              <w:t>头模表面，帽壳不得有碎片脱落。</w:t>
            </w:r>
          </w:p>
          <w:p w14:paraId="482DA84F">
            <w:pPr>
              <w:pStyle w:val="7"/>
              <w:spacing w:before="25" w:line="210" w:lineRule="auto"/>
              <w:ind w:left="122"/>
            </w:pPr>
            <w:r>
              <w:rPr>
                <w:color w:val="EE0000"/>
                <w:spacing w:val="-3"/>
              </w:rPr>
              <w:t>（7）耐极高温性能。经极高温（150℃±5℃</w:t>
            </w:r>
            <w:r>
              <w:rPr>
                <w:color w:val="EE0000"/>
                <w:spacing w:val="-4"/>
              </w:rPr>
              <w:t>)</w:t>
            </w:r>
            <w:r>
              <w:rPr>
                <w:color w:val="EE0000"/>
                <w:spacing w:val="27"/>
              </w:rPr>
              <w:t xml:space="preserve"> </w:t>
            </w:r>
            <w:r>
              <w:rPr>
                <w:color w:val="EE0000"/>
                <w:spacing w:val="-4"/>
              </w:rPr>
              <w:t>,</w:t>
            </w:r>
          </w:p>
        </w:tc>
        <w:tc>
          <w:tcPr>
            <w:tcW w:w="5081" w:type="dxa"/>
            <w:vAlign w:val="top"/>
          </w:tcPr>
          <w:p w14:paraId="494FF5E3">
            <w:pPr>
              <w:pStyle w:val="7"/>
              <w:spacing w:before="29" w:line="220" w:lineRule="auto"/>
              <w:ind w:left="104"/>
            </w:pPr>
            <w:r>
              <w:rPr>
                <w:b/>
                <w:bCs/>
                <w:color w:val="EE0000"/>
                <w:spacing w:val="-2"/>
              </w:rPr>
              <w:t>【修改】P325</w:t>
            </w:r>
          </w:p>
          <w:p w14:paraId="122AC0F9">
            <w:pPr>
              <w:pStyle w:val="7"/>
              <w:spacing w:before="23" w:line="220" w:lineRule="auto"/>
              <w:ind w:left="119"/>
            </w:pPr>
            <w:r>
              <w:rPr>
                <w:spacing w:val="-1"/>
              </w:rPr>
              <w:t>7.3.2</w:t>
            </w:r>
            <w:r>
              <w:rPr>
                <w:spacing w:val="-48"/>
              </w:rPr>
              <w:t xml:space="preserve"> </w:t>
            </w:r>
            <w:r>
              <w:rPr>
                <w:spacing w:val="-1"/>
              </w:rPr>
              <w:t>施工安全技术措施及安全技术交底</w:t>
            </w:r>
          </w:p>
          <w:p w14:paraId="796A908E">
            <w:pPr>
              <w:pStyle w:val="7"/>
              <w:spacing w:before="24" w:line="220" w:lineRule="auto"/>
              <w:ind w:left="117"/>
            </w:pPr>
            <w:r>
              <w:rPr>
                <w:spacing w:val="-1"/>
              </w:rPr>
              <w:t>2.安全防护设施、用品技术要求</w:t>
            </w:r>
          </w:p>
          <w:p w14:paraId="27A4B2AE">
            <w:pPr>
              <w:pStyle w:val="7"/>
              <w:spacing w:before="23" w:line="219" w:lineRule="auto"/>
              <w:ind w:left="116"/>
            </w:pPr>
            <w:r>
              <w:rPr>
                <w:color w:val="EE0000"/>
                <w:spacing w:val="-2"/>
              </w:rPr>
              <w:t>6)安全帽</w:t>
            </w:r>
          </w:p>
          <w:p w14:paraId="7E68927A">
            <w:pPr>
              <w:pStyle w:val="7"/>
              <w:spacing w:before="28" w:line="239" w:lineRule="auto"/>
              <w:ind w:left="113" w:right="28" w:firstLine="5"/>
            </w:pPr>
            <w:r>
              <w:rPr>
                <w:color w:val="EE0000"/>
              </w:rPr>
              <w:t>安全帽是防止冲击物伤害头部的防护用品。按照性</w:t>
            </w:r>
            <w:r>
              <w:rPr>
                <w:color w:val="EE0000"/>
                <w:spacing w:val="-5"/>
              </w:rPr>
              <w:t>能不同，安全帽可分为普通型(P)和特殊型(T)两种。</w:t>
            </w:r>
            <w:r>
              <w:rPr>
                <w:color w:val="EE0000"/>
              </w:rPr>
              <w:t>普通型安全帽用于一般作业场所，具备基本防护性能；特殊型安全帽除具备基本防护性能外，还具备一项或多项特殊性能，适用于与其性能相应的特殊作业场所。对于带有电绝缘性能的特殊型安全帽，</w:t>
            </w:r>
            <w:r>
              <w:rPr>
                <w:color w:val="EE0000"/>
                <w:spacing w:val="-3"/>
              </w:rPr>
              <w:t>按耐受电压不同，分为</w:t>
            </w:r>
            <w:r>
              <w:rPr>
                <w:color w:val="EE0000"/>
                <w:spacing w:val="-16"/>
              </w:rPr>
              <w:t xml:space="preserve"> </w:t>
            </w:r>
            <w:r>
              <w:rPr>
                <w:color w:val="EE0000"/>
                <w:spacing w:val="-3"/>
              </w:rPr>
              <w:t>G</w:t>
            </w:r>
            <w:r>
              <w:rPr>
                <w:color w:val="EE0000"/>
                <w:spacing w:val="-31"/>
              </w:rPr>
              <w:t xml:space="preserve"> </w:t>
            </w:r>
            <w:r>
              <w:rPr>
                <w:color w:val="EE0000"/>
                <w:spacing w:val="-3"/>
              </w:rPr>
              <w:t>级和</w:t>
            </w:r>
            <w:r>
              <w:rPr>
                <w:color w:val="EE0000"/>
                <w:spacing w:val="-34"/>
              </w:rPr>
              <w:t xml:space="preserve"> </w:t>
            </w:r>
            <w:r>
              <w:rPr>
                <w:color w:val="EE0000"/>
                <w:spacing w:val="-3"/>
              </w:rPr>
              <w:t>E</w:t>
            </w:r>
            <w:r>
              <w:rPr>
                <w:color w:val="EE0000"/>
                <w:spacing w:val="-28"/>
              </w:rPr>
              <w:t xml:space="preserve"> </w:t>
            </w:r>
            <w:r>
              <w:rPr>
                <w:color w:val="EE0000"/>
                <w:spacing w:val="-3"/>
              </w:rPr>
              <w:t>级。G</w:t>
            </w:r>
            <w:r>
              <w:rPr>
                <w:color w:val="EE0000"/>
                <w:spacing w:val="-28"/>
              </w:rPr>
              <w:t xml:space="preserve"> </w:t>
            </w:r>
            <w:r>
              <w:rPr>
                <w:color w:val="EE0000"/>
                <w:spacing w:val="-3"/>
              </w:rPr>
              <w:t>级电绝缘测</w:t>
            </w:r>
            <w:r>
              <w:rPr>
                <w:color w:val="EE0000"/>
                <w:spacing w:val="-2"/>
              </w:rPr>
              <w:t>试电压为</w:t>
            </w:r>
            <w:r>
              <w:rPr>
                <w:color w:val="EE0000"/>
                <w:spacing w:val="-32"/>
              </w:rPr>
              <w:t xml:space="preserve"> </w:t>
            </w:r>
            <w:r>
              <w:rPr>
                <w:color w:val="EE0000"/>
                <w:spacing w:val="-2"/>
              </w:rPr>
              <w:t>2200V,E</w:t>
            </w:r>
            <w:r>
              <w:rPr>
                <w:color w:val="EE0000"/>
                <w:spacing w:val="-43"/>
              </w:rPr>
              <w:t xml:space="preserve"> </w:t>
            </w:r>
            <w:r>
              <w:rPr>
                <w:color w:val="EE0000"/>
                <w:spacing w:val="-2"/>
              </w:rPr>
              <w:t>级电绝缘测试电压为</w:t>
            </w:r>
            <w:r>
              <w:rPr>
                <w:color w:val="EE0000"/>
                <w:spacing w:val="-42"/>
              </w:rPr>
              <w:t xml:space="preserve"> </w:t>
            </w:r>
            <w:r>
              <w:rPr>
                <w:color w:val="EE0000"/>
                <w:spacing w:val="-2"/>
              </w:rPr>
              <w:t>20000V。</w:t>
            </w:r>
          </w:p>
          <w:p w14:paraId="628821A9">
            <w:pPr>
              <w:pStyle w:val="7"/>
              <w:spacing w:before="2" w:line="239" w:lineRule="auto"/>
              <w:ind w:left="115" w:right="107" w:firstLine="3"/>
            </w:pPr>
            <w:r>
              <w:rPr>
                <w:color w:val="EE0000"/>
              </w:rPr>
              <w:t>安全帽不得使用有毒、有害或引起皮肤过敏等伤害人体的材料；不得使用回收、再生材料作为安全帽受力部件(如帽壳、顶带、帽箍等)的原料；材料耐老化性能应不低于产品标识明示的使用期限，正常使用的安全帽在使用期限内不能因材料原因导致防</w:t>
            </w:r>
            <w:r>
              <w:rPr>
                <w:color w:val="EE0000"/>
                <w:spacing w:val="-4"/>
              </w:rPr>
              <w:t>护功能失效。</w:t>
            </w:r>
          </w:p>
          <w:p w14:paraId="6DC7A5B4">
            <w:pPr>
              <w:pStyle w:val="7"/>
              <w:spacing w:before="5" w:line="239" w:lineRule="auto"/>
              <w:ind w:left="114" w:right="104"/>
            </w:pPr>
            <w:r>
              <w:rPr>
                <w:color w:val="EE0000"/>
                <w:spacing w:val="-4"/>
              </w:rPr>
              <w:t>根据《头部防护安全帽》GB2811—2019,安全帽性能</w:t>
            </w:r>
            <w:r>
              <w:rPr>
                <w:color w:val="EE0000"/>
              </w:rPr>
              <w:t>要求包括基本性能要求和特殊性能要求。安全帽基本性能包括冲击吸收性能和耐穿刺性能。安全帽特殊性能包括阻燃性能、侧向刚性、耐低温性能、耐极高温性能、电绝缘性能、防静电性能、耐熔融金</w:t>
            </w:r>
            <w:r>
              <w:rPr>
                <w:color w:val="EE0000"/>
                <w:spacing w:val="-4"/>
              </w:rPr>
              <w:t>属飞溅性能等。</w:t>
            </w:r>
          </w:p>
        </w:tc>
      </w:tr>
    </w:tbl>
    <w:p w14:paraId="211B7850">
      <w:pPr>
        <w:spacing w:line="175" w:lineRule="exact"/>
        <w:rPr>
          <w:rFonts w:ascii="Arial"/>
          <w:sz w:val="15"/>
        </w:rPr>
      </w:pPr>
    </w:p>
    <w:p w14:paraId="402AC096">
      <w:pPr>
        <w:spacing w:line="175" w:lineRule="exact"/>
        <w:rPr>
          <w:rFonts w:ascii="Arial" w:hAnsi="Arial" w:eastAsia="Arial" w:cs="Arial"/>
          <w:sz w:val="15"/>
          <w:szCs w:val="15"/>
        </w:rPr>
        <w:sectPr>
          <w:footerReference r:id="rId24"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2DC4B7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4779" w:type="dxa"/>
            <w:vAlign w:val="top"/>
          </w:tcPr>
          <w:p w14:paraId="49BEA7D6">
            <w:pPr>
              <w:pStyle w:val="7"/>
              <w:spacing w:before="32"/>
              <w:ind w:left="115" w:right="102" w:firstLine="17"/>
              <w:jc w:val="both"/>
            </w:pPr>
            <w:r>
              <w:rPr>
                <w:color w:val="EE0000"/>
                <w:spacing w:val="1"/>
              </w:rPr>
              <w:t>1h 预处理后做冲击测试，传递到头模的力不应</w:t>
            </w:r>
            <w:r>
              <w:rPr>
                <w:color w:val="EE0000"/>
                <w:spacing w:val="6"/>
              </w:rPr>
              <w:t>大于 4900N，帽壳不得有碎片脱落；经极高温</w:t>
            </w:r>
            <w:r>
              <w:rPr>
                <w:color w:val="EE0000"/>
                <w:spacing w:val="3"/>
              </w:rPr>
              <w:t>（150℃±5℃),</w:t>
            </w:r>
            <w:r>
              <w:rPr>
                <w:color w:val="EE0000"/>
                <w:spacing w:val="82"/>
              </w:rPr>
              <w:t xml:space="preserve"> </w:t>
            </w:r>
            <w:r>
              <w:rPr>
                <w:color w:val="EE0000"/>
                <w:spacing w:val="3"/>
              </w:rPr>
              <w:t>1h 预处理后做冲击测试，钢</w:t>
            </w:r>
            <w:r>
              <w:rPr>
                <w:color w:val="EE0000"/>
                <w:spacing w:val="-2"/>
              </w:rPr>
              <w:t>锥不得接触头模表面，帽壳不得有碎片脱落。</w:t>
            </w:r>
          </w:p>
          <w:p w14:paraId="3D0FB450">
            <w:pPr>
              <w:pStyle w:val="7"/>
              <w:spacing w:line="226" w:lineRule="auto"/>
              <w:ind w:left="122" w:right="100"/>
            </w:pPr>
            <w:r>
              <w:rPr>
                <w:color w:val="EE0000"/>
                <w:spacing w:val="-5"/>
              </w:rPr>
              <w:t>（8）防静电性能。表面电阻应为 1×10</w:t>
            </w:r>
            <w:r>
              <w:rPr>
                <w:rFonts w:ascii="Cambria Math" w:hAnsi="Cambria Math" w:eastAsia="Cambria Math" w:cs="Cambria Math"/>
                <w:color w:val="EE0000"/>
                <w:spacing w:val="-5"/>
              </w:rPr>
              <w:t>s</w:t>
            </w:r>
            <w:r>
              <w:rPr>
                <w:color w:val="EE0000"/>
                <w:spacing w:val="-5"/>
              </w:rPr>
              <w:t>~1</w:t>
            </w:r>
            <w:r>
              <w:rPr>
                <w:color w:val="EE0000"/>
                <w:spacing w:val="-60"/>
              </w:rPr>
              <w:t xml:space="preserve"> </w:t>
            </w:r>
            <w:r>
              <w:rPr>
                <w:color w:val="EE0000"/>
                <w:spacing w:val="-5"/>
              </w:rPr>
              <w:t>×</w:t>
            </w:r>
            <w:r>
              <w:rPr>
                <w:color w:val="EE0000"/>
                <w:spacing w:val="-85"/>
              </w:rPr>
              <w:t xml:space="preserve"> </w:t>
            </w:r>
            <w:r>
              <w:rPr>
                <w:color w:val="EE0000"/>
                <w:spacing w:val="-5"/>
              </w:rPr>
              <w:t>10</w:t>
            </w:r>
            <w:r>
              <w:rPr>
                <w:color w:val="EE0000"/>
              </w:rPr>
              <w:t xml:space="preserve"> </w:t>
            </w:r>
            <w:r>
              <w:rPr>
                <w:color w:val="EE0000"/>
                <w:spacing w:val="-17"/>
              </w:rPr>
              <w:t>¹</w:t>
            </w:r>
            <w:r>
              <w:rPr>
                <w:rFonts w:ascii="Cambria Math" w:hAnsi="Cambria Math" w:eastAsia="Cambria Math" w:cs="Cambria Math"/>
                <w:color w:val="EE0000"/>
                <w:spacing w:val="-17"/>
              </w:rPr>
              <w:t>⁰</w:t>
            </w:r>
            <w:r>
              <w:rPr>
                <w:rFonts w:ascii="Cambria Math" w:hAnsi="Cambria Math" w:eastAsia="Cambria Math" w:cs="Cambria Math"/>
                <w:color w:val="EE0000"/>
                <w:spacing w:val="4"/>
              </w:rPr>
              <w:t xml:space="preserve"> </w:t>
            </w:r>
            <w:r>
              <w:rPr>
                <w:color w:val="EE0000"/>
                <w:spacing w:val="-17"/>
              </w:rPr>
              <w:t>Ω。</w:t>
            </w:r>
          </w:p>
          <w:p w14:paraId="69210B70">
            <w:pPr>
              <w:pStyle w:val="7"/>
              <w:spacing w:before="33" w:line="229" w:lineRule="auto"/>
              <w:ind w:left="122" w:right="100"/>
            </w:pPr>
            <w:r>
              <w:rPr>
                <w:color w:val="EE0000"/>
                <w:spacing w:val="1"/>
              </w:rPr>
              <w:t>（9）耐熔融金属飞溅性能。安全帽不应存在以</w:t>
            </w:r>
            <w:r>
              <w:rPr>
                <w:color w:val="EE0000"/>
                <w:spacing w:val="-7"/>
              </w:rPr>
              <w:t>下情况：出现帽壳被穿透的现象；出现大于</w:t>
            </w:r>
            <w:r>
              <w:rPr>
                <w:color w:val="EE0000"/>
                <w:spacing w:val="-20"/>
              </w:rPr>
              <w:t xml:space="preserve"> </w:t>
            </w:r>
            <w:r>
              <w:rPr>
                <w:color w:val="EE0000"/>
                <w:spacing w:val="-7"/>
              </w:rPr>
              <w:t>10mm</w:t>
            </w:r>
            <w:r>
              <w:rPr>
                <w:color w:val="EE0000"/>
                <w:spacing w:val="-2"/>
              </w:rPr>
              <w:t>的损坏变形；帽壳续燃时间大于</w:t>
            </w:r>
            <w:r>
              <w:rPr>
                <w:color w:val="EE0000"/>
                <w:spacing w:val="-34"/>
              </w:rPr>
              <w:t xml:space="preserve"> </w:t>
            </w:r>
            <w:r>
              <w:rPr>
                <w:color w:val="EE0000"/>
                <w:spacing w:val="-2"/>
              </w:rPr>
              <w:t>5s。</w:t>
            </w:r>
          </w:p>
        </w:tc>
        <w:tc>
          <w:tcPr>
            <w:tcW w:w="5081" w:type="dxa"/>
            <w:vAlign w:val="top"/>
          </w:tcPr>
          <w:p w14:paraId="3D677834">
            <w:pPr>
              <w:rPr>
                <w:rFonts w:ascii="Arial"/>
                <w:sz w:val="21"/>
              </w:rPr>
            </w:pPr>
          </w:p>
        </w:tc>
      </w:tr>
      <w:tr w14:paraId="12DD31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779" w:type="dxa"/>
            <w:shd w:val="clear" w:color="auto" w:fill="FFFF00"/>
            <w:vAlign w:val="top"/>
          </w:tcPr>
          <w:p w14:paraId="6137B22E">
            <w:pPr>
              <w:pStyle w:val="7"/>
              <w:spacing w:before="32" w:line="208" w:lineRule="auto"/>
              <w:ind w:left="572"/>
            </w:pPr>
            <w:r>
              <w:rPr>
                <w:b/>
                <w:bCs/>
                <w:spacing w:val="-4"/>
              </w:rPr>
              <w:t>第</w:t>
            </w:r>
            <w:r>
              <w:rPr>
                <w:spacing w:val="-35"/>
              </w:rPr>
              <w:t xml:space="preserve"> </w:t>
            </w:r>
            <w:r>
              <w:rPr>
                <w:b/>
                <w:bCs/>
                <w:spacing w:val="-4"/>
              </w:rPr>
              <w:t>8</w:t>
            </w:r>
            <w:r>
              <w:rPr>
                <w:spacing w:val="-39"/>
              </w:rPr>
              <w:t xml:space="preserve"> </w:t>
            </w:r>
            <w:r>
              <w:rPr>
                <w:b/>
                <w:bCs/>
                <w:spacing w:val="-4"/>
              </w:rPr>
              <w:t>章</w:t>
            </w:r>
            <w:r>
              <w:rPr>
                <w:spacing w:val="-4"/>
              </w:rPr>
              <w:t xml:space="preserve"> </w:t>
            </w:r>
            <w:r>
              <w:rPr>
                <w:b/>
                <w:bCs/>
                <w:spacing w:val="-4"/>
              </w:rPr>
              <w:t>绿色建造及施工现场环境管理</w:t>
            </w:r>
          </w:p>
        </w:tc>
        <w:tc>
          <w:tcPr>
            <w:tcW w:w="5081" w:type="dxa"/>
            <w:shd w:val="clear" w:color="auto" w:fill="FFFF00"/>
            <w:vAlign w:val="top"/>
          </w:tcPr>
          <w:p w14:paraId="22D50B69">
            <w:pPr>
              <w:pStyle w:val="7"/>
              <w:spacing w:before="32" w:line="208" w:lineRule="auto"/>
              <w:ind w:left="721"/>
            </w:pPr>
            <w:r>
              <w:rPr>
                <w:b/>
                <w:bCs/>
                <w:spacing w:val="-4"/>
              </w:rPr>
              <w:t>第</w:t>
            </w:r>
            <w:r>
              <w:rPr>
                <w:spacing w:val="-35"/>
              </w:rPr>
              <w:t xml:space="preserve"> </w:t>
            </w:r>
            <w:r>
              <w:rPr>
                <w:b/>
                <w:bCs/>
                <w:spacing w:val="-4"/>
              </w:rPr>
              <w:t>8</w:t>
            </w:r>
            <w:r>
              <w:rPr>
                <w:spacing w:val="-38"/>
              </w:rPr>
              <w:t xml:space="preserve"> </w:t>
            </w:r>
            <w:r>
              <w:rPr>
                <w:b/>
                <w:bCs/>
                <w:spacing w:val="-4"/>
              </w:rPr>
              <w:t>章</w:t>
            </w:r>
            <w:r>
              <w:rPr>
                <w:spacing w:val="-4"/>
              </w:rPr>
              <w:t xml:space="preserve"> </w:t>
            </w:r>
            <w:r>
              <w:rPr>
                <w:b/>
                <w:bCs/>
                <w:spacing w:val="-4"/>
              </w:rPr>
              <w:t>绿色建造及施工现场环境管理</w:t>
            </w:r>
          </w:p>
        </w:tc>
      </w:tr>
      <w:tr w14:paraId="3A5D7B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0" w:hRule="atLeast"/>
        </w:trPr>
        <w:tc>
          <w:tcPr>
            <w:tcW w:w="4779" w:type="dxa"/>
            <w:vAlign w:val="top"/>
          </w:tcPr>
          <w:p w14:paraId="1180C4ED">
            <w:pPr>
              <w:pStyle w:val="7"/>
              <w:spacing w:before="31" w:line="221" w:lineRule="auto"/>
              <w:ind w:left="106"/>
            </w:pPr>
            <w:r>
              <w:rPr>
                <w:b/>
                <w:bCs/>
                <w:color w:val="EE0000"/>
                <w:spacing w:val="-2"/>
              </w:rPr>
              <w:t>【新增】P340</w:t>
            </w:r>
          </w:p>
          <w:p w14:paraId="4D8D438E">
            <w:pPr>
              <w:pStyle w:val="7"/>
              <w:spacing w:before="19" w:line="221" w:lineRule="auto"/>
              <w:ind w:left="117"/>
            </w:pPr>
            <w:r>
              <w:rPr>
                <w:spacing w:val="-2"/>
              </w:rPr>
              <w:t>8.1.2</w:t>
            </w:r>
            <w:r>
              <w:rPr>
                <w:spacing w:val="-35"/>
              </w:rPr>
              <w:t xml:space="preserve"> </w:t>
            </w:r>
            <w:r>
              <w:rPr>
                <w:spacing w:val="-2"/>
              </w:rPr>
              <w:t>各方主体绿色施工职责</w:t>
            </w:r>
          </w:p>
          <w:p w14:paraId="564C9C9D">
            <w:pPr>
              <w:pStyle w:val="7"/>
              <w:spacing w:before="22" w:line="221" w:lineRule="auto"/>
              <w:ind w:left="132"/>
            </w:pPr>
            <w:r>
              <w:rPr>
                <w:spacing w:val="-2"/>
              </w:rPr>
              <w:t>1.绿色施工相关理念、原则和方法</w:t>
            </w:r>
          </w:p>
          <w:p w14:paraId="7622B5E0">
            <w:pPr>
              <w:pStyle w:val="7"/>
              <w:spacing w:before="18"/>
              <w:ind w:left="116" w:right="76" w:firstLine="38"/>
              <w:jc w:val="both"/>
            </w:pPr>
            <w:r>
              <w:t>(2)清洁生产理念。清洁生产是指不断采取改进</w:t>
            </w:r>
            <w:r>
              <w:rPr>
                <w:spacing w:val="-4"/>
              </w:rPr>
              <w:t>设计、使用清洁能源和原料、采用先进的工艺技术与设备、改善管理、综合利用等措施，从源头削减污染，提高资源利用效率，减少或者避免生</w:t>
            </w:r>
            <w:r>
              <w:rPr>
                <w:spacing w:val="7"/>
              </w:rPr>
              <w:t>产、服务和产品使用过程中污染物的产生和排</w:t>
            </w:r>
            <w:r>
              <w:rPr>
                <w:spacing w:val="-2"/>
              </w:rPr>
              <w:t>放，以减轻或者消除对人类健康和环境的危害。</w:t>
            </w:r>
            <w:r>
              <w:rPr>
                <w:spacing w:val="-1"/>
              </w:rPr>
              <w:t>清洁生产的主要内容可归纳为“三清一控”</w:t>
            </w:r>
            <w:r>
              <w:rPr>
                <w:spacing w:val="-46"/>
              </w:rPr>
              <w:t xml:space="preserve"> </w:t>
            </w:r>
            <w:r>
              <w:rPr>
                <w:spacing w:val="-1"/>
              </w:rPr>
              <w:t>:①</w:t>
            </w:r>
            <w:r>
              <w:rPr>
                <w:spacing w:val="-4"/>
              </w:rPr>
              <w:t>清洁的原料与能源；②清洁的生产过程；③清洁</w:t>
            </w:r>
            <w:r>
              <w:rPr>
                <w:spacing w:val="-1"/>
              </w:rPr>
              <w:t>的产品；④贯穿于清洁生产的全过程控制。</w:t>
            </w:r>
          </w:p>
        </w:tc>
        <w:tc>
          <w:tcPr>
            <w:tcW w:w="5081" w:type="dxa"/>
            <w:vAlign w:val="top"/>
          </w:tcPr>
          <w:p w14:paraId="5CA4D609">
            <w:pPr>
              <w:pStyle w:val="7"/>
              <w:spacing w:before="31" w:line="221" w:lineRule="auto"/>
              <w:ind w:left="104"/>
            </w:pPr>
            <w:r>
              <w:rPr>
                <w:b/>
                <w:bCs/>
                <w:color w:val="EE0000"/>
                <w:spacing w:val="-2"/>
              </w:rPr>
              <w:t>【新增】P343</w:t>
            </w:r>
          </w:p>
          <w:p w14:paraId="0F6719D0">
            <w:pPr>
              <w:pStyle w:val="7"/>
              <w:spacing w:before="19" w:line="221" w:lineRule="auto"/>
              <w:ind w:left="115"/>
            </w:pPr>
            <w:r>
              <w:rPr>
                <w:spacing w:val="-2"/>
              </w:rPr>
              <w:t>8.1.2</w:t>
            </w:r>
            <w:r>
              <w:rPr>
                <w:spacing w:val="-35"/>
              </w:rPr>
              <w:t xml:space="preserve"> </w:t>
            </w:r>
            <w:r>
              <w:rPr>
                <w:spacing w:val="-2"/>
              </w:rPr>
              <w:t>各方主体绿色施工职责</w:t>
            </w:r>
          </w:p>
          <w:p w14:paraId="412A4EB5">
            <w:pPr>
              <w:pStyle w:val="7"/>
              <w:spacing w:before="22" w:line="221" w:lineRule="auto"/>
              <w:ind w:left="130"/>
            </w:pPr>
            <w:r>
              <w:rPr>
                <w:spacing w:val="-2"/>
              </w:rPr>
              <w:t>1.绿色施工相关理念、原则和方法</w:t>
            </w:r>
          </w:p>
          <w:p w14:paraId="045AC785">
            <w:pPr>
              <w:pStyle w:val="7"/>
              <w:spacing w:before="25" w:line="239" w:lineRule="auto"/>
              <w:ind w:left="114" w:right="110" w:firstLine="38"/>
              <w:jc w:val="both"/>
            </w:pPr>
            <w:r>
              <w:rPr>
                <w:spacing w:val="3"/>
              </w:rPr>
              <w:t>(2)清洁生产理念。清洁生产是指不断采取改进设</w:t>
            </w:r>
            <w:r>
              <w:rPr>
                <w:spacing w:val="-1"/>
              </w:rPr>
              <w:t>计、使用清洁能源和原料、采用先进的工艺技术与</w:t>
            </w:r>
            <w:r>
              <w:t>设备、改善管理、综合利用等措施，从源头削减污染，提高资源利用效率，减少或者避免生产、服务和产品使用过程中污染物的产生和排放，以减轻或</w:t>
            </w:r>
            <w:r>
              <w:rPr>
                <w:spacing w:val="-3"/>
              </w:rPr>
              <w:t>者消除对人类健康和环境的危害。</w:t>
            </w:r>
          </w:p>
          <w:p w14:paraId="3A951E60">
            <w:pPr>
              <w:pStyle w:val="7"/>
              <w:spacing w:before="1" w:line="239" w:lineRule="auto"/>
              <w:ind w:left="132" w:right="49" w:hanging="18"/>
            </w:pPr>
            <w:r>
              <w:rPr>
                <w:spacing w:val="-4"/>
              </w:rPr>
              <w:t>清洁生产的主要内容可归纳为“三清一控”:①</w:t>
            </w:r>
            <w:r>
              <w:rPr>
                <w:spacing w:val="-5"/>
              </w:rPr>
              <w:t>清洁</w:t>
            </w:r>
            <w:r>
              <w:rPr>
                <w:spacing w:val="-8"/>
              </w:rPr>
              <w:t>的原料与能源；②清洁的生产过程；③清洁的产品；</w:t>
            </w:r>
          </w:p>
          <w:p w14:paraId="632B83AF">
            <w:pPr>
              <w:pStyle w:val="7"/>
              <w:spacing w:line="218" w:lineRule="auto"/>
              <w:ind w:left="112"/>
            </w:pPr>
            <w:r>
              <w:rPr>
                <w:spacing w:val="-2"/>
              </w:rPr>
              <w:t>④贯穿于清洁生产的全过程控制。</w:t>
            </w:r>
          </w:p>
          <w:p w14:paraId="466160E6">
            <w:pPr>
              <w:pStyle w:val="7"/>
              <w:spacing w:before="31" w:line="235" w:lineRule="auto"/>
              <w:ind w:left="112" w:right="30" w:firstLine="1"/>
              <w:jc w:val="both"/>
            </w:pPr>
            <w:r>
              <w:rPr>
                <w:color w:val="EE0000"/>
                <w:spacing w:val="-6"/>
              </w:rPr>
              <w:t>清洁生产理念有三个特点：一是倡导生态效益优先，</w:t>
            </w:r>
            <w:r>
              <w:rPr>
                <w:color w:val="EE0000"/>
              </w:rPr>
              <w:t>将环境绩效纳入生产决策核心指标，追求经济效益与生态效益的协同优化；二是注重低碳化转型，将碳减排作为清洁生产的关键目标，推动工艺革新与能源结构优化；三是树立全寿命期系统观，突破传</w:t>
            </w:r>
            <w:r>
              <w:rPr>
                <w:color w:val="EE0000"/>
                <w:spacing w:val="-6"/>
              </w:rPr>
              <w:t>统末端治理的局限，强调从原材料获取、生产制造、</w:t>
            </w:r>
            <w:r>
              <w:rPr>
                <w:color w:val="EE0000"/>
                <w:spacing w:val="10"/>
              </w:rPr>
              <w:t>产品使用到废弃回收全过程的污染预防与资源优</w:t>
            </w:r>
            <w:r>
              <w:rPr>
                <w:color w:val="EE0000"/>
                <w:spacing w:val="-10"/>
              </w:rPr>
              <w:t>化。</w:t>
            </w:r>
          </w:p>
        </w:tc>
      </w:tr>
      <w:tr w14:paraId="197C7D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5" w:hRule="atLeast"/>
        </w:trPr>
        <w:tc>
          <w:tcPr>
            <w:tcW w:w="4779" w:type="dxa"/>
            <w:vAlign w:val="top"/>
          </w:tcPr>
          <w:p w14:paraId="760BB163">
            <w:pPr>
              <w:pStyle w:val="7"/>
              <w:spacing w:before="32" w:line="220" w:lineRule="auto"/>
              <w:ind w:left="106"/>
            </w:pPr>
            <w:r>
              <w:rPr>
                <w:b/>
                <w:bCs/>
                <w:color w:val="EE0000"/>
                <w:spacing w:val="-2"/>
              </w:rPr>
              <w:t>【修改】P340</w:t>
            </w:r>
          </w:p>
          <w:p w14:paraId="67B93CB1">
            <w:pPr>
              <w:pStyle w:val="7"/>
              <w:spacing w:before="23" w:line="221" w:lineRule="auto"/>
              <w:ind w:left="117"/>
            </w:pPr>
            <w:r>
              <w:rPr>
                <w:spacing w:val="-2"/>
              </w:rPr>
              <w:t>8.1.2</w:t>
            </w:r>
            <w:r>
              <w:rPr>
                <w:spacing w:val="-35"/>
              </w:rPr>
              <w:t xml:space="preserve"> </w:t>
            </w:r>
            <w:r>
              <w:rPr>
                <w:spacing w:val="-2"/>
              </w:rPr>
              <w:t>各方主体绿色施工职责</w:t>
            </w:r>
          </w:p>
          <w:p w14:paraId="49CA8A40">
            <w:pPr>
              <w:pStyle w:val="7"/>
              <w:spacing w:before="22" w:line="221" w:lineRule="auto"/>
              <w:ind w:left="132"/>
            </w:pPr>
            <w:r>
              <w:rPr>
                <w:spacing w:val="-2"/>
              </w:rPr>
              <w:t>1.绿色施工相关理念、原则和方法</w:t>
            </w:r>
          </w:p>
          <w:p w14:paraId="2E5E9D40">
            <w:pPr>
              <w:pStyle w:val="7"/>
              <w:spacing w:before="22" w:line="220" w:lineRule="auto"/>
              <w:ind w:left="119"/>
            </w:pPr>
            <w:r>
              <w:rPr>
                <w:color w:val="EE0000"/>
                <w:spacing w:val="-1"/>
              </w:rPr>
              <w:t>2）循环经济“3R”原则</w:t>
            </w:r>
          </w:p>
          <w:p w14:paraId="329DBA8D">
            <w:pPr>
              <w:pStyle w:val="7"/>
              <w:spacing w:before="22"/>
              <w:ind w:left="101" w:right="22" w:firstLine="15"/>
            </w:pPr>
            <w:r>
              <w:rPr>
                <w:color w:val="EE0000"/>
                <w:spacing w:val="-16"/>
              </w:rPr>
              <w:t>循环经济的“3R”原则，即“减量化”（Reduce）、</w:t>
            </w:r>
            <w:r>
              <w:rPr>
                <w:color w:val="EE0000"/>
                <w:spacing w:val="6"/>
              </w:rPr>
              <w:t xml:space="preserve"> </w:t>
            </w:r>
            <w:r>
              <w:rPr>
                <w:color w:val="EE0000"/>
                <w:spacing w:val="9"/>
              </w:rPr>
              <w:t>“再利用”（</w:t>
            </w:r>
            <w:r>
              <w:rPr>
                <w:color w:val="EE0000"/>
              </w:rPr>
              <w:t>Reuse</w:t>
            </w:r>
            <w:r>
              <w:rPr>
                <w:color w:val="EE0000"/>
                <w:spacing w:val="9"/>
              </w:rPr>
              <w:t>）、“再循环”</w:t>
            </w:r>
          </w:p>
          <w:p w14:paraId="349C53E9">
            <w:pPr>
              <w:pStyle w:val="7"/>
              <w:spacing w:before="1" w:line="215" w:lineRule="auto"/>
              <w:ind w:left="122"/>
            </w:pPr>
            <w:r>
              <w:rPr>
                <w:color w:val="EE0000"/>
                <w:spacing w:val="-2"/>
              </w:rPr>
              <w:t>（Recycle</w:t>
            </w:r>
            <w:r>
              <w:rPr>
                <w:color w:val="EE0000"/>
                <w:spacing w:val="5"/>
              </w:rPr>
              <w:t>），</w:t>
            </w:r>
            <w:r>
              <w:rPr>
                <w:color w:val="EE0000"/>
                <w:spacing w:val="-2"/>
              </w:rPr>
              <w:t>是绿色施工需遵循的重要原则。</w:t>
            </w:r>
          </w:p>
          <w:p w14:paraId="71E87C09">
            <w:pPr>
              <w:pStyle w:val="7"/>
              <w:spacing w:before="26" w:line="233" w:lineRule="auto"/>
              <w:ind w:left="118" w:right="76" w:firstLine="4"/>
            </w:pPr>
            <w:r>
              <w:rPr>
                <w:color w:val="EE0000"/>
                <w:spacing w:val="1"/>
              </w:rPr>
              <w:t>（1）“减量化”原则：通过输入端控制方式，</w:t>
            </w:r>
            <w:r>
              <w:rPr>
                <w:color w:val="EE0000"/>
                <w:spacing w:val="-4"/>
              </w:rPr>
              <w:t>用较少资源投入来达到既定的生产目的，从经济</w:t>
            </w:r>
            <w:r>
              <w:rPr>
                <w:color w:val="EE0000"/>
                <w:spacing w:val="-2"/>
              </w:rPr>
              <w:t>活动的源头就注意节约资源和减少废弃物排放。</w:t>
            </w:r>
          </w:p>
          <w:p w14:paraId="6B618EA8">
            <w:pPr>
              <w:pStyle w:val="7"/>
              <w:spacing w:before="23" w:line="235" w:lineRule="auto"/>
              <w:ind w:left="114" w:right="101" w:firstLine="8"/>
            </w:pPr>
            <w:r>
              <w:rPr>
                <w:color w:val="EE0000"/>
                <w:spacing w:val="1"/>
              </w:rPr>
              <w:t>（2）“再利用”原则：通过过程端控制方式，</w:t>
            </w:r>
            <w:r>
              <w:rPr>
                <w:color w:val="EE0000"/>
                <w:spacing w:val="-4"/>
              </w:rPr>
              <w:t>将废物直接作为产品或经修复、翻新、再制造后</w:t>
            </w:r>
            <w:r>
              <w:rPr>
                <w:color w:val="EE0000"/>
                <w:spacing w:val="-3"/>
              </w:rPr>
              <w:t>继续作为产品使用，或者将废物的全部或部分作</w:t>
            </w:r>
            <w:r>
              <w:rPr>
                <w:color w:val="EE0000"/>
                <w:spacing w:val="-2"/>
              </w:rPr>
              <w:t>为其他产品的部件予以使用。</w:t>
            </w:r>
          </w:p>
          <w:p w14:paraId="1AB6041C">
            <w:pPr>
              <w:pStyle w:val="7"/>
              <w:spacing w:before="26" w:line="234" w:lineRule="auto"/>
              <w:ind w:left="114" w:right="101" w:firstLine="8"/>
            </w:pPr>
            <w:r>
              <w:rPr>
                <w:color w:val="EE0000"/>
                <w:spacing w:val="1"/>
              </w:rPr>
              <w:t>（3）“再循环”原则：通过输出端控制方式，</w:t>
            </w:r>
            <w:r>
              <w:rPr>
                <w:color w:val="EE0000"/>
                <w:spacing w:val="7"/>
              </w:rPr>
              <w:t>将生产出来的物品在完成其使用功能后通过回</w:t>
            </w:r>
            <w:r>
              <w:rPr>
                <w:color w:val="EE0000"/>
                <w:spacing w:val="-4"/>
              </w:rPr>
              <w:t>收利用重新变成可用资源，减少垃圾的产生。包</w:t>
            </w:r>
            <w:r>
              <w:rPr>
                <w:color w:val="EE0000"/>
                <w:spacing w:val="-3"/>
              </w:rPr>
              <w:t>括：①原级再循环，即把废弃物转化为同类新产品；②次级再循环，即把废弃物转化为其他产品的原材料。资源效率随循环增长而提高，循环率</w:t>
            </w:r>
          </w:p>
        </w:tc>
        <w:tc>
          <w:tcPr>
            <w:tcW w:w="5081" w:type="dxa"/>
            <w:vAlign w:val="top"/>
          </w:tcPr>
          <w:p w14:paraId="108904BB">
            <w:pPr>
              <w:pStyle w:val="7"/>
              <w:spacing w:before="32" w:line="220" w:lineRule="auto"/>
              <w:ind w:left="104"/>
            </w:pPr>
            <w:r>
              <w:rPr>
                <w:b/>
                <w:bCs/>
                <w:color w:val="EE0000"/>
                <w:spacing w:val="-2"/>
              </w:rPr>
              <w:t>【修改】P343</w:t>
            </w:r>
          </w:p>
          <w:p w14:paraId="3946CF0E">
            <w:pPr>
              <w:pStyle w:val="7"/>
              <w:spacing w:before="23" w:line="221" w:lineRule="auto"/>
              <w:ind w:left="115"/>
            </w:pPr>
            <w:r>
              <w:rPr>
                <w:spacing w:val="-2"/>
              </w:rPr>
              <w:t>8.1.2</w:t>
            </w:r>
            <w:r>
              <w:rPr>
                <w:spacing w:val="-35"/>
              </w:rPr>
              <w:t xml:space="preserve"> </w:t>
            </w:r>
            <w:r>
              <w:rPr>
                <w:spacing w:val="-2"/>
              </w:rPr>
              <w:t>各方主体绿色施工职责</w:t>
            </w:r>
          </w:p>
          <w:p w14:paraId="0AB5079E">
            <w:pPr>
              <w:pStyle w:val="7"/>
              <w:spacing w:before="22" w:line="221" w:lineRule="auto"/>
              <w:ind w:left="130"/>
            </w:pPr>
            <w:r>
              <w:rPr>
                <w:spacing w:val="-2"/>
              </w:rPr>
              <w:t>1.绿色施工相关理念、原则和方法</w:t>
            </w:r>
          </w:p>
          <w:p w14:paraId="48109F90">
            <w:pPr>
              <w:pStyle w:val="7"/>
              <w:spacing w:before="22" w:line="220" w:lineRule="auto"/>
              <w:ind w:left="117"/>
            </w:pPr>
            <w:r>
              <w:rPr>
                <w:color w:val="EE0000"/>
                <w:spacing w:val="-1"/>
              </w:rPr>
              <w:t>2)循环经济“3R”原则</w:t>
            </w:r>
          </w:p>
          <w:p w14:paraId="0A32457D">
            <w:pPr>
              <w:pStyle w:val="7"/>
              <w:spacing w:before="27" w:line="239" w:lineRule="auto"/>
              <w:ind w:left="99" w:right="48" w:firstLine="15"/>
            </w:pPr>
            <w:r>
              <w:rPr>
                <w:color w:val="EE0000"/>
                <w:spacing w:val="8"/>
              </w:rPr>
              <w:t>循环经济(</w:t>
            </w:r>
            <w:r>
              <w:rPr>
                <w:color w:val="EE0000"/>
              </w:rPr>
              <w:t>CircularEconomy</w:t>
            </w:r>
            <w:r>
              <w:rPr>
                <w:color w:val="EE0000"/>
                <w:spacing w:val="8"/>
              </w:rPr>
              <w:t>)是一种以资源高效利</w:t>
            </w:r>
            <w:r>
              <w:rPr>
                <w:color w:val="EE0000"/>
                <w:spacing w:val="1"/>
              </w:rPr>
              <w:t>用和循环利用为核心，通过系统性创新，将“开采一生产一废弃”的传统线性经济形态转变为“资源一产品一再生资源”循环流动的新型经济形态，以实现经济增长与资源消耗脱钩的可持续发展。循环</w:t>
            </w:r>
            <w:r>
              <w:rPr>
                <w:color w:val="EE0000"/>
                <w:spacing w:val="-4"/>
              </w:rPr>
              <w:t>经济的“减量化”</w:t>
            </w:r>
            <w:r>
              <w:rPr>
                <w:color w:val="EE0000"/>
                <w:spacing w:val="-61"/>
              </w:rPr>
              <w:t xml:space="preserve"> </w:t>
            </w:r>
            <w:r>
              <w:rPr>
                <w:color w:val="EE0000"/>
                <w:spacing w:val="-4"/>
              </w:rPr>
              <w:t>(Reduce)、“再利用”</w:t>
            </w:r>
            <w:r>
              <w:rPr>
                <w:color w:val="EE0000"/>
                <w:spacing w:val="-62"/>
              </w:rPr>
              <w:t xml:space="preserve"> </w:t>
            </w:r>
            <w:r>
              <w:rPr>
                <w:color w:val="EE0000"/>
                <w:spacing w:val="-4"/>
              </w:rPr>
              <w:t>(Reuse)、</w:t>
            </w:r>
            <w:r>
              <w:rPr>
                <w:color w:val="EE0000"/>
              </w:rPr>
              <w:t xml:space="preserve"> </w:t>
            </w:r>
            <w:r>
              <w:rPr>
                <w:color w:val="EE0000"/>
                <w:spacing w:val="-4"/>
              </w:rPr>
              <w:t>“再循环”</w:t>
            </w:r>
            <w:r>
              <w:rPr>
                <w:color w:val="EE0000"/>
                <w:spacing w:val="-80"/>
              </w:rPr>
              <w:t xml:space="preserve"> </w:t>
            </w:r>
            <w:r>
              <w:rPr>
                <w:color w:val="EE0000"/>
                <w:spacing w:val="-4"/>
              </w:rPr>
              <w:t>(Recycle)“3R”原则，是绿色施工需遵</w:t>
            </w:r>
            <w:r>
              <w:rPr>
                <w:color w:val="EE0000"/>
                <w:spacing w:val="-2"/>
              </w:rPr>
              <w:t>循的重要原则。</w:t>
            </w:r>
          </w:p>
          <w:p w14:paraId="571E9576">
            <w:pPr>
              <w:pStyle w:val="7"/>
              <w:spacing w:before="5" w:line="236" w:lineRule="auto"/>
              <w:ind w:left="113" w:right="104" w:firstLine="39"/>
            </w:pPr>
            <w:r>
              <w:rPr>
                <w:color w:val="EE0000"/>
                <w:spacing w:val="-6"/>
              </w:rPr>
              <w:t>(1)“减量化”原则：通过输入端控制方式，用较少</w:t>
            </w:r>
            <w:r>
              <w:rPr>
                <w:color w:val="EE0000"/>
              </w:rPr>
              <w:t>资源投入来达到既定的生产目的，从经济活动的源头就注意节约资源和减少废弃物排放。该原则强调</w:t>
            </w:r>
            <w:r>
              <w:rPr>
                <w:color w:val="EE0000"/>
                <w:spacing w:val="-4"/>
              </w:rPr>
              <w:t>优先降低资源消耗强度，这可通过技术创新(如轻量</w:t>
            </w:r>
            <w:r>
              <w:rPr>
                <w:color w:val="EE0000"/>
              </w:rPr>
              <w:t>化设计减少材料用量)和管理优化(如精准算量避免</w:t>
            </w:r>
            <w:r>
              <w:rPr>
                <w:color w:val="EE0000"/>
                <w:spacing w:val="5"/>
              </w:rPr>
              <w:t>过剩采购、模块化施工减少现场切割浪费)加以实</w:t>
            </w:r>
            <w:r>
              <w:rPr>
                <w:color w:val="EE0000"/>
                <w:spacing w:val="-10"/>
              </w:rPr>
              <w:t>现。</w:t>
            </w:r>
          </w:p>
          <w:p w14:paraId="4A549976">
            <w:pPr>
              <w:pStyle w:val="7"/>
              <w:spacing w:before="23" w:line="210" w:lineRule="auto"/>
              <w:ind w:left="153"/>
            </w:pPr>
            <w:r>
              <w:rPr>
                <w:color w:val="EE0000"/>
                <w:spacing w:val="-6"/>
              </w:rPr>
              <w:t>(2)“再利用”原则：通过过程端控制方式，将废物</w:t>
            </w:r>
          </w:p>
        </w:tc>
      </w:tr>
    </w:tbl>
    <w:p w14:paraId="30C2885C">
      <w:pPr>
        <w:spacing w:line="156" w:lineRule="exact"/>
        <w:rPr>
          <w:rFonts w:ascii="Arial"/>
          <w:sz w:val="13"/>
        </w:rPr>
      </w:pPr>
    </w:p>
    <w:p w14:paraId="59596F92">
      <w:pPr>
        <w:spacing w:line="156" w:lineRule="exact"/>
        <w:rPr>
          <w:rFonts w:ascii="Arial" w:hAnsi="Arial" w:eastAsia="Arial" w:cs="Arial"/>
          <w:sz w:val="13"/>
          <w:szCs w:val="13"/>
        </w:rPr>
        <w:sectPr>
          <w:footerReference r:id="rId25"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38EEF1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2" w:hRule="atLeast"/>
        </w:trPr>
        <w:tc>
          <w:tcPr>
            <w:tcW w:w="4779" w:type="dxa"/>
            <w:vAlign w:val="top"/>
          </w:tcPr>
          <w:p w14:paraId="07E3FB24">
            <w:pPr>
              <w:pStyle w:val="7"/>
              <w:spacing w:before="33" w:line="220" w:lineRule="auto"/>
              <w:ind w:left="115"/>
            </w:pPr>
            <w:r>
              <w:rPr>
                <w:color w:val="EE0000"/>
                <w:spacing w:val="-1"/>
              </w:rPr>
              <w:t>越大，资源效率增长越高。</w:t>
            </w:r>
          </w:p>
        </w:tc>
        <w:tc>
          <w:tcPr>
            <w:tcW w:w="5081" w:type="dxa"/>
            <w:vAlign w:val="top"/>
          </w:tcPr>
          <w:p w14:paraId="41D4F5E9">
            <w:pPr>
              <w:pStyle w:val="7"/>
              <w:spacing w:before="31"/>
              <w:ind w:left="114" w:right="110" w:firstLine="1"/>
              <w:jc w:val="both"/>
            </w:pPr>
            <w:r>
              <w:rPr>
                <w:color w:val="EE0000"/>
              </w:rPr>
              <w:t>直接作为产品多次使用或经修复、翻新、再制造后继续作为产品使用，或者将废物的全部或部分作为其他产品的部件予以使用。这可通过推行标准化设计、可拆解设计，延长产品部件使用周期，提高其</w:t>
            </w:r>
            <w:r>
              <w:rPr>
                <w:color w:val="EE0000"/>
                <w:spacing w:val="-3"/>
              </w:rPr>
              <w:t>可拆性和重复利用性加以实现。</w:t>
            </w:r>
          </w:p>
          <w:p w14:paraId="207BBAD0">
            <w:pPr>
              <w:pStyle w:val="7"/>
              <w:spacing w:before="4" w:line="239" w:lineRule="auto"/>
              <w:ind w:left="113" w:right="28" w:firstLine="39"/>
            </w:pPr>
            <w:r>
              <w:rPr>
                <w:color w:val="EE0000"/>
                <w:spacing w:val="-6"/>
              </w:rPr>
              <w:t>(3)“再循环”原则：通过输出端控制方式，将生产</w:t>
            </w:r>
            <w:r>
              <w:rPr>
                <w:color w:val="EE0000"/>
              </w:rPr>
              <w:t>出来的物品在完成其使用功能后通过回收利用重新变成可用资源，减少垃圾的产生。包括：①原级再循环，即把废弃物转化为同类新产品。②次级再循环，即把废弃物转化为其他产品的原材料。资源效率随循环增长而提高，循环率越大，资源效率增长</w:t>
            </w:r>
            <w:r>
              <w:rPr>
                <w:color w:val="EE0000"/>
                <w:spacing w:val="-6"/>
              </w:rPr>
              <w:t>越高。这可通过建立分类回收体系(如包装物返还)、</w:t>
            </w:r>
            <w:r>
              <w:rPr>
                <w:color w:val="EE0000"/>
              </w:rPr>
              <w:t>回收利用(如建筑垃圾利用)和高值化处理技术加以</w:t>
            </w:r>
            <w:r>
              <w:rPr>
                <w:color w:val="EE0000"/>
                <w:spacing w:val="-9"/>
              </w:rPr>
              <w:t>实现。</w:t>
            </w:r>
          </w:p>
          <w:p w14:paraId="675C1C10">
            <w:pPr>
              <w:pStyle w:val="7"/>
              <w:spacing w:line="239" w:lineRule="auto"/>
              <w:ind w:left="99"/>
            </w:pPr>
            <w:r>
              <w:rPr>
                <w:color w:val="EE0000"/>
                <w:spacing w:val="-4"/>
              </w:rPr>
              <w:t>“3R”原则主张源头减量优先于末端处理的优先级</w:t>
            </w:r>
            <w:r>
              <w:rPr>
                <w:color w:val="EE0000"/>
                <w:spacing w:val="3"/>
              </w:rPr>
              <w:t xml:space="preserve"> </w:t>
            </w:r>
            <w:r>
              <w:rPr>
                <w:color w:val="EE0000"/>
                <w:spacing w:val="-4"/>
              </w:rPr>
              <w:t>关系，实施的优先顺序通常为“减量化”“再利用”</w:t>
            </w:r>
            <w:r>
              <w:rPr>
                <w:color w:val="EE0000"/>
                <w:spacing w:val="7"/>
              </w:rPr>
              <w:t xml:space="preserve"> </w:t>
            </w:r>
            <w:r>
              <w:rPr>
                <w:color w:val="EE0000"/>
                <w:spacing w:val="-5"/>
              </w:rPr>
              <w:t>“再循环”。</w:t>
            </w:r>
          </w:p>
          <w:p w14:paraId="794F255F">
            <w:pPr>
              <w:pStyle w:val="7"/>
              <w:spacing w:before="4" w:line="234" w:lineRule="auto"/>
              <w:ind w:left="112" w:right="68" w:firstLine="6"/>
            </w:pPr>
            <w:r>
              <w:rPr>
                <w:color w:val="EE0000"/>
                <w:spacing w:val="-9"/>
              </w:rPr>
              <w:t>也有观点认为，应在前述“3R”原则基础上增加“再</w:t>
            </w:r>
            <w:r>
              <w:rPr>
                <w:color w:val="EE0000"/>
                <w:spacing w:val="-4"/>
              </w:rPr>
              <w:t>制造</w:t>
            </w:r>
            <w:r>
              <w:rPr>
                <w:color w:val="EE0000"/>
                <w:spacing w:val="-65"/>
              </w:rPr>
              <w:t xml:space="preserve"> </w:t>
            </w:r>
            <w:r>
              <w:rPr>
                <w:color w:val="EE0000"/>
                <w:spacing w:val="-4"/>
              </w:rPr>
              <w:t>”(Remanufacture)和“再生”(Recover),扩展为“5R”原则。所谓“再制造”,是指对废旧产品进</w:t>
            </w:r>
            <w:r>
              <w:rPr>
                <w:color w:val="EE0000"/>
              </w:rPr>
              <w:t>行专业化加工改造，使其性能达到或超过原产品标</w:t>
            </w:r>
            <w:r>
              <w:rPr>
                <w:color w:val="EE0000"/>
                <w:spacing w:val="-3"/>
              </w:rPr>
              <w:t>准。所谓“再生”,是指通过能源回收或物质提取，</w:t>
            </w:r>
            <w:r>
              <w:rPr>
                <w:color w:val="EE0000"/>
                <w:spacing w:val="-1"/>
              </w:rPr>
              <w:t>将无法循环利用的废弃物转化为可用能源或原料。</w:t>
            </w:r>
          </w:p>
        </w:tc>
      </w:tr>
      <w:tr w14:paraId="0015E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1" w:hRule="atLeast"/>
        </w:trPr>
        <w:tc>
          <w:tcPr>
            <w:tcW w:w="4779" w:type="dxa"/>
            <w:vAlign w:val="top"/>
          </w:tcPr>
          <w:p w14:paraId="026D2089">
            <w:pPr>
              <w:pStyle w:val="7"/>
              <w:spacing w:before="31" w:line="220" w:lineRule="auto"/>
              <w:ind w:left="106"/>
            </w:pPr>
            <w:r>
              <w:rPr>
                <w:b/>
                <w:bCs/>
                <w:color w:val="EE0000"/>
                <w:spacing w:val="-2"/>
              </w:rPr>
              <w:t>【修改】P341</w:t>
            </w:r>
          </w:p>
          <w:p w14:paraId="29E99842">
            <w:pPr>
              <w:pStyle w:val="7"/>
              <w:spacing w:before="23" w:line="221" w:lineRule="auto"/>
              <w:ind w:left="117"/>
            </w:pPr>
            <w:r>
              <w:rPr>
                <w:spacing w:val="-2"/>
              </w:rPr>
              <w:t>8.1.2</w:t>
            </w:r>
            <w:r>
              <w:rPr>
                <w:spacing w:val="-35"/>
              </w:rPr>
              <w:t xml:space="preserve"> </w:t>
            </w:r>
            <w:r>
              <w:rPr>
                <w:spacing w:val="-2"/>
              </w:rPr>
              <w:t>各方主体绿色施工职责</w:t>
            </w:r>
          </w:p>
          <w:p w14:paraId="68D25696">
            <w:pPr>
              <w:pStyle w:val="7"/>
              <w:spacing w:before="22" w:line="221" w:lineRule="auto"/>
              <w:ind w:left="132"/>
            </w:pPr>
            <w:r>
              <w:rPr>
                <w:spacing w:val="-2"/>
              </w:rPr>
              <w:t>1.绿色施工相关理念、原则和方法</w:t>
            </w:r>
          </w:p>
          <w:p w14:paraId="6BBF054E">
            <w:pPr>
              <w:pStyle w:val="7"/>
              <w:spacing w:before="19" w:line="219" w:lineRule="auto"/>
              <w:ind w:left="120"/>
            </w:pPr>
            <w:r>
              <w:rPr>
                <w:spacing w:val="-2"/>
              </w:rPr>
              <w:t>3）生命周期评估方法</w:t>
            </w:r>
          </w:p>
          <w:p w14:paraId="632FBD6A">
            <w:pPr>
              <w:pStyle w:val="7"/>
              <w:spacing w:before="23"/>
              <w:ind w:left="116" w:right="101" w:firstLine="1"/>
            </w:pPr>
            <w:r>
              <w:rPr>
                <w:spacing w:val="-3"/>
              </w:rPr>
              <w:t>生命周期评估（LifeCycleAssessment，LCA）是</w:t>
            </w:r>
            <w:r>
              <w:rPr>
                <w:spacing w:val="-4"/>
              </w:rPr>
              <w:t>一种标准化方法，通过计算和评估从原材料提取</w:t>
            </w:r>
            <w:r>
              <w:rPr>
                <w:spacing w:val="2"/>
              </w:rPr>
              <w:t>到废物处理等产品/服务生命周期各阶段的自然</w:t>
            </w:r>
            <w:r>
              <w:rPr>
                <w:spacing w:val="-4"/>
              </w:rPr>
              <w:t>资源消耗和对环境的产出，提供了一种评估与生</w:t>
            </w:r>
            <w:r>
              <w:rPr>
                <w:spacing w:val="-2"/>
              </w:rPr>
              <w:t>产过程或服务相关的潜在环境影响方法。</w:t>
            </w:r>
          </w:p>
          <w:p w14:paraId="2ED1FCE6">
            <w:pPr>
              <w:pStyle w:val="7"/>
              <w:spacing w:before="3" w:line="239" w:lineRule="auto"/>
              <w:ind w:left="114" w:right="101"/>
            </w:pPr>
            <w:r>
              <w:rPr>
                <w:spacing w:val="-3"/>
              </w:rPr>
              <w:t>LCA</w:t>
            </w:r>
            <w:r>
              <w:rPr>
                <w:spacing w:val="-27"/>
              </w:rPr>
              <w:t xml:space="preserve"> </w:t>
            </w:r>
            <w:r>
              <w:rPr>
                <w:spacing w:val="-3"/>
              </w:rPr>
              <w:t>方法在工程建设领域可应用于材料和产品、</w:t>
            </w:r>
            <w:r>
              <w:rPr>
                <w:spacing w:val="-4"/>
              </w:rPr>
              <w:t>建造及行业管理等不同层面：①在材料和产品层</w:t>
            </w:r>
            <w:r>
              <w:rPr>
                <w:spacing w:val="-1"/>
              </w:rPr>
              <w:t>面，LCA</w:t>
            </w:r>
            <w:r>
              <w:rPr>
                <w:spacing w:val="-41"/>
              </w:rPr>
              <w:t xml:space="preserve"> </w:t>
            </w:r>
            <w:r>
              <w:rPr>
                <w:spacing w:val="-1"/>
              </w:rPr>
              <w:t>方法可用来指导绿色材料和产品的选择过程；②在建造层面，LCA</w:t>
            </w:r>
            <w:r>
              <w:rPr>
                <w:spacing w:val="-41"/>
              </w:rPr>
              <w:t xml:space="preserve"> </w:t>
            </w:r>
            <w:r>
              <w:rPr>
                <w:spacing w:val="-1"/>
              </w:rPr>
              <w:t>方法可用来描述拟建</w:t>
            </w:r>
            <w:r>
              <w:rPr>
                <w:spacing w:val="-3"/>
              </w:rPr>
              <w:t>项目的环境足迹，以满足法规要求和寻求环境影</w:t>
            </w:r>
            <w:r>
              <w:rPr>
                <w:spacing w:val="-4"/>
              </w:rPr>
              <w:t>响最小化的建造方案；③在行业管理层面，采用</w:t>
            </w:r>
            <w:r>
              <w:rPr>
                <w:spacing w:val="-3"/>
              </w:rPr>
              <w:t>LCA</w:t>
            </w:r>
            <w:r>
              <w:rPr>
                <w:spacing w:val="-37"/>
              </w:rPr>
              <w:t xml:space="preserve"> </w:t>
            </w:r>
            <w:r>
              <w:rPr>
                <w:spacing w:val="-3"/>
              </w:rPr>
              <w:t>方法有利于政策制定和规划。</w:t>
            </w:r>
          </w:p>
          <w:p w14:paraId="77411209">
            <w:pPr>
              <w:pStyle w:val="7"/>
              <w:spacing w:line="220" w:lineRule="auto"/>
              <w:ind w:left="114"/>
            </w:pPr>
            <w:r>
              <w:rPr>
                <w:spacing w:val="-1"/>
              </w:rPr>
              <w:t>LCA</w:t>
            </w:r>
            <w:r>
              <w:rPr>
                <w:spacing w:val="-44"/>
              </w:rPr>
              <w:t xml:space="preserve"> </w:t>
            </w:r>
            <w:r>
              <w:rPr>
                <w:spacing w:val="-1"/>
              </w:rPr>
              <w:t>方法应用可分为以下四个阶段：</w:t>
            </w:r>
          </w:p>
          <w:p w14:paraId="53BE3D69">
            <w:pPr>
              <w:pStyle w:val="7"/>
              <w:spacing w:before="21" w:line="234" w:lineRule="auto"/>
              <w:ind w:left="116" w:right="104" w:firstLine="6"/>
            </w:pPr>
            <w:r>
              <w:rPr>
                <w:spacing w:val="-1"/>
              </w:rPr>
              <w:t>（1）</w:t>
            </w:r>
            <w:r>
              <w:rPr>
                <w:spacing w:val="-54"/>
              </w:rPr>
              <w:t xml:space="preserve"> </w:t>
            </w:r>
            <w:r>
              <w:rPr>
                <w:spacing w:val="-1"/>
              </w:rPr>
              <w:t>目的与范围确定：将生命周期评估研究的</w:t>
            </w:r>
            <w:r>
              <w:rPr>
                <w:spacing w:val="-4"/>
              </w:rPr>
              <w:t>目的及范围予以清楚地确定，使其与预期的应用</w:t>
            </w:r>
            <w:r>
              <w:rPr>
                <w:spacing w:val="-6"/>
              </w:rPr>
              <w:t>相一致。</w:t>
            </w:r>
          </w:p>
          <w:p w14:paraId="7EA592E9">
            <w:pPr>
              <w:pStyle w:val="7"/>
              <w:spacing w:before="19" w:line="236" w:lineRule="auto"/>
              <w:ind w:left="116" w:right="103" w:firstLine="6"/>
            </w:pPr>
            <w:r>
              <w:rPr>
                <w:spacing w:val="1"/>
              </w:rPr>
              <w:t>（2）清单分析：编制一份与研究的产品系统有</w:t>
            </w:r>
            <w:r>
              <w:rPr>
                <w:spacing w:val="-4"/>
              </w:rPr>
              <w:t>关的投入产出清单，包含资料搜集及运算，以便量化一个产品系统的投入与产出，这些投入与产出包括资源的使用及对空气、水体及土地的污染</w:t>
            </w:r>
            <w:r>
              <w:rPr>
                <w:spacing w:val="-8"/>
              </w:rPr>
              <w:t>排放等。</w:t>
            </w:r>
          </w:p>
          <w:p w14:paraId="0029873F">
            <w:pPr>
              <w:pStyle w:val="7"/>
              <w:spacing w:before="23" w:line="225" w:lineRule="auto"/>
              <w:ind w:left="121" w:right="101" w:firstLine="1"/>
            </w:pPr>
            <w:r>
              <w:rPr>
                <w:spacing w:val="1"/>
              </w:rPr>
              <w:t>（3）影响评估：针对生命周期清单分析得出的</w:t>
            </w:r>
            <w:r>
              <w:rPr>
                <w:spacing w:val="-4"/>
              </w:rPr>
              <w:t>结果，来评估与这些投入产出相关的潜在环境影</w:t>
            </w:r>
          </w:p>
        </w:tc>
        <w:tc>
          <w:tcPr>
            <w:tcW w:w="5081" w:type="dxa"/>
            <w:vAlign w:val="top"/>
          </w:tcPr>
          <w:p w14:paraId="7BF6AE36">
            <w:pPr>
              <w:pStyle w:val="7"/>
              <w:spacing w:before="31" w:line="219" w:lineRule="auto"/>
              <w:ind w:left="104"/>
            </w:pPr>
            <w:r>
              <w:rPr>
                <w:b/>
                <w:bCs/>
                <w:color w:val="EE0000"/>
                <w:spacing w:val="-2"/>
              </w:rPr>
              <w:t>【修改】P344-新增举例</w:t>
            </w:r>
          </w:p>
          <w:p w14:paraId="0022A439">
            <w:pPr>
              <w:pStyle w:val="7"/>
              <w:spacing w:before="23" w:line="221" w:lineRule="auto"/>
              <w:ind w:left="115"/>
            </w:pPr>
            <w:r>
              <w:rPr>
                <w:spacing w:val="-2"/>
              </w:rPr>
              <w:t>8.1.2</w:t>
            </w:r>
            <w:r>
              <w:rPr>
                <w:spacing w:val="-35"/>
              </w:rPr>
              <w:t xml:space="preserve"> </w:t>
            </w:r>
            <w:r>
              <w:rPr>
                <w:spacing w:val="-2"/>
              </w:rPr>
              <w:t>各方主体绿色施工职责</w:t>
            </w:r>
          </w:p>
          <w:p w14:paraId="09887CA3">
            <w:pPr>
              <w:pStyle w:val="7"/>
              <w:spacing w:before="22" w:line="221" w:lineRule="auto"/>
              <w:ind w:left="130"/>
            </w:pPr>
            <w:r>
              <w:rPr>
                <w:spacing w:val="-2"/>
              </w:rPr>
              <w:t>1.绿色施工相关理念、原则和方法</w:t>
            </w:r>
          </w:p>
          <w:p w14:paraId="0A4485F1">
            <w:pPr>
              <w:pStyle w:val="7"/>
              <w:spacing w:before="19" w:line="219" w:lineRule="auto"/>
              <w:ind w:left="118"/>
            </w:pPr>
            <w:r>
              <w:rPr>
                <w:spacing w:val="-2"/>
              </w:rPr>
              <w:t>3)生命周期评估方法</w:t>
            </w:r>
          </w:p>
          <w:p w14:paraId="6D931B7C">
            <w:pPr>
              <w:pStyle w:val="7"/>
              <w:spacing w:before="23"/>
              <w:ind w:left="115" w:right="107"/>
            </w:pPr>
            <w:r>
              <w:rPr>
                <w:spacing w:val="10"/>
              </w:rPr>
              <w:t>生命周期评估(</w:t>
            </w:r>
            <w:r>
              <w:t>LifeCycleAssessment</w:t>
            </w:r>
            <w:r>
              <w:rPr>
                <w:spacing w:val="10"/>
              </w:rPr>
              <w:t>,</w:t>
            </w:r>
            <w:r>
              <w:t>LCA</w:t>
            </w:r>
            <w:r>
              <w:rPr>
                <w:spacing w:val="10"/>
              </w:rPr>
              <w:t>)是一种</w:t>
            </w:r>
            <w:r>
              <w:t>标准化方法，通过计算和评估从原材料提取到废物</w:t>
            </w:r>
            <w:r>
              <w:rPr>
                <w:spacing w:val="5"/>
              </w:rPr>
              <w:t>处理等产品/服务生命周期各阶段的自然资源消耗</w:t>
            </w:r>
            <w:r>
              <w:t>和对环境的产出，提供了一种评估与生产过程或服</w:t>
            </w:r>
            <w:r>
              <w:rPr>
                <w:spacing w:val="-2"/>
              </w:rPr>
              <w:t>务相关的潜在环境影响方法。</w:t>
            </w:r>
          </w:p>
          <w:p w14:paraId="5B508D5F">
            <w:pPr>
              <w:pStyle w:val="7"/>
              <w:spacing w:before="4" w:line="238" w:lineRule="auto"/>
              <w:ind w:left="112" w:right="110"/>
            </w:pPr>
            <w:r>
              <w:t xml:space="preserve">LCA 方法在工程建设领域可应用于材料和产品、建造及行业管理等不同层面：①在材料和产品层面， </w:t>
            </w:r>
            <w:r>
              <w:rPr>
                <w:spacing w:val="-2"/>
              </w:rPr>
              <w:t>LCA 方法可用来指导绿色材料和产品的选择过程；</w:t>
            </w:r>
          </w:p>
          <w:p w14:paraId="1C981A58">
            <w:pPr>
              <w:pStyle w:val="7"/>
              <w:spacing w:before="3" w:line="239" w:lineRule="auto"/>
              <w:ind w:left="114" w:right="104" w:hanging="2"/>
              <w:jc w:val="both"/>
            </w:pPr>
            <w:r>
              <w:t>②在建造层面，LCA 方法可用来描述拟建项目的环境足迹，以满足法规要求和寻求环境影响最小化的</w:t>
            </w:r>
            <w:r>
              <w:rPr>
                <w:spacing w:val="-1"/>
              </w:rPr>
              <w:t>建造方案；③在行业管理层面，采用</w:t>
            </w:r>
            <w:r>
              <w:rPr>
                <w:spacing w:val="-35"/>
              </w:rPr>
              <w:t xml:space="preserve"> </w:t>
            </w:r>
            <w:r>
              <w:rPr>
                <w:spacing w:val="-1"/>
              </w:rPr>
              <w:t>LCA</w:t>
            </w:r>
            <w:r>
              <w:rPr>
                <w:spacing w:val="-33"/>
              </w:rPr>
              <w:t xml:space="preserve"> </w:t>
            </w:r>
            <w:r>
              <w:rPr>
                <w:spacing w:val="-2"/>
              </w:rPr>
              <w:t>方法有利</w:t>
            </w:r>
            <w:r>
              <w:rPr>
                <w:spacing w:val="-3"/>
              </w:rPr>
              <w:t>于政策制定和规划。</w:t>
            </w:r>
          </w:p>
          <w:p w14:paraId="3D359CF3">
            <w:pPr>
              <w:pStyle w:val="7"/>
              <w:spacing w:line="220" w:lineRule="auto"/>
              <w:ind w:left="112"/>
            </w:pPr>
            <w:r>
              <w:rPr>
                <w:spacing w:val="-1"/>
              </w:rPr>
              <w:t>LCA</w:t>
            </w:r>
            <w:r>
              <w:rPr>
                <w:spacing w:val="-44"/>
              </w:rPr>
              <w:t xml:space="preserve"> </w:t>
            </w:r>
            <w:r>
              <w:rPr>
                <w:spacing w:val="-1"/>
              </w:rPr>
              <w:t>方法应用可分为以下四个阶段：</w:t>
            </w:r>
          </w:p>
          <w:p w14:paraId="3D157FA2">
            <w:pPr>
              <w:pStyle w:val="7"/>
              <w:spacing w:before="23"/>
              <w:ind w:left="119" w:right="105" w:firstLine="33"/>
            </w:pPr>
            <w:r>
              <w:rPr>
                <w:spacing w:val="-8"/>
              </w:rPr>
              <w:t>(1)</w:t>
            </w:r>
            <w:r>
              <w:rPr>
                <w:spacing w:val="-52"/>
              </w:rPr>
              <w:t xml:space="preserve"> </w:t>
            </w:r>
            <w:r>
              <w:rPr>
                <w:spacing w:val="-8"/>
              </w:rPr>
              <w:t>目的与范围确定：将生命周期评估研究的目的及</w:t>
            </w:r>
            <w:r>
              <w:rPr>
                <w:spacing w:val="-1"/>
              </w:rPr>
              <w:t>范围予以清楚地确定，使其与预期的应用相一致。</w:t>
            </w:r>
          </w:p>
          <w:p w14:paraId="78263A44">
            <w:pPr>
              <w:pStyle w:val="7"/>
              <w:spacing w:before="1" w:line="239" w:lineRule="auto"/>
              <w:ind w:left="113" w:right="104"/>
              <w:jc w:val="both"/>
            </w:pPr>
            <w:r>
              <w:rPr>
                <w:color w:val="EE0000"/>
              </w:rPr>
              <w:t>例如，明确评估对象(如某装配式建筑施工)、系统</w:t>
            </w:r>
            <w:r>
              <w:rPr>
                <w:color w:val="EE0000"/>
                <w:spacing w:val="-3"/>
              </w:rPr>
              <w:t>边界(如是否含部品部件运输)、功能单位(如</w:t>
            </w:r>
            <w:r>
              <w:rPr>
                <w:color w:val="EE0000"/>
                <w:spacing w:val="-18"/>
              </w:rPr>
              <w:t xml:space="preserve"> </w:t>
            </w:r>
            <w:r>
              <w:rPr>
                <w:color w:val="EE0000"/>
                <w:spacing w:val="-3"/>
              </w:rPr>
              <w:t>1m²建</w:t>
            </w:r>
            <w:r>
              <w:rPr>
                <w:color w:val="EE0000"/>
              </w:rPr>
              <w:t>筑面积),对比传统现浇与装配式混凝土结构施工的</w:t>
            </w:r>
            <w:r>
              <w:rPr>
                <w:color w:val="EE0000"/>
                <w:spacing w:val="-4"/>
              </w:rPr>
              <w:t>碳排放差异。</w:t>
            </w:r>
          </w:p>
          <w:p w14:paraId="1C6D84E6">
            <w:pPr>
              <w:pStyle w:val="7"/>
              <w:spacing w:before="1" w:line="232" w:lineRule="auto"/>
              <w:ind w:left="113" w:right="46" w:firstLine="39"/>
              <w:jc w:val="both"/>
            </w:pPr>
            <w:r>
              <w:rPr>
                <w:spacing w:val="-6"/>
              </w:rPr>
              <w:t>(2)清单分析：编制一份与研究的产品系统有关的投</w:t>
            </w:r>
            <w:r>
              <w:t>入产出清单，包含资料搜集及运算，以便量化一个产品系统的投入与产出，这些投入与产出包括资源</w:t>
            </w:r>
            <w:r>
              <w:rPr>
                <w:spacing w:val="-7"/>
              </w:rPr>
              <w:t>的使用及对空气、水体及土地的污染排放等。</w:t>
            </w:r>
            <w:r>
              <w:rPr>
                <w:color w:val="EE0000"/>
                <w:spacing w:val="-7"/>
              </w:rPr>
              <w:t>例如，</w:t>
            </w:r>
          </w:p>
        </w:tc>
      </w:tr>
    </w:tbl>
    <w:p w14:paraId="6D3E2059">
      <w:pPr>
        <w:spacing w:line="175" w:lineRule="exact"/>
        <w:rPr>
          <w:rFonts w:ascii="Arial"/>
          <w:sz w:val="15"/>
        </w:rPr>
      </w:pPr>
    </w:p>
    <w:p w14:paraId="677A0C6C">
      <w:pPr>
        <w:spacing w:line="175" w:lineRule="exact"/>
        <w:rPr>
          <w:rFonts w:ascii="Arial" w:hAnsi="Arial" w:eastAsia="Arial" w:cs="Arial"/>
          <w:sz w:val="15"/>
          <w:szCs w:val="15"/>
        </w:rPr>
        <w:sectPr>
          <w:footerReference r:id="rId26"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7DDED3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8" w:hRule="atLeast"/>
        </w:trPr>
        <w:tc>
          <w:tcPr>
            <w:tcW w:w="4779" w:type="dxa"/>
            <w:vAlign w:val="top"/>
          </w:tcPr>
          <w:p w14:paraId="10DA8DCC">
            <w:pPr>
              <w:pStyle w:val="7"/>
              <w:spacing w:before="33" w:line="224" w:lineRule="auto"/>
              <w:ind w:left="127"/>
            </w:pPr>
            <w:r>
              <w:rPr>
                <w:spacing w:val="-13"/>
              </w:rPr>
              <w:t>响。</w:t>
            </w:r>
          </w:p>
          <w:p w14:paraId="0DC35263">
            <w:pPr>
              <w:pStyle w:val="7"/>
              <w:spacing w:before="18" w:line="242" w:lineRule="auto"/>
              <w:ind w:left="133" w:right="114" w:hanging="11"/>
            </w:pPr>
            <w:r>
              <w:rPr>
                <w:spacing w:val="1"/>
              </w:rPr>
              <w:t>（4）解释说明：将清单分析及环境评估所发现</w:t>
            </w:r>
            <w:r>
              <w:rPr>
                <w:spacing w:val="-3"/>
              </w:rPr>
              <w:t>的问题与研究目的相结合，得出结论与建议。</w:t>
            </w:r>
          </w:p>
        </w:tc>
        <w:tc>
          <w:tcPr>
            <w:tcW w:w="5081" w:type="dxa"/>
            <w:vAlign w:val="top"/>
          </w:tcPr>
          <w:p w14:paraId="7141C6FD">
            <w:pPr>
              <w:pStyle w:val="7"/>
              <w:spacing w:before="32"/>
              <w:ind w:left="114" w:right="106"/>
              <w:jc w:val="both"/>
            </w:pPr>
            <w:r>
              <w:rPr>
                <w:color w:val="EE0000"/>
                <w:spacing w:val="5"/>
              </w:rPr>
              <w:t>量化各阶段资源输入(如水泥用量)与环境输出(如碳排放),统计施工机械作业燃油/电力消耗与尾气</w:t>
            </w:r>
            <w:r>
              <w:rPr>
                <w:color w:val="EE0000"/>
                <w:spacing w:val="-2"/>
              </w:rPr>
              <w:t>排放数据。</w:t>
            </w:r>
          </w:p>
          <w:p w14:paraId="15692DE0">
            <w:pPr>
              <w:pStyle w:val="7"/>
              <w:spacing w:before="3" w:line="235" w:lineRule="auto"/>
              <w:ind w:left="111" w:right="43" w:firstLine="41"/>
            </w:pPr>
            <w:r>
              <w:rPr>
                <w:spacing w:val="-3"/>
              </w:rPr>
              <w:t>(3)影响评估：针对生命周期清单分析得出的结果，</w:t>
            </w:r>
            <w:r>
              <w:rPr>
                <w:spacing w:val="-6"/>
              </w:rPr>
              <w:t>来评估与这些投入产出相关的潜在环境影响。</w:t>
            </w:r>
            <w:r>
              <w:rPr>
                <w:color w:val="EE0000"/>
                <w:spacing w:val="-7"/>
              </w:rPr>
              <w:t>例如，</w:t>
            </w:r>
            <w:r>
              <w:rPr>
                <w:color w:val="EE0000"/>
                <w:spacing w:val="5"/>
              </w:rPr>
              <w:t>将清单数据转化为环境影响指标(如全球变暖潜势</w:t>
            </w:r>
            <w:r>
              <w:rPr>
                <w:color w:val="EE0000"/>
              </w:rPr>
              <w:t>GWP、酸化潜势 AP),评估建材生产对不可再生资源</w:t>
            </w:r>
            <w:r>
              <w:rPr>
                <w:color w:val="EE0000"/>
                <w:spacing w:val="-2"/>
              </w:rPr>
              <w:t>耗竭(ADP)的影响率。</w:t>
            </w:r>
          </w:p>
          <w:p w14:paraId="50B7D553">
            <w:pPr>
              <w:pStyle w:val="7"/>
              <w:spacing w:before="21" w:line="230" w:lineRule="auto"/>
              <w:ind w:left="113" w:right="105" w:firstLine="39"/>
            </w:pPr>
            <w:r>
              <w:rPr>
                <w:spacing w:val="-6"/>
              </w:rPr>
              <w:t>(4)解释说明：将清单分析及环境评估所发现的问题</w:t>
            </w:r>
            <w:r>
              <w:t>与研究目的相结合，得出结论与建议。</w:t>
            </w:r>
            <w:r>
              <w:rPr>
                <w:color w:val="EE0000"/>
              </w:rPr>
              <w:t>例如，发现</w:t>
            </w:r>
            <w:r>
              <w:rPr>
                <w:color w:val="EE0000"/>
                <w:spacing w:val="-2"/>
              </w:rPr>
              <w:t>施工能耗偏高时，可建议采用光伏临时供电。</w:t>
            </w:r>
          </w:p>
        </w:tc>
      </w:tr>
      <w:tr w14:paraId="39626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3" w:hRule="atLeast"/>
        </w:trPr>
        <w:tc>
          <w:tcPr>
            <w:tcW w:w="4779" w:type="dxa"/>
            <w:vAlign w:val="top"/>
          </w:tcPr>
          <w:p w14:paraId="78BAE3AC">
            <w:pPr>
              <w:pStyle w:val="7"/>
              <w:spacing w:before="29" w:line="220" w:lineRule="auto"/>
              <w:ind w:left="106"/>
            </w:pPr>
            <w:r>
              <w:rPr>
                <w:b/>
                <w:bCs/>
                <w:color w:val="EE0000"/>
                <w:spacing w:val="-2"/>
              </w:rPr>
              <w:t>【修改】P350</w:t>
            </w:r>
          </w:p>
          <w:p w14:paraId="347204A4">
            <w:pPr>
              <w:pStyle w:val="7"/>
              <w:spacing w:before="23" w:line="220" w:lineRule="auto"/>
              <w:ind w:left="117"/>
            </w:pPr>
            <w:r>
              <w:rPr>
                <w:spacing w:val="-2"/>
              </w:rPr>
              <w:t>8.2.1</w:t>
            </w:r>
            <w:r>
              <w:rPr>
                <w:spacing w:val="-35"/>
              </w:rPr>
              <w:t xml:space="preserve"> </w:t>
            </w:r>
            <w:r>
              <w:rPr>
                <w:spacing w:val="-2"/>
              </w:rPr>
              <w:t>施工现场文明施工要求</w:t>
            </w:r>
          </w:p>
          <w:p w14:paraId="05069EBF">
            <w:pPr>
              <w:pStyle w:val="7"/>
              <w:spacing w:before="23" w:line="220" w:lineRule="auto"/>
              <w:ind w:left="132"/>
            </w:pPr>
            <w:r>
              <w:rPr>
                <w:spacing w:val="-2"/>
              </w:rPr>
              <w:t>1.文明施工的作用及管理理念</w:t>
            </w:r>
          </w:p>
          <w:p w14:paraId="453B00FF">
            <w:pPr>
              <w:pStyle w:val="7"/>
              <w:spacing w:before="23" w:line="220" w:lineRule="auto"/>
              <w:ind w:left="119"/>
            </w:pPr>
            <w:r>
              <w:rPr>
                <w:spacing w:val="-2"/>
              </w:rPr>
              <w:t>2）文明施工管理理念</w:t>
            </w:r>
          </w:p>
          <w:p w14:paraId="33A3F0D4">
            <w:pPr>
              <w:pStyle w:val="7"/>
              <w:spacing w:before="23"/>
              <w:ind w:left="115" w:firstLine="7"/>
            </w:pPr>
            <w:r>
              <w:rPr>
                <w:spacing w:val="-4"/>
              </w:rPr>
              <w:t>（1）企业社会责任理念。企业社会责任是指企</w:t>
            </w:r>
            <w:r>
              <w:rPr>
                <w:spacing w:val="2"/>
              </w:rPr>
              <w:t xml:space="preserve"> </w:t>
            </w:r>
            <w:r>
              <w:rPr>
                <w:spacing w:val="-9"/>
              </w:rPr>
              <w:t>业在创造利润、对股东承担责任的同时，还要承</w:t>
            </w:r>
            <w:r>
              <w:rPr>
                <w:spacing w:val="3"/>
              </w:rPr>
              <w:t xml:space="preserve"> </w:t>
            </w:r>
            <w:r>
              <w:rPr>
                <w:spacing w:val="-9"/>
              </w:rPr>
              <w:t>担对股东以外的企业利益相关者的责任。企业社</w:t>
            </w:r>
            <w:r>
              <w:rPr>
                <w:spacing w:val="3"/>
              </w:rPr>
              <w:t xml:space="preserve"> </w:t>
            </w:r>
            <w:r>
              <w:rPr>
                <w:spacing w:val="-9"/>
              </w:rPr>
              <w:t>会责任是除经济责任、法律责任之外的“第三种”责任。建筑企业的社会责任表现为建筑企业在追</w:t>
            </w:r>
            <w:r>
              <w:rPr>
                <w:spacing w:val="4"/>
              </w:rPr>
              <w:t xml:space="preserve"> </w:t>
            </w:r>
            <w:r>
              <w:rPr>
                <w:spacing w:val="-9"/>
              </w:rPr>
              <w:t>求营利性目标的同时，应承担对环境、社会和其</w:t>
            </w:r>
            <w:r>
              <w:rPr>
                <w:spacing w:val="3"/>
              </w:rPr>
              <w:t xml:space="preserve"> </w:t>
            </w:r>
            <w:r>
              <w:rPr>
                <w:spacing w:val="-9"/>
              </w:rPr>
              <w:t>他利益相关者的责任或应尽的义务，文明施工是</w:t>
            </w:r>
            <w:r>
              <w:rPr>
                <w:spacing w:val="3"/>
              </w:rPr>
              <w:t xml:space="preserve"> </w:t>
            </w:r>
            <w:r>
              <w:rPr>
                <w:spacing w:val="-5"/>
              </w:rPr>
              <w:t>建筑</w:t>
            </w:r>
          </w:p>
          <w:p w14:paraId="7E583ED4">
            <w:pPr>
              <w:pStyle w:val="7"/>
              <w:spacing w:before="281" w:line="223" w:lineRule="auto"/>
              <w:ind w:left="115" w:right="104" w:firstLine="4"/>
            </w:pPr>
            <w:r>
              <w:rPr>
                <w:color w:val="EE0000"/>
                <w:spacing w:val="-4"/>
              </w:rPr>
              <w:t>企业对员工责任、业主责任、公众责任、环境资</w:t>
            </w:r>
            <w:r>
              <w:rPr>
                <w:color w:val="EE0000"/>
                <w:spacing w:val="-3"/>
              </w:rPr>
              <w:t>源责任的良好体现。</w:t>
            </w:r>
          </w:p>
        </w:tc>
        <w:tc>
          <w:tcPr>
            <w:tcW w:w="5081" w:type="dxa"/>
            <w:vAlign w:val="top"/>
          </w:tcPr>
          <w:p w14:paraId="5CCD422B">
            <w:pPr>
              <w:pStyle w:val="7"/>
              <w:spacing w:before="30" w:line="219" w:lineRule="auto"/>
              <w:ind w:left="104"/>
            </w:pPr>
            <w:r>
              <w:rPr>
                <w:b/>
                <w:bCs/>
                <w:color w:val="EE0000"/>
                <w:spacing w:val="-2"/>
              </w:rPr>
              <w:t>【修改】P353-新增举例</w:t>
            </w:r>
          </w:p>
          <w:p w14:paraId="6D55EF57">
            <w:pPr>
              <w:pStyle w:val="7"/>
              <w:spacing w:before="24" w:line="220" w:lineRule="auto"/>
              <w:ind w:left="115"/>
            </w:pPr>
            <w:r>
              <w:rPr>
                <w:spacing w:val="-2"/>
              </w:rPr>
              <w:t>8.2.1</w:t>
            </w:r>
            <w:r>
              <w:rPr>
                <w:spacing w:val="-35"/>
              </w:rPr>
              <w:t xml:space="preserve"> </w:t>
            </w:r>
            <w:r>
              <w:rPr>
                <w:spacing w:val="-2"/>
              </w:rPr>
              <w:t>施工现场文明施工要求</w:t>
            </w:r>
          </w:p>
          <w:p w14:paraId="7BF4B729">
            <w:pPr>
              <w:pStyle w:val="7"/>
              <w:spacing w:before="23" w:line="220" w:lineRule="auto"/>
              <w:ind w:left="130"/>
            </w:pPr>
            <w:r>
              <w:rPr>
                <w:spacing w:val="-2"/>
              </w:rPr>
              <w:t>1.文明施工的作用及管理理念</w:t>
            </w:r>
          </w:p>
          <w:p w14:paraId="184E17C9">
            <w:pPr>
              <w:pStyle w:val="7"/>
              <w:spacing w:before="23" w:line="220" w:lineRule="auto"/>
              <w:ind w:left="117"/>
            </w:pPr>
            <w:r>
              <w:rPr>
                <w:spacing w:val="-1"/>
              </w:rPr>
              <w:t>2)文明施工管理理念</w:t>
            </w:r>
          </w:p>
          <w:p w14:paraId="4C6C3AD3">
            <w:pPr>
              <w:pStyle w:val="7"/>
              <w:spacing w:before="17" w:line="237" w:lineRule="auto"/>
              <w:ind w:left="113" w:right="104" w:firstLine="39"/>
              <w:jc w:val="both"/>
            </w:pPr>
            <w:r>
              <w:rPr>
                <w:spacing w:val="-6"/>
              </w:rPr>
              <w:t>(1)企业社会责任理念。企业社会责任是指企业在创</w:t>
            </w:r>
            <w:r>
              <w:t>造利润、对股东承担责任的同时，还要承担对股东以外的企业利益相关者的责任。企业社会责任是除经济责任、法律责任之外的“第三种”责任。建筑企业的社会责任表现为建筑企业在追求营利性目标的同时，应承担对环境、社会和其他利益相关者的</w:t>
            </w:r>
            <w:r>
              <w:rPr>
                <w:spacing w:val="-4"/>
              </w:rPr>
              <w:t>责任或应尽的义务，文明施工是建筑</w:t>
            </w:r>
            <w:r>
              <w:rPr>
                <w:color w:val="EE0000"/>
                <w:spacing w:val="-4"/>
              </w:rPr>
              <w:t>企业对员工(如</w:t>
            </w:r>
            <w:r>
              <w:rPr>
                <w:color w:val="EE0000"/>
              </w:rPr>
              <w:t>员工职业健康安全、权益保障)、业主(如质量安全保障、合规经营)、公众(如减少施工干扰、社区共</w:t>
            </w:r>
            <w:r>
              <w:rPr>
                <w:color w:val="EE0000"/>
                <w:spacing w:val="-4"/>
              </w:rPr>
              <w:t>建)、环境资源(如生态保护、资源节约)承担责任的</w:t>
            </w:r>
            <w:r>
              <w:rPr>
                <w:color w:val="EE0000"/>
                <w:spacing w:val="-1"/>
              </w:rPr>
              <w:t>良好体现。</w:t>
            </w:r>
          </w:p>
        </w:tc>
      </w:tr>
      <w:tr w14:paraId="25DE44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7" w:hRule="atLeast"/>
        </w:trPr>
        <w:tc>
          <w:tcPr>
            <w:tcW w:w="4779" w:type="dxa"/>
            <w:vAlign w:val="top"/>
          </w:tcPr>
          <w:p w14:paraId="4956C979">
            <w:pPr>
              <w:pStyle w:val="7"/>
              <w:spacing w:before="33" w:line="220" w:lineRule="auto"/>
              <w:ind w:left="106"/>
            </w:pPr>
            <w:r>
              <w:rPr>
                <w:b/>
                <w:bCs/>
                <w:color w:val="EE0000"/>
                <w:spacing w:val="-2"/>
              </w:rPr>
              <w:t>【修改】P350</w:t>
            </w:r>
          </w:p>
          <w:p w14:paraId="39BC185C">
            <w:pPr>
              <w:pStyle w:val="7"/>
              <w:spacing w:before="23" w:line="220" w:lineRule="auto"/>
              <w:ind w:left="117"/>
            </w:pPr>
            <w:r>
              <w:rPr>
                <w:spacing w:val="-2"/>
              </w:rPr>
              <w:t>8.2.1</w:t>
            </w:r>
            <w:r>
              <w:rPr>
                <w:spacing w:val="-35"/>
              </w:rPr>
              <w:t xml:space="preserve"> </w:t>
            </w:r>
            <w:r>
              <w:rPr>
                <w:spacing w:val="-2"/>
              </w:rPr>
              <w:t>施工现场文明施工要求</w:t>
            </w:r>
          </w:p>
          <w:p w14:paraId="0D9BF272">
            <w:pPr>
              <w:pStyle w:val="7"/>
              <w:spacing w:before="21" w:line="220" w:lineRule="auto"/>
              <w:ind w:left="132"/>
            </w:pPr>
            <w:r>
              <w:rPr>
                <w:spacing w:val="-2"/>
              </w:rPr>
              <w:t>1.文明施工的作用及管理理念</w:t>
            </w:r>
          </w:p>
          <w:p w14:paraId="55D3FBC3">
            <w:pPr>
              <w:pStyle w:val="7"/>
              <w:spacing w:before="23" w:line="220" w:lineRule="auto"/>
              <w:ind w:left="119"/>
            </w:pPr>
            <w:r>
              <w:rPr>
                <w:spacing w:val="-1"/>
              </w:rPr>
              <w:t>2)文明施工管理理念</w:t>
            </w:r>
          </w:p>
          <w:p w14:paraId="65D09B0D">
            <w:pPr>
              <w:pStyle w:val="7"/>
              <w:spacing w:before="21"/>
              <w:ind w:left="117" w:right="39" w:firstLine="5"/>
              <w:jc w:val="both"/>
            </w:pPr>
            <w:r>
              <w:rPr>
                <w:color w:val="EE0000"/>
                <w:spacing w:val="1"/>
              </w:rPr>
              <w:t>（3）“8S”管理理念。文明施工作为施工现场</w:t>
            </w:r>
            <w:r>
              <w:rPr>
                <w:color w:val="EE0000"/>
                <w:spacing w:val="-10"/>
              </w:rPr>
              <w:t>管理的重要工作，应贯彻“8S”管理理念。首先，</w:t>
            </w:r>
            <w:r>
              <w:rPr>
                <w:color w:val="EE0000"/>
                <w:spacing w:val="-3"/>
              </w:rPr>
              <w:t>要对施工现场的各种要素进行整理（Seri）、整</w:t>
            </w:r>
            <w:r>
              <w:rPr>
                <w:color w:val="EE0000"/>
                <w:spacing w:val="-2"/>
              </w:rPr>
              <w:t>顿（Seiton）、清扫（Seiso）、</w:t>
            </w:r>
          </w:p>
          <w:p w14:paraId="5BC8FA2E">
            <w:pPr>
              <w:pStyle w:val="7"/>
              <w:spacing w:before="2" w:line="238" w:lineRule="auto"/>
              <w:ind w:left="117" w:right="7" w:hanging="1"/>
              <w:jc w:val="both"/>
            </w:pPr>
            <w:r>
              <w:rPr>
                <w:color w:val="EE0000"/>
                <w:spacing w:val="-9"/>
              </w:rPr>
              <w:t>清洁（Seiketsu</w:t>
            </w:r>
            <w:r>
              <w:rPr>
                <w:color w:val="EE0000"/>
                <w:spacing w:val="-53"/>
                <w:w w:val="91"/>
              </w:rPr>
              <w:t>），</w:t>
            </w:r>
            <w:r>
              <w:rPr>
                <w:color w:val="EE0000"/>
                <w:spacing w:val="-9"/>
              </w:rPr>
              <w:t>并考虑人的素养（Shi</w:t>
            </w:r>
            <w:r>
              <w:rPr>
                <w:color w:val="EE0000"/>
                <w:spacing w:val="-10"/>
              </w:rPr>
              <w:t>tsuke）。</w:t>
            </w:r>
            <w:r>
              <w:rPr>
                <w:color w:val="EE0000"/>
                <w:spacing w:val="-4"/>
              </w:rPr>
              <w:t>上述五大要素在日语中罗马发音均以“S”打头，</w:t>
            </w:r>
            <w:r>
              <w:rPr>
                <w:color w:val="EE0000"/>
                <w:spacing w:val="-3"/>
              </w:rPr>
              <w:t>故称为“5S"。在此基础上，增加安全（Sa</w:t>
            </w:r>
            <w:r>
              <w:rPr>
                <w:color w:val="EE0000"/>
                <w:spacing w:val="-4"/>
              </w:rPr>
              <w:t>fety）</w:t>
            </w:r>
          </w:p>
          <w:p w14:paraId="41F4B0AD">
            <w:pPr>
              <w:pStyle w:val="7"/>
              <w:spacing w:before="2" w:line="241" w:lineRule="auto"/>
              <w:ind w:left="115" w:right="4" w:firstLine="1"/>
              <w:jc w:val="both"/>
            </w:pPr>
            <w:r>
              <w:rPr>
                <w:color w:val="EE0000"/>
                <w:spacing w:val="-16"/>
              </w:rPr>
              <w:t>要素，即称为“6S”。之后，又增加了节约（Save）</w:t>
            </w:r>
            <w:r>
              <w:rPr>
                <w:color w:val="EE0000"/>
                <w:spacing w:val="2"/>
              </w:rPr>
              <w:t>和学习（</w:t>
            </w:r>
            <w:r>
              <w:rPr>
                <w:color w:val="EE0000"/>
              </w:rPr>
              <w:t>Study</w:t>
            </w:r>
            <w:r>
              <w:rPr>
                <w:color w:val="EE0000"/>
                <w:spacing w:val="2"/>
              </w:rPr>
              <w:t>）两大要素，即成为当今施工现</w:t>
            </w:r>
            <w:r>
              <w:rPr>
                <w:color w:val="EE0000"/>
                <w:spacing w:val="-3"/>
              </w:rPr>
              <w:t>场的“8S”管理理念。</w:t>
            </w:r>
          </w:p>
        </w:tc>
        <w:tc>
          <w:tcPr>
            <w:tcW w:w="5081" w:type="dxa"/>
            <w:vAlign w:val="top"/>
          </w:tcPr>
          <w:p w14:paraId="52419744">
            <w:pPr>
              <w:pStyle w:val="7"/>
              <w:spacing w:before="33" w:line="220" w:lineRule="auto"/>
              <w:ind w:left="104"/>
            </w:pPr>
            <w:r>
              <w:rPr>
                <w:b/>
                <w:bCs/>
                <w:color w:val="EE0000"/>
                <w:spacing w:val="-2"/>
              </w:rPr>
              <w:t>【修改】P354</w:t>
            </w:r>
          </w:p>
          <w:p w14:paraId="5649A74B">
            <w:pPr>
              <w:pStyle w:val="7"/>
              <w:spacing w:before="23" w:line="220" w:lineRule="auto"/>
              <w:ind w:left="115"/>
            </w:pPr>
            <w:r>
              <w:rPr>
                <w:spacing w:val="-2"/>
              </w:rPr>
              <w:t>8.2.1</w:t>
            </w:r>
            <w:r>
              <w:rPr>
                <w:spacing w:val="-35"/>
              </w:rPr>
              <w:t xml:space="preserve"> </w:t>
            </w:r>
            <w:r>
              <w:rPr>
                <w:spacing w:val="-2"/>
              </w:rPr>
              <w:t>施工现场文明施工要求</w:t>
            </w:r>
          </w:p>
          <w:p w14:paraId="5A10F77C">
            <w:pPr>
              <w:pStyle w:val="7"/>
              <w:spacing w:before="21" w:line="220" w:lineRule="auto"/>
              <w:ind w:left="130"/>
            </w:pPr>
            <w:r>
              <w:rPr>
                <w:spacing w:val="-2"/>
              </w:rPr>
              <w:t>1.文明施工的作用及管理理念</w:t>
            </w:r>
          </w:p>
          <w:p w14:paraId="4AF45BF7">
            <w:pPr>
              <w:pStyle w:val="7"/>
              <w:spacing w:before="23" w:line="220" w:lineRule="auto"/>
              <w:ind w:left="117"/>
            </w:pPr>
            <w:r>
              <w:rPr>
                <w:spacing w:val="-1"/>
              </w:rPr>
              <w:t>2)文明施工管理理念</w:t>
            </w:r>
          </w:p>
          <w:p w14:paraId="7EEE2315">
            <w:pPr>
              <w:pStyle w:val="7"/>
              <w:spacing w:before="24" w:line="238" w:lineRule="auto"/>
              <w:ind w:left="99" w:right="46" w:firstLine="53"/>
              <w:jc w:val="both"/>
            </w:pPr>
            <w:r>
              <w:rPr>
                <w:color w:val="EE0000"/>
                <w:spacing w:val="-6"/>
              </w:rPr>
              <w:t>(3)“8S”管理理念。文明施工作为施工现场管理的</w:t>
            </w:r>
            <w:r>
              <w:rPr>
                <w:color w:val="EE0000"/>
                <w:spacing w:val="1"/>
              </w:rPr>
              <w:t>重要工作，应贯彻“8S”管理理念。首先，要对施</w:t>
            </w:r>
            <w:r>
              <w:rPr>
                <w:color w:val="EE0000"/>
                <w:spacing w:val="6"/>
              </w:rPr>
              <w:t>工现场的各种要素进行整理(</w:t>
            </w:r>
            <w:r>
              <w:rPr>
                <w:color w:val="EE0000"/>
              </w:rPr>
              <w:t>Seiri</w:t>
            </w:r>
            <w:r>
              <w:rPr>
                <w:color w:val="EE0000"/>
                <w:spacing w:val="6"/>
              </w:rPr>
              <w:t>,区分必要与冗</w:t>
            </w:r>
            <w:r>
              <w:rPr>
                <w:color w:val="EE0000"/>
                <w:spacing w:val="1"/>
              </w:rPr>
              <w:t>余，如清除施工现场无用物品、减少废弃物与污染</w:t>
            </w:r>
            <w:r>
              <w:rPr>
                <w:color w:val="EE0000"/>
                <w:spacing w:val="-11"/>
              </w:rPr>
              <w:t>源等)、整顿(Seiton,科学定置定位，如工具设备“三</w:t>
            </w:r>
            <w:r>
              <w:rPr>
                <w:color w:val="EE0000"/>
                <w:spacing w:val="-4"/>
              </w:rPr>
              <w:t>定管理”,即定点、定容、定量；采用色标管理；分</w:t>
            </w:r>
            <w:r>
              <w:rPr>
                <w:color w:val="EE0000"/>
                <w:spacing w:val="1"/>
              </w:rPr>
              <w:t>类存放材料等)、清扫(</w:t>
            </w:r>
            <w:r>
              <w:rPr>
                <w:color w:val="EE0000"/>
              </w:rPr>
              <w:t>Seiso</w:t>
            </w:r>
            <w:r>
              <w:rPr>
                <w:color w:val="EE0000"/>
                <w:spacing w:val="1"/>
              </w:rPr>
              <w:t>,保持现场洁净，如每</w:t>
            </w:r>
            <w:r>
              <w:rPr>
                <w:color w:val="EE0000"/>
                <w:spacing w:val="20"/>
              </w:rPr>
              <w:t>日清理施工粉尘</w:t>
            </w:r>
            <w:r>
              <w:rPr>
                <w:color w:val="EE0000"/>
                <w:spacing w:val="-49"/>
              </w:rPr>
              <w:t xml:space="preserve"> </w:t>
            </w:r>
            <w:r>
              <w:rPr>
                <w:color w:val="EE0000"/>
                <w:spacing w:val="20"/>
              </w:rPr>
              <w:t>、积水</w:t>
            </w:r>
            <w:r>
              <w:rPr>
                <w:color w:val="EE0000"/>
                <w:spacing w:val="-54"/>
              </w:rPr>
              <w:t xml:space="preserve"> </w:t>
            </w:r>
            <w:r>
              <w:rPr>
                <w:color w:val="EE0000"/>
                <w:spacing w:val="20"/>
              </w:rPr>
              <w:t>，</w:t>
            </w:r>
            <w:r>
              <w:rPr>
                <w:color w:val="EE0000"/>
                <w:spacing w:val="-56"/>
              </w:rPr>
              <w:t xml:space="preserve"> </w:t>
            </w:r>
            <w:r>
              <w:rPr>
                <w:color w:val="EE0000"/>
                <w:spacing w:val="20"/>
              </w:rPr>
              <w:t>防止扬尘等)、清洁</w:t>
            </w:r>
            <w:r>
              <w:rPr>
                <w:color w:val="EE0000"/>
                <w:spacing w:val="1"/>
              </w:rPr>
              <w:t>(</w:t>
            </w:r>
            <w:r>
              <w:rPr>
                <w:color w:val="EE0000"/>
              </w:rPr>
              <w:t>Seiketsu</w:t>
            </w:r>
            <w:r>
              <w:rPr>
                <w:color w:val="EE0000"/>
                <w:spacing w:val="1"/>
              </w:rPr>
              <w:t>,标准化维持，如统一废弃物分类容器，设置四色垃圾桶等),并考虑人的素养(</w:t>
            </w:r>
            <w:r>
              <w:rPr>
                <w:color w:val="EE0000"/>
              </w:rPr>
              <w:t>Shitsuke</w:t>
            </w:r>
            <w:r>
              <w:rPr>
                <w:color w:val="EE0000"/>
                <w:spacing w:val="1"/>
              </w:rPr>
              <w:t>,培养行为习惯，如培养工人正确佩戴防护用品、“人</w:t>
            </w:r>
            <w:r>
              <w:rPr>
                <w:color w:val="EE0000"/>
                <w:spacing w:val="-4"/>
              </w:rPr>
              <w:t>走场清”绿色习惯等)。上述五大要素在日语中罗马</w:t>
            </w:r>
            <w:r>
              <w:rPr>
                <w:color w:val="EE0000"/>
                <w:spacing w:val="-1"/>
              </w:rPr>
              <w:t>发音均以“S”打头，故称为“5S”。在此基础上，</w:t>
            </w:r>
            <w:r>
              <w:rPr>
                <w:color w:val="EE0000"/>
                <w:spacing w:val="1"/>
              </w:rPr>
              <w:t>增加了安全(</w:t>
            </w:r>
            <w:r>
              <w:rPr>
                <w:color w:val="EE0000"/>
              </w:rPr>
              <w:t>Safety</w:t>
            </w:r>
            <w:r>
              <w:rPr>
                <w:color w:val="EE0000"/>
                <w:spacing w:val="1"/>
              </w:rPr>
              <w:t>,风险预控，如高风险作业“上</w:t>
            </w:r>
            <w:r>
              <w:rPr>
                <w:color w:val="EE0000"/>
                <w:spacing w:val="6"/>
              </w:rPr>
              <w:t>锁挂牌”制度，应急演练常态化等)要素，即称为</w:t>
            </w:r>
            <w:r>
              <w:rPr>
                <w:color w:val="EE0000"/>
                <w:spacing w:val="-5"/>
              </w:rPr>
              <w:t>“6S”。之后，又增加了节约(Save,资源节约利用，</w:t>
            </w:r>
            <w:r>
              <w:rPr>
                <w:color w:val="EE0000"/>
                <w:spacing w:val="1"/>
              </w:rPr>
              <w:t>如采用节水工艺、节能设备，提高资源回收率，降低能耗等)和学习(</w:t>
            </w:r>
            <w:r>
              <w:rPr>
                <w:color w:val="EE0000"/>
              </w:rPr>
              <w:t>Study</w:t>
            </w:r>
            <w:r>
              <w:rPr>
                <w:color w:val="EE0000"/>
                <w:spacing w:val="1"/>
              </w:rPr>
              <w:t>,持续改进，如推广优秀班组经验，对标行业标杆，掌握先进管理理念和先进</w:t>
            </w:r>
            <w:r>
              <w:rPr>
                <w:color w:val="EE0000"/>
                <w:spacing w:val="-3"/>
              </w:rPr>
              <w:t>技术等)两大要素，即成为当今施工现场的“8S”管</w:t>
            </w:r>
          </w:p>
        </w:tc>
      </w:tr>
    </w:tbl>
    <w:p w14:paraId="5D90A198">
      <w:pPr>
        <w:spacing w:line="165" w:lineRule="exact"/>
        <w:rPr>
          <w:rFonts w:ascii="Arial"/>
          <w:sz w:val="14"/>
        </w:rPr>
      </w:pPr>
    </w:p>
    <w:p w14:paraId="1BFB32E1">
      <w:pPr>
        <w:spacing w:line="165" w:lineRule="exact"/>
        <w:rPr>
          <w:rFonts w:ascii="Arial" w:hAnsi="Arial" w:eastAsia="Arial" w:cs="Arial"/>
          <w:sz w:val="14"/>
          <w:szCs w:val="14"/>
        </w:rPr>
        <w:sectPr>
          <w:footerReference r:id="rId27"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31435C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779" w:type="dxa"/>
            <w:vAlign w:val="top"/>
          </w:tcPr>
          <w:p w14:paraId="0448550D">
            <w:pPr>
              <w:rPr>
                <w:rFonts w:ascii="Arial"/>
                <w:sz w:val="21"/>
              </w:rPr>
            </w:pPr>
          </w:p>
        </w:tc>
        <w:tc>
          <w:tcPr>
            <w:tcW w:w="5081" w:type="dxa"/>
            <w:vAlign w:val="top"/>
          </w:tcPr>
          <w:p w14:paraId="7277B670">
            <w:pPr>
              <w:pStyle w:val="7"/>
              <w:spacing w:before="33" w:line="211" w:lineRule="auto"/>
              <w:ind w:left="117"/>
            </w:pPr>
            <w:r>
              <w:rPr>
                <w:color w:val="EE0000"/>
                <w:spacing w:val="-8"/>
              </w:rPr>
              <w:t>理理念。</w:t>
            </w:r>
          </w:p>
        </w:tc>
      </w:tr>
      <w:tr w14:paraId="4FE16F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9" w:hRule="atLeast"/>
        </w:trPr>
        <w:tc>
          <w:tcPr>
            <w:tcW w:w="4779" w:type="dxa"/>
            <w:vAlign w:val="top"/>
          </w:tcPr>
          <w:p w14:paraId="4625CCBB">
            <w:pPr>
              <w:pStyle w:val="7"/>
              <w:spacing w:before="65" w:line="182" w:lineRule="auto"/>
              <w:ind w:left="112"/>
            </w:pPr>
            <w:r>
              <w:rPr>
                <w:b/>
                <w:bCs/>
                <w:color w:val="EE0000"/>
                <w:spacing w:val="-3"/>
              </w:rPr>
              <w:t>P352</w:t>
            </w:r>
          </w:p>
          <w:p w14:paraId="249EEF5A">
            <w:pPr>
              <w:pStyle w:val="7"/>
              <w:spacing w:before="32" w:line="221" w:lineRule="auto"/>
              <w:ind w:left="117"/>
            </w:pPr>
            <w:r>
              <w:rPr>
                <w:spacing w:val="-2"/>
              </w:rPr>
              <w:t>8.2.2</w:t>
            </w:r>
            <w:r>
              <w:rPr>
                <w:spacing w:val="-35"/>
              </w:rPr>
              <w:t xml:space="preserve"> </w:t>
            </w:r>
            <w:r>
              <w:rPr>
                <w:spacing w:val="-2"/>
              </w:rPr>
              <w:t>施工现场环境保护措施</w:t>
            </w:r>
          </w:p>
          <w:p w14:paraId="14CE2677">
            <w:pPr>
              <w:pStyle w:val="7"/>
              <w:spacing w:before="19"/>
              <w:ind w:left="113" w:right="76" w:firstLine="3"/>
            </w:pPr>
            <w:r>
              <w:rPr>
                <w:spacing w:val="7"/>
              </w:rPr>
              <w:t>制定和实施施工现场环境保护措施是施工管理</w:t>
            </w:r>
            <w:r>
              <w:rPr>
                <w:spacing w:val="-3"/>
              </w:rPr>
              <w:t>的重要工作内容，我国相关法律法规及标准等均</w:t>
            </w:r>
            <w:r>
              <w:rPr>
                <w:spacing w:val="-2"/>
              </w:rPr>
              <w:t>不同程度地明确规定了施工现场环境保护措施，形成了较为完整的施工现场环境保护措施体系。</w:t>
            </w:r>
            <w:r>
              <w:rPr>
                <w:spacing w:val="6"/>
              </w:rPr>
              <w:t>施工现场环境保护的具体措施已在本章 8.1.3</w:t>
            </w:r>
            <w:r>
              <w:rPr>
                <w:spacing w:val="-3"/>
              </w:rPr>
              <w:t>详细阐述，此处不再赘述。这里仅根据国家</w:t>
            </w:r>
            <w:r>
              <w:rPr>
                <w:spacing w:val="-4"/>
              </w:rPr>
              <w:t>标准</w:t>
            </w:r>
            <w:r>
              <w:rPr>
                <w:spacing w:val="43"/>
              </w:rPr>
              <w:t>《建筑与市政工程绿</w:t>
            </w:r>
            <w:r>
              <w:rPr>
                <w:spacing w:val="-35"/>
              </w:rPr>
              <w:t xml:space="preserve"> </w:t>
            </w:r>
            <w:r>
              <w:rPr>
                <w:spacing w:val="43"/>
              </w:rPr>
              <w:t>色施工评价标准》</w:t>
            </w:r>
            <w:r>
              <w:t xml:space="preserve"> </w:t>
            </w:r>
            <w:r>
              <w:rPr>
                <w:spacing w:val="-2"/>
              </w:rPr>
              <w:t>GB/T50640—2023,从绿色施</w:t>
            </w:r>
            <w:r>
              <w:rPr>
                <w:spacing w:val="-3"/>
              </w:rPr>
              <w:t>工评价角度，摘要介</w:t>
            </w:r>
            <w:r>
              <w:rPr>
                <w:spacing w:val="-2"/>
              </w:rPr>
              <w:t>绍施工现场应采取的环境保护措施要求。</w:t>
            </w:r>
          </w:p>
        </w:tc>
        <w:tc>
          <w:tcPr>
            <w:tcW w:w="5081" w:type="dxa"/>
            <w:vAlign w:val="top"/>
          </w:tcPr>
          <w:p w14:paraId="45BEBE05">
            <w:pPr>
              <w:pStyle w:val="7"/>
              <w:spacing w:before="28" w:line="221" w:lineRule="auto"/>
              <w:ind w:left="104"/>
            </w:pPr>
            <w:r>
              <w:rPr>
                <w:b/>
                <w:bCs/>
                <w:color w:val="EE0000"/>
                <w:spacing w:val="-2"/>
              </w:rPr>
              <w:t>【新增】P356</w:t>
            </w:r>
          </w:p>
          <w:p w14:paraId="5A3FF09D">
            <w:pPr>
              <w:pStyle w:val="7"/>
              <w:spacing w:before="22" w:line="221" w:lineRule="auto"/>
              <w:ind w:left="115"/>
            </w:pPr>
            <w:r>
              <w:rPr>
                <w:spacing w:val="-2"/>
              </w:rPr>
              <w:t>8.2.2</w:t>
            </w:r>
            <w:r>
              <w:rPr>
                <w:spacing w:val="-35"/>
              </w:rPr>
              <w:t xml:space="preserve"> </w:t>
            </w:r>
            <w:r>
              <w:rPr>
                <w:spacing w:val="-2"/>
              </w:rPr>
              <w:t>施工现场环境保护措施</w:t>
            </w:r>
          </w:p>
          <w:p w14:paraId="1D13CEF7">
            <w:pPr>
              <w:pStyle w:val="7"/>
              <w:spacing w:before="27" w:line="239" w:lineRule="auto"/>
              <w:ind w:left="113" w:right="104" w:firstLine="1"/>
            </w:pPr>
            <w:r>
              <w:t>制定和实施施工现场环境保护措施是施工管理的重要工作内容，我国相关法律法规及标准等均不同程度地明确规定了施工现场环境保护措施，形成了较为完整的施工现场环境保护措施体系。施工现场环</w:t>
            </w:r>
            <w:r>
              <w:rPr>
                <w:spacing w:val="-2"/>
              </w:rPr>
              <w:t>境保护的具体措施已在本章</w:t>
            </w:r>
            <w:r>
              <w:rPr>
                <w:spacing w:val="-24"/>
              </w:rPr>
              <w:t xml:space="preserve"> </w:t>
            </w:r>
            <w:r>
              <w:rPr>
                <w:spacing w:val="-2"/>
              </w:rPr>
              <w:t>8.1.3</w:t>
            </w:r>
            <w:r>
              <w:rPr>
                <w:spacing w:val="-32"/>
              </w:rPr>
              <w:t xml:space="preserve"> </w:t>
            </w:r>
            <w:r>
              <w:rPr>
                <w:spacing w:val="-2"/>
              </w:rPr>
              <w:t>详细阐述，此处</w:t>
            </w:r>
            <w:r>
              <w:t>不再赘述。这里仅根据国家标准《建筑与市政工程绿色施工评价标准》GB/T50640—2023,从绿色施工评价角度，摘要介绍施工现场应采取的环境保护措</w:t>
            </w:r>
            <w:r>
              <w:rPr>
                <w:spacing w:val="-7"/>
              </w:rPr>
              <w:t>施要求。</w:t>
            </w:r>
          </w:p>
          <w:p w14:paraId="0ACE9B4F">
            <w:pPr>
              <w:pStyle w:val="7"/>
              <w:spacing w:before="2" w:line="229" w:lineRule="auto"/>
              <w:ind w:left="113" w:right="110"/>
              <w:jc w:val="both"/>
            </w:pPr>
            <w:r>
              <w:rPr>
                <w:color w:val="EE0000"/>
              </w:rPr>
              <w:t>施工现场环境保护评价由控制项、一般项和优选项三类指标组成，评价等级分为不合格、合格和优良</w:t>
            </w:r>
            <w:r>
              <w:rPr>
                <w:color w:val="EE0000"/>
                <w:spacing w:val="-2"/>
              </w:rPr>
              <w:t>三个等级。</w:t>
            </w:r>
          </w:p>
        </w:tc>
      </w:tr>
      <w:tr w14:paraId="785F41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779" w:type="dxa"/>
            <w:shd w:val="clear" w:color="auto" w:fill="FFFF00"/>
            <w:vAlign w:val="top"/>
          </w:tcPr>
          <w:p w14:paraId="657069D4">
            <w:pPr>
              <w:pStyle w:val="7"/>
              <w:spacing w:before="30" w:line="209" w:lineRule="auto"/>
              <w:ind w:left="1124"/>
            </w:pPr>
            <w:r>
              <w:rPr>
                <w:b/>
                <w:bCs/>
                <w:spacing w:val="-8"/>
              </w:rPr>
              <w:t>第</w:t>
            </w:r>
            <w:r>
              <w:rPr>
                <w:spacing w:val="-38"/>
              </w:rPr>
              <w:t xml:space="preserve"> </w:t>
            </w:r>
            <w:r>
              <w:rPr>
                <w:b/>
                <w:bCs/>
                <w:spacing w:val="-8"/>
              </w:rPr>
              <w:t>9</w:t>
            </w:r>
            <w:r>
              <w:rPr>
                <w:spacing w:val="-39"/>
              </w:rPr>
              <w:t xml:space="preserve"> </w:t>
            </w:r>
            <w:r>
              <w:rPr>
                <w:b/>
                <w:bCs/>
                <w:spacing w:val="-8"/>
              </w:rPr>
              <w:t>章</w:t>
            </w:r>
            <w:r>
              <w:rPr>
                <w:spacing w:val="31"/>
              </w:rPr>
              <w:t xml:space="preserve"> </w:t>
            </w:r>
            <w:r>
              <w:rPr>
                <w:b/>
                <w:bCs/>
                <w:spacing w:val="-8"/>
              </w:rPr>
              <w:t>国际工程承包管理</w:t>
            </w:r>
          </w:p>
        </w:tc>
        <w:tc>
          <w:tcPr>
            <w:tcW w:w="5081" w:type="dxa"/>
            <w:shd w:val="clear" w:color="auto" w:fill="FFFF00"/>
            <w:vAlign w:val="top"/>
          </w:tcPr>
          <w:p w14:paraId="6D0869A1">
            <w:pPr>
              <w:pStyle w:val="7"/>
              <w:spacing w:before="30" w:line="209" w:lineRule="auto"/>
              <w:ind w:left="1274"/>
            </w:pPr>
            <w:r>
              <w:rPr>
                <w:b/>
                <w:bCs/>
                <w:spacing w:val="-8"/>
              </w:rPr>
              <w:t>第</w:t>
            </w:r>
            <w:r>
              <w:rPr>
                <w:spacing w:val="-38"/>
              </w:rPr>
              <w:t xml:space="preserve"> </w:t>
            </w:r>
            <w:r>
              <w:rPr>
                <w:b/>
                <w:bCs/>
                <w:spacing w:val="-8"/>
              </w:rPr>
              <w:t>9</w:t>
            </w:r>
            <w:r>
              <w:rPr>
                <w:spacing w:val="-39"/>
              </w:rPr>
              <w:t xml:space="preserve"> </w:t>
            </w:r>
            <w:r>
              <w:rPr>
                <w:b/>
                <w:bCs/>
                <w:spacing w:val="-8"/>
              </w:rPr>
              <w:t>章</w:t>
            </w:r>
            <w:r>
              <w:rPr>
                <w:spacing w:val="31"/>
              </w:rPr>
              <w:t xml:space="preserve"> </w:t>
            </w:r>
            <w:r>
              <w:rPr>
                <w:b/>
                <w:bCs/>
                <w:spacing w:val="-8"/>
              </w:rPr>
              <w:t>国际工程承包管理</w:t>
            </w:r>
          </w:p>
        </w:tc>
      </w:tr>
      <w:tr w14:paraId="73A992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8" w:hRule="atLeast"/>
        </w:trPr>
        <w:tc>
          <w:tcPr>
            <w:tcW w:w="4779" w:type="dxa"/>
            <w:vAlign w:val="top"/>
          </w:tcPr>
          <w:p w14:paraId="7518E74D">
            <w:pPr>
              <w:rPr>
                <w:rFonts w:ascii="Arial"/>
                <w:sz w:val="21"/>
              </w:rPr>
            </w:pPr>
          </w:p>
        </w:tc>
        <w:tc>
          <w:tcPr>
            <w:tcW w:w="5081" w:type="dxa"/>
            <w:vAlign w:val="top"/>
          </w:tcPr>
          <w:p w14:paraId="2D1FB0B7">
            <w:pPr>
              <w:pStyle w:val="7"/>
              <w:spacing w:before="31" w:line="221" w:lineRule="auto"/>
              <w:ind w:left="104"/>
            </w:pPr>
            <w:r>
              <w:rPr>
                <w:b/>
                <w:bCs/>
                <w:color w:val="EE0000"/>
                <w:spacing w:val="-2"/>
              </w:rPr>
              <w:t>【新增】P365</w:t>
            </w:r>
          </w:p>
          <w:p w14:paraId="6103FCF0">
            <w:pPr>
              <w:pStyle w:val="7"/>
              <w:spacing w:before="22" w:line="220" w:lineRule="auto"/>
              <w:ind w:left="115"/>
            </w:pPr>
            <w:r>
              <w:rPr>
                <w:spacing w:val="-3"/>
              </w:rPr>
              <w:t>9.1.1</w:t>
            </w:r>
            <w:r>
              <w:rPr>
                <w:spacing w:val="-20"/>
              </w:rPr>
              <w:t xml:space="preserve"> </w:t>
            </w:r>
            <w:r>
              <w:rPr>
                <w:spacing w:val="-3"/>
              </w:rPr>
              <w:t>国际工程承包相关政策</w:t>
            </w:r>
          </w:p>
          <w:p w14:paraId="4C69F9BC">
            <w:pPr>
              <w:pStyle w:val="7"/>
              <w:spacing w:before="23" w:line="220" w:lineRule="auto"/>
              <w:ind w:left="119"/>
            </w:pPr>
            <w:r>
              <w:rPr>
                <w:color w:val="EE0000"/>
                <w:spacing w:val="-1"/>
              </w:rPr>
              <w:t>7.境外可持续基础设施项目实施指引</w:t>
            </w:r>
          </w:p>
          <w:p w14:paraId="22FC64C3">
            <w:pPr>
              <w:pStyle w:val="7"/>
              <w:spacing w:before="24" w:line="239" w:lineRule="auto"/>
              <w:ind w:left="117" w:right="105"/>
            </w:pPr>
            <w:r>
              <w:rPr>
                <w:color w:val="EE0000"/>
                <w:spacing w:val="-5"/>
              </w:rPr>
              <w:t>商务部于</w:t>
            </w:r>
            <w:r>
              <w:rPr>
                <w:color w:val="EE0000"/>
                <w:spacing w:val="-44"/>
              </w:rPr>
              <w:t xml:space="preserve"> </w:t>
            </w:r>
            <w:r>
              <w:rPr>
                <w:color w:val="EE0000"/>
                <w:spacing w:val="-5"/>
              </w:rPr>
              <w:t>2025</w:t>
            </w:r>
            <w:r>
              <w:rPr>
                <w:color w:val="EE0000"/>
                <w:spacing w:val="-45"/>
              </w:rPr>
              <w:t xml:space="preserve"> </w:t>
            </w:r>
            <w:r>
              <w:rPr>
                <w:color w:val="EE0000"/>
                <w:spacing w:val="-5"/>
              </w:rPr>
              <w:t>年发布外经贸行业标准《中国企业境</w:t>
            </w:r>
            <w:r>
              <w:rPr>
                <w:color w:val="EE0000"/>
              </w:rPr>
              <w:t>外可持续基础设施项目实施指引》WM/T11—2025。</w:t>
            </w:r>
            <w:r>
              <w:rPr>
                <w:color w:val="EE0000"/>
                <w:spacing w:val="10"/>
              </w:rPr>
              <w:t>该标准适用于中国企业在境外参与的基础设施项</w:t>
            </w:r>
            <w:r>
              <w:rPr>
                <w:color w:val="EE0000"/>
              </w:rPr>
              <w:t>目，内容包括项目实施的基本原则、实施框架及规</w:t>
            </w:r>
            <w:r>
              <w:rPr>
                <w:color w:val="EE0000"/>
                <w:spacing w:val="-11"/>
              </w:rPr>
              <w:t>范。</w:t>
            </w:r>
          </w:p>
          <w:p w14:paraId="54C39FB6">
            <w:pPr>
              <w:pStyle w:val="7"/>
              <w:spacing w:line="219" w:lineRule="auto"/>
              <w:ind w:left="130"/>
            </w:pPr>
            <w:r>
              <w:rPr>
                <w:color w:val="EE0000"/>
                <w:spacing w:val="-2"/>
              </w:rPr>
              <w:t>1)项目实施的基本原则</w:t>
            </w:r>
          </w:p>
          <w:p w14:paraId="43923182">
            <w:pPr>
              <w:pStyle w:val="7"/>
              <w:spacing w:before="25" w:line="230" w:lineRule="auto"/>
              <w:ind w:left="115" w:right="105" w:firstLine="37"/>
            </w:pPr>
            <w:r>
              <w:rPr>
                <w:color w:val="EE0000"/>
                <w:spacing w:val="-6"/>
              </w:rPr>
              <w:t>(1)考虑相关方诉求。基础设施项目宜考虑相关方的</w:t>
            </w:r>
            <w:r>
              <w:rPr>
                <w:color w:val="EE0000"/>
                <w:spacing w:val="-1"/>
              </w:rPr>
              <w:t>利益和诉求，同时规避环境风险，保护生态系统。</w:t>
            </w:r>
          </w:p>
          <w:p w14:paraId="47C36F66">
            <w:pPr>
              <w:pStyle w:val="7"/>
              <w:spacing w:before="21" w:line="233" w:lineRule="auto"/>
              <w:ind w:left="116" w:right="109" w:firstLine="37"/>
            </w:pPr>
            <w:r>
              <w:rPr>
                <w:color w:val="EE0000"/>
                <w:spacing w:val="3"/>
              </w:rPr>
              <w:t>(2)关注全生命周期。在基础设施项目全生命周期</w:t>
            </w:r>
            <w:r>
              <w:rPr>
                <w:color w:val="EE0000"/>
              </w:rPr>
              <w:t>中，即在投融资、规划、设计、建设、运营、废止</w:t>
            </w:r>
            <w:r>
              <w:rPr>
                <w:color w:val="EE0000"/>
                <w:spacing w:val="-3"/>
              </w:rPr>
              <w:t>等各阶段贯彻可持续发展理念。</w:t>
            </w:r>
          </w:p>
          <w:p w14:paraId="797E5E86">
            <w:pPr>
              <w:pStyle w:val="7"/>
              <w:spacing w:before="22" w:line="236" w:lineRule="auto"/>
              <w:ind w:left="114" w:right="105" w:firstLine="38"/>
            </w:pPr>
            <w:r>
              <w:rPr>
                <w:color w:val="EE0000"/>
                <w:spacing w:val="-6"/>
              </w:rPr>
              <w:t>(3)增强韧性和适应性。基础设施项目既满足近期生</w:t>
            </w:r>
            <w:r>
              <w:rPr>
                <w:color w:val="EE0000"/>
              </w:rPr>
              <w:t>产生活需求，又对长期经济环境、社会需求、自然</w:t>
            </w:r>
            <w:r>
              <w:rPr>
                <w:color w:val="EE0000"/>
                <w:spacing w:val="-1"/>
              </w:rPr>
              <w:t>灾害、气候条件等变化具有一定的韧性和适应性。</w:t>
            </w:r>
            <w:r>
              <w:rPr>
                <w:color w:val="EE0000"/>
                <w:spacing w:val="10"/>
              </w:rPr>
              <w:t>企业在面临突发情况或危机事件时能迅速有效处</w:t>
            </w:r>
            <w:r>
              <w:rPr>
                <w:color w:val="EE0000"/>
                <w:spacing w:val="-2"/>
              </w:rPr>
              <w:t>理，在最短时间内恢复项目的正常运行。</w:t>
            </w:r>
          </w:p>
          <w:p w14:paraId="7EEA406C">
            <w:pPr>
              <w:pStyle w:val="7"/>
              <w:spacing w:before="22" w:line="230" w:lineRule="auto"/>
              <w:ind w:left="113" w:right="30" w:firstLine="39"/>
            </w:pPr>
            <w:r>
              <w:rPr>
                <w:color w:val="EE0000"/>
                <w:spacing w:val="-6"/>
              </w:rPr>
              <w:t>(4)提高信息透明度。企业宜及时、充分披露基础设施项目在经济、社会、环境和治理维度的相关信息。</w:t>
            </w:r>
          </w:p>
          <w:p w14:paraId="6633AA93">
            <w:pPr>
              <w:pStyle w:val="7"/>
              <w:spacing w:before="24" w:line="220" w:lineRule="auto"/>
              <w:ind w:left="117"/>
            </w:pPr>
            <w:r>
              <w:rPr>
                <w:color w:val="EE0000"/>
                <w:spacing w:val="-1"/>
              </w:rPr>
              <w:t>2)项目实施框架及规范</w:t>
            </w:r>
          </w:p>
          <w:p w14:paraId="685ACAAB">
            <w:pPr>
              <w:pStyle w:val="7"/>
              <w:spacing w:before="20" w:line="236" w:lineRule="auto"/>
              <w:ind w:left="114" w:right="105" w:firstLine="38"/>
            </w:pPr>
            <w:r>
              <w:rPr>
                <w:color w:val="EE0000"/>
                <w:spacing w:val="-6"/>
              </w:rPr>
              <w:t>(1)经济可持续。经济可持续是基础设施项目建设与</w:t>
            </w:r>
            <w:r>
              <w:rPr>
                <w:color w:val="EE0000"/>
              </w:rPr>
              <w:t>持续运营的基础，企业应通过经营活动确保项目的财务稳健，达到预期投资回报率，同时使项目与当地产业融合发展，拉动当地经济发展。经济可持续</w:t>
            </w:r>
            <w:r>
              <w:rPr>
                <w:color w:val="EE0000"/>
                <w:spacing w:val="-1"/>
              </w:rPr>
              <w:t>规范包括项目财务绩效、宏观经济效应两个方面。</w:t>
            </w:r>
          </w:p>
          <w:p w14:paraId="1BAFCBE6">
            <w:pPr>
              <w:pStyle w:val="7"/>
              <w:spacing w:before="25" w:line="235" w:lineRule="auto"/>
              <w:ind w:left="113" w:right="29" w:firstLine="39"/>
            </w:pPr>
            <w:r>
              <w:rPr>
                <w:color w:val="EE0000"/>
                <w:spacing w:val="-6"/>
              </w:rPr>
              <w:t>(2)社会可持续。社会可持续是基础设施项目实现功</w:t>
            </w:r>
            <w:r>
              <w:rPr>
                <w:color w:val="EE0000"/>
                <w:spacing w:val="-1"/>
              </w:rPr>
              <w:t>能的基本要求，体现在项目与利益相关方的关系。</w:t>
            </w:r>
            <w:r>
              <w:rPr>
                <w:color w:val="EE0000"/>
              </w:rPr>
              <w:t>企业应通过加强质量管理，保障员工权益，完善供应链管理，促进社区民众生活质量改善，减少对社会的负面影响，实现与利益相关方和谐共处，共同发展。社会可持续规范包括工程质量管理、员工权</w:t>
            </w:r>
            <w:r>
              <w:rPr>
                <w:color w:val="EE0000"/>
                <w:spacing w:val="-6"/>
              </w:rPr>
              <w:t>益保护、职业健康安全管理、供应链和合作方管理、</w:t>
            </w:r>
          </w:p>
        </w:tc>
      </w:tr>
    </w:tbl>
    <w:p w14:paraId="1B8C3D4F">
      <w:pPr>
        <w:spacing w:line="156" w:lineRule="exact"/>
        <w:rPr>
          <w:rFonts w:ascii="Arial"/>
          <w:sz w:val="13"/>
        </w:rPr>
      </w:pPr>
    </w:p>
    <w:p w14:paraId="24D47257">
      <w:pPr>
        <w:spacing w:line="156" w:lineRule="exact"/>
        <w:rPr>
          <w:rFonts w:ascii="Arial" w:hAnsi="Arial" w:eastAsia="Arial" w:cs="Arial"/>
          <w:sz w:val="13"/>
          <w:szCs w:val="13"/>
        </w:rPr>
        <w:sectPr>
          <w:footerReference r:id="rId28"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9"/>
        <w:gridCol w:w="5081"/>
      </w:tblGrid>
      <w:tr w14:paraId="6D3135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4" w:hRule="atLeast"/>
        </w:trPr>
        <w:tc>
          <w:tcPr>
            <w:tcW w:w="4779" w:type="dxa"/>
            <w:vAlign w:val="top"/>
          </w:tcPr>
          <w:p w14:paraId="3757448A">
            <w:pPr>
              <w:rPr>
                <w:rFonts w:ascii="Arial"/>
                <w:sz w:val="21"/>
              </w:rPr>
            </w:pPr>
          </w:p>
        </w:tc>
        <w:tc>
          <w:tcPr>
            <w:tcW w:w="5081" w:type="dxa"/>
            <w:vAlign w:val="top"/>
          </w:tcPr>
          <w:p w14:paraId="079EEE99">
            <w:pPr>
              <w:pStyle w:val="7"/>
              <w:spacing w:before="33" w:line="220" w:lineRule="auto"/>
              <w:ind w:left="116"/>
            </w:pPr>
            <w:r>
              <w:rPr>
                <w:color w:val="EE0000"/>
                <w:spacing w:val="-3"/>
              </w:rPr>
              <w:t>社区关系五个方面。</w:t>
            </w:r>
          </w:p>
          <w:p w14:paraId="30FBC42F">
            <w:pPr>
              <w:pStyle w:val="7"/>
              <w:spacing w:before="23" w:line="237" w:lineRule="auto"/>
              <w:ind w:left="114" w:right="51" w:firstLine="38"/>
            </w:pPr>
            <w:r>
              <w:rPr>
                <w:color w:val="EE0000"/>
                <w:spacing w:val="-4"/>
              </w:rPr>
              <w:t>(3)环境可持续。环境可持续是基础设施项目守法、</w:t>
            </w:r>
            <w:r>
              <w:rPr>
                <w:color w:val="EE0000"/>
              </w:rPr>
              <w:t>合规的根本要求，企业应遵守当地环境法律法规，通过建立完善的环境保护制度，为环境保护工作提供必要的人力、物力、技术和财力支持，减少对气候、生态的影响，提高项目的适应性和韧性。环境可持续规范包括环境管理体系、污染防治、应对气候变化、生态系统管理与生物多样性保护、资源可</w:t>
            </w:r>
            <w:r>
              <w:rPr>
                <w:color w:val="EE0000"/>
                <w:spacing w:val="-1"/>
              </w:rPr>
              <w:t>持续利用和保护五个方面。</w:t>
            </w:r>
          </w:p>
          <w:p w14:paraId="04DC9296">
            <w:pPr>
              <w:pStyle w:val="7"/>
              <w:spacing w:before="24" w:line="236" w:lineRule="auto"/>
              <w:ind w:left="112" w:right="105" w:firstLine="40"/>
            </w:pPr>
            <w:r>
              <w:rPr>
                <w:color w:val="EE0000"/>
                <w:spacing w:val="-6"/>
              </w:rPr>
              <w:t>(4)治理可持续。治理可持续是基础设施项目有序开</w:t>
            </w:r>
            <w:r>
              <w:rPr>
                <w:color w:val="EE0000"/>
              </w:rPr>
              <w:t>展的体制机制保障，企业应树立可持续发展理念并将其纳入项目决策，构建可持续治理体系和信息披露机制，将可持续评估纳入风险管控和绩效考评，建立不可抗力应急管理机制，全面推行可持续的治理模式并不断完善改进。治理可持续规范包括可持</w:t>
            </w:r>
            <w:r>
              <w:rPr>
                <w:color w:val="EE0000"/>
                <w:spacing w:val="-1"/>
              </w:rPr>
              <w:t>续治理体系、可持续信息披露、可持续考核体系、</w:t>
            </w:r>
            <w:r>
              <w:rPr>
                <w:color w:val="EE0000"/>
              </w:rPr>
              <w:t>可持续风险识别与应急管理、接受监督和持续改进</w:t>
            </w:r>
            <w:r>
              <w:rPr>
                <w:color w:val="EE0000"/>
                <w:spacing w:val="-1"/>
              </w:rPr>
              <w:t>五个方面。</w:t>
            </w:r>
          </w:p>
        </w:tc>
      </w:tr>
      <w:tr w14:paraId="3D8ED2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779" w:type="dxa"/>
            <w:shd w:val="clear" w:color="auto" w:fill="FFFF00"/>
            <w:vAlign w:val="top"/>
          </w:tcPr>
          <w:p w14:paraId="3C477D9F">
            <w:pPr>
              <w:pStyle w:val="7"/>
              <w:spacing w:before="30" w:line="209" w:lineRule="auto"/>
              <w:ind w:left="738"/>
            </w:pPr>
            <w:r>
              <w:rPr>
                <w:b/>
                <w:bCs/>
                <w:spacing w:val="-5"/>
              </w:rPr>
              <w:t>第</w:t>
            </w:r>
            <w:r>
              <w:rPr>
                <w:spacing w:val="-22"/>
              </w:rPr>
              <w:t xml:space="preserve"> </w:t>
            </w:r>
            <w:r>
              <w:rPr>
                <w:b/>
                <w:bCs/>
                <w:spacing w:val="-5"/>
              </w:rPr>
              <w:t>10</w:t>
            </w:r>
            <w:r>
              <w:rPr>
                <w:spacing w:val="-38"/>
              </w:rPr>
              <w:t xml:space="preserve"> </w:t>
            </w:r>
            <w:r>
              <w:rPr>
                <w:b/>
                <w:bCs/>
                <w:spacing w:val="-5"/>
              </w:rPr>
              <w:t>章</w:t>
            </w:r>
            <w:r>
              <w:rPr>
                <w:spacing w:val="-5"/>
              </w:rPr>
              <w:t xml:space="preserve"> </w:t>
            </w:r>
            <w:r>
              <w:rPr>
                <w:b/>
                <w:bCs/>
                <w:spacing w:val="-5"/>
              </w:rPr>
              <w:t>建设工程项目管理智能化</w:t>
            </w:r>
          </w:p>
        </w:tc>
        <w:tc>
          <w:tcPr>
            <w:tcW w:w="5081" w:type="dxa"/>
            <w:shd w:val="clear" w:color="auto" w:fill="FFFF00"/>
            <w:vAlign w:val="top"/>
          </w:tcPr>
          <w:p w14:paraId="383FD0D4">
            <w:pPr>
              <w:pStyle w:val="7"/>
              <w:spacing w:before="30" w:line="209" w:lineRule="auto"/>
              <w:ind w:left="887"/>
            </w:pPr>
            <w:r>
              <w:rPr>
                <w:b/>
                <w:bCs/>
                <w:spacing w:val="-5"/>
              </w:rPr>
              <w:t>第</w:t>
            </w:r>
            <w:r>
              <w:rPr>
                <w:spacing w:val="-22"/>
              </w:rPr>
              <w:t xml:space="preserve"> </w:t>
            </w:r>
            <w:r>
              <w:rPr>
                <w:b/>
                <w:bCs/>
                <w:spacing w:val="-5"/>
              </w:rPr>
              <w:t>10</w:t>
            </w:r>
            <w:r>
              <w:rPr>
                <w:spacing w:val="-38"/>
              </w:rPr>
              <w:t xml:space="preserve"> </w:t>
            </w:r>
            <w:r>
              <w:rPr>
                <w:b/>
                <w:bCs/>
                <w:spacing w:val="-5"/>
              </w:rPr>
              <w:t>章</w:t>
            </w:r>
            <w:r>
              <w:rPr>
                <w:spacing w:val="-5"/>
              </w:rPr>
              <w:t xml:space="preserve"> </w:t>
            </w:r>
            <w:r>
              <w:rPr>
                <w:b/>
                <w:bCs/>
                <w:spacing w:val="-5"/>
              </w:rPr>
              <w:t>建设工程项目管理智能化</w:t>
            </w:r>
          </w:p>
        </w:tc>
      </w:tr>
      <w:tr w14:paraId="03C850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4" w:hRule="atLeast"/>
        </w:trPr>
        <w:tc>
          <w:tcPr>
            <w:tcW w:w="4779" w:type="dxa"/>
            <w:vAlign w:val="top"/>
          </w:tcPr>
          <w:p w14:paraId="4D1CF380">
            <w:pPr>
              <w:pStyle w:val="7"/>
              <w:spacing w:before="31" w:line="220" w:lineRule="auto"/>
              <w:ind w:left="106"/>
            </w:pPr>
            <w:r>
              <w:rPr>
                <w:b/>
                <w:bCs/>
                <w:color w:val="EE0000"/>
                <w:spacing w:val="-2"/>
              </w:rPr>
              <w:t>【修改】P401</w:t>
            </w:r>
          </w:p>
          <w:p w14:paraId="622C0AAC">
            <w:pPr>
              <w:pStyle w:val="7"/>
              <w:spacing w:before="22" w:line="222" w:lineRule="auto"/>
              <w:ind w:left="132"/>
            </w:pPr>
            <w:r>
              <w:rPr>
                <w:spacing w:val="-4"/>
              </w:rPr>
              <w:t>10.2.1</w:t>
            </w:r>
            <w:r>
              <w:rPr>
                <w:spacing w:val="-38"/>
              </w:rPr>
              <w:t xml:space="preserve"> </w:t>
            </w:r>
            <w:r>
              <w:rPr>
                <w:spacing w:val="-4"/>
              </w:rPr>
              <w:t>智能建造</w:t>
            </w:r>
          </w:p>
          <w:p w14:paraId="4C96A5C8">
            <w:pPr>
              <w:pStyle w:val="7"/>
              <w:spacing w:before="22" w:line="219" w:lineRule="auto"/>
              <w:ind w:left="132"/>
            </w:pPr>
            <w:r>
              <w:rPr>
                <w:spacing w:val="-2"/>
              </w:rPr>
              <w:t>1.智能建造的基本特征</w:t>
            </w:r>
          </w:p>
          <w:p w14:paraId="3E9D39A4">
            <w:pPr>
              <w:pStyle w:val="7"/>
              <w:spacing w:before="27"/>
              <w:ind w:left="115" w:right="76" w:firstLine="7"/>
              <w:jc w:val="both"/>
            </w:pPr>
            <w:r>
              <w:rPr>
                <w:spacing w:val="1"/>
              </w:rPr>
              <w:t>（2）智能建造应以实现数字化集成设计、精益</w:t>
            </w:r>
            <w:r>
              <w:rPr>
                <w:spacing w:val="-4"/>
              </w:rPr>
              <w:t>化生产施工和工业化组织管理为核心。智能建造</w:t>
            </w:r>
            <w:r>
              <w:rPr>
                <w:spacing w:val="-2"/>
              </w:rPr>
              <w:t>不能等同于智能施工，要涵盖工程建造全过程。</w:t>
            </w:r>
            <w:r>
              <w:rPr>
                <w:spacing w:val="7"/>
              </w:rPr>
              <w:t>智能建造的根本是要通过新一代信息技术的融</w:t>
            </w:r>
            <w:r>
              <w:rPr>
                <w:spacing w:val="-4"/>
              </w:rPr>
              <w:t>合应用，实现数字化集成设计、精益化生产施工</w:t>
            </w:r>
            <w:r>
              <w:rPr>
                <w:spacing w:val="-3"/>
              </w:rPr>
              <w:t>和工业化组织管理，全面提升工程建造效率</w:t>
            </w:r>
            <w:r>
              <w:rPr>
                <w:spacing w:val="-4"/>
              </w:rPr>
              <w:t>和水</w:t>
            </w:r>
            <w:r>
              <w:rPr>
                <w:spacing w:val="-10"/>
              </w:rPr>
              <w:t>平。</w:t>
            </w:r>
          </w:p>
        </w:tc>
        <w:tc>
          <w:tcPr>
            <w:tcW w:w="5081" w:type="dxa"/>
            <w:vAlign w:val="top"/>
          </w:tcPr>
          <w:p w14:paraId="0F028E22">
            <w:pPr>
              <w:pStyle w:val="7"/>
              <w:spacing w:before="31" w:line="220" w:lineRule="auto"/>
              <w:ind w:left="104"/>
            </w:pPr>
            <w:r>
              <w:rPr>
                <w:b/>
                <w:bCs/>
                <w:color w:val="EE0000"/>
                <w:spacing w:val="-2"/>
              </w:rPr>
              <w:t>【修改】P407</w:t>
            </w:r>
          </w:p>
          <w:p w14:paraId="6E186663">
            <w:pPr>
              <w:pStyle w:val="7"/>
              <w:spacing w:before="22" w:line="222" w:lineRule="auto"/>
              <w:ind w:left="130"/>
            </w:pPr>
            <w:r>
              <w:rPr>
                <w:spacing w:val="-4"/>
              </w:rPr>
              <w:t>10.2.1</w:t>
            </w:r>
            <w:r>
              <w:rPr>
                <w:spacing w:val="-38"/>
              </w:rPr>
              <w:t xml:space="preserve"> </w:t>
            </w:r>
            <w:r>
              <w:rPr>
                <w:spacing w:val="-4"/>
              </w:rPr>
              <w:t>智能建造</w:t>
            </w:r>
          </w:p>
          <w:p w14:paraId="320410E8">
            <w:pPr>
              <w:pStyle w:val="7"/>
              <w:spacing w:before="22" w:line="219" w:lineRule="auto"/>
              <w:ind w:left="130"/>
            </w:pPr>
            <w:r>
              <w:rPr>
                <w:spacing w:val="-2"/>
              </w:rPr>
              <w:t>1.智能建造的基本特征</w:t>
            </w:r>
          </w:p>
          <w:p w14:paraId="419380D5">
            <w:pPr>
              <w:pStyle w:val="7"/>
              <w:spacing w:before="28" w:line="237" w:lineRule="auto"/>
              <w:ind w:left="113" w:right="29" w:firstLine="39"/>
              <w:jc w:val="both"/>
            </w:pPr>
            <w:r>
              <w:rPr>
                <w:color w:val="EE0000"/>
                <w:spacing w:val="-6"/>
              </w:rPr>
              <w:t>(2)智能建造应以实现系统化集成设计、精益化生产</w:t>
            </w:r>
            <w:r>
              <w:rPr>
                <w:color w:val="EE0000"/>
              </w:rPr>
              <w:t>施工和工业化组织管理为核心。智能建造不能简单</w:t>
            </w:r>
            <w:r>
              <w:rPr>
                <w:color w:val="EE0000"/>
                <w:spacing w:val="-6"/>
              </w:rPr>
              <w:t>地理解为智能施工。智能建造涵盖工程建造全过程。</w:t>
            </w:r>
            <w:r>
              <w:rPr>
                <w:color w:val="EE0000"/>
                <w:spacing w:val="-1"/>
              </w:rPr>
              <w:t>智能建造与建筑工业化密不可分。2020</w:t>
            </w:r>
            <w:r>
              <w:rPr>
                <w:color w:val="EE0000"/>
                <w:spacing w:val="-29"/>
              </w:rPr>
              <w:t xml:space="preserve"> </w:t>
            </w:r>
            <w:r>
              <w:rPr>
                <w:color w:val="EE0000"/>
                <w:spacing w:val="-1"/>
              </w:rPr>
              <w:t>年8</w:t>
            </w:r>
            <w:r>
              <w:rPr>
                <w:color w:val="EE0000"/>
                <w:spacing w:val="-40"/>
              </w:rPr>
              <w:t xml:space="preserve"> </w:t>
            </w:r>
            <w:r>
              <w:rPr>
                <w:color w:val="EE0000"/>
                <w:spacing w:val="-1"/>
              </w:rPr>
              <w:t>月，住</w:t>
            </w:r>
            <w:r>
              <w:rPr>
                <w:color w:val="EE0000"/>
                <w:spacing w:val="-2"/>
              </w:rPr>
              <w:t>房和城乡建设部等</w:t>
            </w:r>
            <w:r>
              <w:rPr>
                <w:color w:val="EE0000"/>
                <w:spacing w:val="-19"/>
              </w:rPr>
              <w:t xml:space="preserve"> </w:t>
            </w:r>
            <w:r>
              <w:rPr>
                <w:color w:val="EE0000"/>
                <w:spacing w:val="-2"/>
              </w:rPr>
              <w:t>9</w:t>
            </w:r>
            <w:r>
              <w:rPr>
                <w:color w:val="EE0000"/>
                <w:spacing w:val="-31"/>
              </w:rPr>
              <w:t xml:space="preserve"> </w:t>
            </w:r>
            <w:r>
              <w:rPr>
                <w:color w:val="EE0000"/>
                <w:spacing w:val="-2"/>
              </w:rPr>
              <w:t>部门联合发布的《关于加快新</w:t>
            </w:r>
            <w:r>
              <w:rPr>
                <w:color w:val="EE0000"/>
              </w:rPr>
              <w:t>型建筑工业化发展的若干意见》明确提出，新型建筑工业化要通过新一代信息技术驱动，以工程全寿</w:t>
            </w:r>
            <w:r>
              <w:rPr>
                <w:color w:val="EE0000"/>
                <w:spacing w:val="-6"/>
              </w:rPr>
              <w:t>命期系统化集成设计、精益化生产施工为主要手段。</w:t>
            </w:r>
            <w:r>
              <w:rPr>
                <w:color w:val="EE0000"/>
              </w:rPr>
              <w:t>而且，工业化建造方式需要有工业化组织管理与之相配套。由此可见，智能建造的核心是要通过新一代信息技术的融合应用，实现系统化集成设计、精益化生产施工和工业化组织管理，全面提升工程建</w:t>
            </w:r>
            <w:r>
              <w:rPr>
                <w:color w:val="EE0000"/>
                <w:spacing w:val="-4"/>
              </w:rPr>
              <w:t>造效率和水平。</w:t>
            </w:r>
          </w:p>
        </w:tc>
      </w:tr>
    </w:tbl>
    <w:p w14:paraId="0CCF31DD">
      <w:pPr>
        <w:pStyle w:val="2"/>
        <w:spacing w:before="28" w:line="221" w:lineRule="auto"/>
        <w:ind w:left="945"/>
        <w:outlineLvl w:val="0"/>
      </w:pPr>
      <w:r>
        <w:rPr>
          <w:b/>
          <w:bCs/>
          <w:spacing w:val="-3"/>
        </w:rPr>
        <w:t>三、学习建议</w:t>
      </w:r>
    </w:p>
    <w:p w14:paraId="5FFBBB1F">
      <w:pPr>
        <w:pStyle w:val="2"/>
        <w:spacing w:before="23" w:line="239" w:lineRule="auto"/>
        <w:ind w:left="504" w:right="257" w:firstLine="444"/>
      </w:pPr>
      <w:r>
        <w:rPr>
          <w:spacing w:val="-1"/>
        </w:rPr>
        <w:t>管理教材实质性变动约为</w:t>
      </w:r>
      <w:r>
        <w:rPr>
          <w:spacing w:val="-26"/>
        </w:rPr>
        <w:t xml:space="preserve"> </w:t>
      </w:r>
      <w:r>
        <w:rPr>
          <w:spacing w:val="-1"/>
        </w:rPr>
        <w:t>5%。此次调整主要涉及以下几个方面：3.2.1</w:t>
      </w:r>
      <w:r>
        <w:rPr>
          <w:spacing w:val="-45"/>
        </w:rPr>
        <w:t xml:space="preserve"> </w:t>
      </w:r>
      <w:r>
        <w:rPr>
          <w:spacing w:val="-1"/>
        </w:rPr>
        <w:t>施工合同管理、7.1.1</w:t>
      </w:r>
      <w:r>
        <w:rPr>
          <w:spacing w:val="-44"/>
        </w:rPr>
        <w:t xml:space="preserve"> </w:t>
      </w:r>
      <w:r>
        <w:rPr>
          <w:spacing w:val="-1"/>
        </w:rPr>
        <w:t>施工生产危险源及其控制、7.3.2 施工安全技术措施及安全技术交底、8.1.2 各方主体绿色施工职责、</w:t>
      </w:r>
      <w:r>
        <w:rPr>
          <w:spacing w:val="2"/>
        </w:rPr>
        <w:t xml:space="preserve"> </w:t>
      </w:r>
      <w:r>
        <w:t>8.2.1</w:t>
      </w:r>
      <w:r>
        <w:rPr>
          <w:spacing w:val="-32"/>
        </w:rPr>
        <w:t xml:space="preserve"> </w:t>
      </w:r>
      <w:r>
        <w:t>施工现场文明施工要求等。这些变动意味着学员</w:t>
      </w:r>
      <w:r>
        <w:rPr>
          <w:spacing w:val="-1"/>
        </w:rPr>
        <w:t>需要适应新的教材结构和内容。因此，建议学员根据新教材和新课程进行学习，并提前进入备考状态，以便更好地准备考试。</w:t>
      </w:r>
    </w:p>
    <w:p w14:paraId="12837317">
      <w:pPr>
        <w:pStyle w:val="2"/>
        <w:spacing w:before="2" w:line="239" w:lineRule="auto"/>
        <w:ind w:left="502" w:right="259" w:firstLine="439"/>
      </w:pPr>
      <w:r>
        <w:rPr>
          <w:spacing w:val="2"/>
        </w:rPr>
        <w:t>对于学员来说，自学难度非常大，建议学员通</w:t>
      </w:r>
      <w:r>
        <w:rPr>
          <w:spacing w:val="1"/>
        </w:rPr>
        <w:t>过图书+课程的方式来备考。备考过程可以分为基</w:t>
      </w:r>
      <w:r>
        <w:rPr>
          <w:spacing w:val="-6"/>
        </w:rPr>
        <w:t>础阶段、强化阶段和冲刺阶段，每个阶段都有相应的学习班次可供选择：备考过程可以分为基础阶段、</w:t>
      </w:r>
      <w:r>
        <w:rPr>
          <w:spacing w:val="-1"/>
        </w:rPr>
        <w:t>强化阶段和冲刺阶段，每个阶段都有相应的学习班</w:t>
      </w:r>
      <w:r>
        <w:rPr>
          <w:spacing w:val="-2"/>
        </w:rPr>
        <w:t>次可供选择：</w:t>
      </w:r>
    </w:p>
    <w:p w14:paraId="29530AE4">
      <w:pPr>
        <w:pStyle w:val="2"/>
        <w:spacing w:line="219" w:lineRule="auto"/>
        <w:ind w:left="949"/>
      </w:pPr>
      <w:r>
        <w:t>（1）基础阶段：可以选择“考点精讲”班次进行学习</w:t>
      </w:r>
      <w:r>
        <w:rPr>
          <w:spacing w:val="-1"/>
        </w:rPr>
        <w:t>，构建知识体系，掌握重难点。</w:t>
      </w:r>
    </w:p>
    <w:p w14:paraId="2EA31DA2">
      <w:pPr>
        <w:pStyle w:val="2"/>
        <w:spacing w:before="24" w:line="230" w:lineRule="auto"/>
        <w:ind w:left="508" w:right="284" w:firstLine="441"/>
      </w:pPr>
      <w:r>
        <w:rPr>
          <w:spacing w:val="1"/>
        </w:rPr>
        <w:t>（2）强化阶段：可以选择“精题必练、万人模考、查缺补漏”，通</w:t>
      </w:r>
      <w:r>
        <w:t>过对题目的深度剖析，巩固</w:t>
      </w:r>
      <w:r>
        <w:rPr>
          <w:spacing w:val="-3"/>
        </w:rPr>
        <w:t>薄弱知识点，提升做题能力。</w:t>
      </w:r>
    </w:p>
    <w:p w14:paraId="4B9D1B3C">
      <w:pPr>
        <w:pStyle w:val="2"/>
        <w:spacing w:before="21" w:line="220" w:lineRule="auto"/>
        <w:ind w:left="949"/>
      </w:pPr>
      <w:r>
        <w:rPr>
          <w:spacing w:val="-1"/>
        </w:rPr>
        <w:t>（3）冲刺阶段：可以选择“直播密训”班次进行学习，查缺漏补，再次回顾重要考点。</w:t>
      </w:r>
    </w:p>
    <w:p w14:paraId="37DAECFA">
      <w:pPr>
        <w:pStyle w:val="2"/>
        <w:spacing w:before="22" w:line="242" w:lineRule="auto"/>
        <w:ind w:left="504" w:right="259" w:firstLine="440"/>
      </w:pPr>
      <w:r>
        <w:rPr>
          <w:spacing w:val="-1"/>
        </w:rPr>
        <w:t>按照这样的阶段进行备考复习，能够帮助学员建立完整的知识体系，稳步提升</w:t>
      </w:r>
      <w:r>
        <w:rPr>
          <w:spacing w:val="-2"/>
        </w:rPr>
        <w:t>备考能力，从而顺</w:t>
      </w:r>
      <w:r>
        <w:rPr>
          <w:spacing w:val="-4"/>
        </w:rPr>
        <w:t>利通过考试。</w:t>
      </w:r>
    </w:p>
    <w:sectPr>
      <w:footerReference r:id="rId29" w:type="default"/>
      <w:pgSz w:w="11907" w:h="16839"/>
      <w:pgMar w:top="1164" w:right="757" w:bottom="1190" w:left="752" w:header="426" w:footer="39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DA7B3">
    <w:pPr>
      <w:pStyle w:val="2"/>
      <w:spacing w:before="275" w:line="192" w:lineRule="auto"/>
      <w:ind w:left="7610"/>
      <w:rPr>
        <w:sz w:val="19"/>
        <w:szCs w:val="19"/>
      </w:rPr>
    </w:pPr>
  </w:p>
  <w:p w14:paraId="5FCF4562">
    <w:pPr>
      <w:pStyle w:val="2"/>
      <w:spacing w:after="75" w:line="227" w:lineRule="auto"/>
      <w:ind w:left="4571"/>
      <w:rPr>
        <w:sz w:val="19"/>
        <w:szCs w:val="19"/>
      </w:rPr>
    </w:pPr>
    <w:r>
      <w:rPr>
        <w:spacing w:val="-1"/>
        <w:sz w:val="19"/>
        <w:szCs w:val="19"/>
      </w:rPr>
      <w:t>第</w:t>
    </w:r>
    <w:r>
      <w:rPr>
        <w:spacing w:val="16"/>
        <w:sz w:val="19"/>
        <w:szCs w:val="19"/>
      </w:rPr>
      <w:t xml:space="preserve"> </w:t>
    </w:r>
    <w:r>
      <w:rPr>
        <w:spacing w:val="-1"/>
        <w:sz w:val="19"/>
        <w:szCs w:val="19"/>
      </w:rPr>
      <w:t>2</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6"/>
        <w:sz w:val="19"/>
        <w:szCs w:val="19"/>
      </w:rPr>
      <w:t xml:space="preserve"> </w:t>
    </w:r>
    <w:r>
      <w:rPr>
        <w:spacing w:val="-1"/>
        <w:sz w:val="19"/>
        <w:szCs w:val="19"/>
      </w:rPr>
      <w:t>24</w:t>
    </w:r>
    <w:r>
      <w:rPr>
        <w:spacing w:val="17"/>
        <w:sz w:val="19"/>
        <w:szCs w:val="19"/>
      </w:rPr>
      <w:t xml:space="preserve"> </w:t>
    </w:r>
    <w:r>
      <w:rPr>
        <w:spacing w:val="-1"/>
        <w:sz w:val="19"/>
        <w:szCs w:val="19"/>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D6D8A">
    <w:pPr>
      <w:pStyle w:val="2"/>
      <w:spacing w:after="75" w:line="227" w:lineRule="auto"/>
      <w:ind w:left="4571"/>
      <w:rPr>
        <w:sz w:val="19"/>
        <w:szCs w:val="19"/>
      </w:rPr>
    </w:pPr>
    <w:r>
      <w:rPr>
        <w:spacing w:val="-1"/>
        <w:sz w:val="19"/>
        <w:szCs w:val="19"/>
      </w:rPr>
      <w:t>第</w:t>
    </w:r>
    <w:r>
      <w:rPr>
        <w:spacing w:val="17"/>
        <w:sz w:val="19"/>
        <w:szCs w:val="19"/>
      </w:rPr>
      <w:t xml:space="preserve"> </w:t>
    </w:r>
    <w:r>
      <w:rPr>
        <w:spacing w:val="-1"/>
        <w:sz w:val="19"/>
        <w:szCs w:val="19"/>
      </w:rPr>
      <w:t>3</w:t>
    </w:r>
    <w:r>
      <w:rPr>
        <w:spacing w:val="19"/>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6"/>
        <w:sz w:val="19"/>
        <w:szCs w:val="19"/>
      </w:rPr>
      <w:t xml:space="preserve"> </w:t>
    </w:r>
    <w:r>
      <w:rPr>
        <w:spacing w:val="-1"/>
        <w:sz w:val="19"/>
        <w:szCs w:val="19"/>
      </w:rPr>
      <w:t>24</w:t>
    </w:r>
    <w:r>
      <w:rPr>
        <w:spacing w:val="17"/>
        <w:sz w:val="19"/>
        <w:szCs w:val="19"/>
      </w:rPr>
      <w:t xml:space="preserve"> </w:t>
    </w:r>
    <w:r>
      <w:rPr>
        <w:spacing w:val="-1"/>
        <w:sz w:val="19"/>
        <w:szCs w:val="19"/>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F9489">
    <w:pPr>
      <w:pStyle w:val="2"/>
      <w:spacing w:before="275" w:line="192" w:lineRule="auto"/>
      <w:ind w:left="7610"/>
      <w:rPr>
        <w:sz w:val="19"/>
        <w:szCs w:val="19"/>
      </w:rPr>
    </w:pPr>
  </w:p>
  <w:p w14:paraId="1E62B26B">
    <w:pPr>
      <w:pStyle w:val="2"/>
      <w:spacing w:after="75" w:line="227" w:lineRule="auto"/>
      <w:ind w:left="4571"/>
      <w:rPr>
        <w:sz w:val="19"/>
        <w:szCs w:val="19"/>
      </w:rPr>
    </w:pPr>
    <w:r>
      <w:rPr>
        <w:spacing w:val="-1"/>
        <w:sz w:val="19"/>
        <w:szCs w:val="19"/>
      </w:rPr>
      <w:t>第</w:t>
    </w:r>
    <w:r>
      <w:rPr>
        <w:spacing w:val="16"/>
        <w:sz w:val="19"/>
        <w:szCs w:val="19"/>
      </w:rPr>
      <w:t xml:space="preserve"> </w:t>
    </w:r>
    <w:r>
      <w:rPr>
        <w:spacing w:val="-1"/>
        <w:sz w:val="19"/>
        <w:szCs w:val="19"/>
      </w:rPr>
      <w:t>4</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6"/>
        <w:sz w:val="19"/>
        <w:szCs w:val="19"/>
      </w:rPr>
      <w:t xml:space="preserve"> </w:t>
    </w:r>
    <w:r>
      <w:rPr>
        <w:spacing w:val="-1"/>
        <w:sz w:val="19"/>
        <w:szCs w:val="19"/>
      </w:rPr>
      <w:t>24</w:t>
    </w:r>
    <w:r>
      <w:rPr>
        <w:spacing w:val="17"/>
        <w:sz w:val="19"/>
        <w:szCs w:val="19"/>
      </w:rPr>
      <w:t xml:space="preserve"> </w:t>
    </w:r>
    <w:r>
      <w:rPr>
        <w:spacing w:val="-1"/>
        <w:sz w:val="19"/>
        <w:szCs w:val="19"/>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845AB">
    <w:pPr>
      <w:pStyle w:val="2"/>
      <w:spacing w:after="75" w:line="227" w:lineRule="auto"/>
      <w:ind w:left="4571"/>
      <w:rPr>
        <w:sz w:val="19"/>
        <w:szCs w:val="19"/>
      </w:rPr>
    </w:pPr>
    <w:r>
      <w:rPr>
        <w:spacing w:val="-1"/>
        <w:sz w:val="19"/>
        <w:szCs w:val="19"/>
      </w:rPr>
      <w:t>第</w:t>
    </w:r>
    <w:r>
      <w:rPr>
        <w:spacing w:val="17"/>
        <w:sz w:val="19"/>
        <w:szCs w:val="19"/>
      </w:rPr>
      <w:t xml:space="preserve"> </w:t>
    </w:r>
    <w:r>
      <w:rPr>
        <w:spacing w:val="-1"/>
        <w:sz w:val="19"/>
        <w:szCs w:val="19"/>
      </w:rPr>
      <w:t>5</w:t>
    </w:r>
    <w:r>
      <w:rPr>
        <w:spacing w:val="19"/>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6"/>
        <w:sz w:val="19"/>
        <w:szCs w:val="19"/>
      </w:rPr>
      <w:t xml:space="preserve"> </w:t>
    </w:r>
    <w:r>
      <w:rPr>
        <w:spacing w:val="-1"/>
        <w:sz w:val="19"/>
        <w:szCs w:val="19"/>
      </w:rPr>
      <w:t>24</w:t>
    </w:r>
    <w:r>
      <w:rPr>
        <w:spacing w:val="17"/>
        <w:sz w:val="19"/>
        <w:szCs w:val="19"/>
      </w:rPr>
      <w:t xml:space="preserve"> </w:t>
    </w:r>
    <w:r>
      <w:rPr>
        <w:spacing w:val="-1"/>
        <w:sz w:val="19"/>
        <w:szCs w:val="19"/>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F2326">
    <w:pPr>
      <w:pStyle w:val="2"/>
      <w:spacing w:before="275" w:line="192" w:lineRule="auto"/>
      <w:ind w:left="7610"/>
      <w:rPr>
        <w:sz w:val="19"/>
        <w:szCs w:val="19"/>
      </w:rPr>
    </w:pPr>
  </w:p>
  <w:p w14:paraId="5AAB6FCD">
    <w:pPr>
      <w:pStyle w:val="2"/>
      <w:spacing w:after="75" w:line="227" w:lineRule="auto"/>
      <w:ind w:left="4571"/>
      <w:rPr>
        <w:sz w:val="19"/>
        <w:szCs w:val="19"/>
      </w:rPr>
    </w:pPr>
    <w:r>
      <w:rPr>
        <w:spacing w:val="-1"/>
        <w:sz w:val="19"/>
        <w:szCs w:val="19"/>
      </w:rPr>
      <w:t>第</w:t>
    </w:r>
    <w:r>
      <w:rPr>
        <w:spacing w:val="16"/>
        <w:sz w:val="19"/>
        <w:szCs w:val="19"/>
      </w:rPr>
      <w:t xml:space="preserve"> </w:t>
    </w:r>
    <w:r>
      <w:rPr>
        <w:spacing w:val="-1"/>
        <w:sz w:val="19"/>
        <w:szCs w:val="19"/>
      </w:rPr>
      <w:t>6</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6"/>
        <w:sz w:val="19"/>
        <w:szCs w:val="19"/>
      </w:rPr>
      <w:t xml:space="preserve"> </w:t>
    </w:r>
    <w:r>
      <w:rPr>
        <w:spacing w:val="-1"/>
        <w:sz w:val="19"/>
        <w:szCs w:val="19"/>
      </w:rPr>
      <w:t>24</w:t>
    </w:r>
    <w:r>
      <w:rPr>
        <w:spacing w:val="17"/>
        <w:sz w:val="19"/>
        <w:szCs w:val="19"/>
      </w:rPr>
      <w:t xml:space="preserve"> </w:t>
    </w:r>
    <w:r>
      <w:rPr>
        <w:spacing w:val="-1"/>
        <w:sz w:val="19"/>
        <w:szCs w:val="19"/>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2DBBF">
    <w:pPr>
      <w:pStyle w:val="2"/>
      <w:spacing w:before="275" w:line="192" w:lineRule="auto"/>
      <w:ind w:left="7610"/>
      <w:rPr>
        <w:sz w:val="19"/>
        <w:szCs w:val="19"/>
      </w:rPr>
    </w:pPr>
  </w:p>
  <w:p w14:paraId="4C73AF53">
    <w:pPr>
      <w:pStyle w:val="2"/>
      <w:spacing w:after="75" w:line="227" w:lineRule="auto"/>
      <w:ind w:left="4571"/>
      <w:rPr>
        <w:sz w:val="19"/>
        <w:szCs w:val="19"/>
      </w:rPr>
    </w:pPr>
    <w:r>
      <w:rPr>
        <w:spacing w:val="-2"/>
        <w:sz w:val="19"/>
        <w:szCs w:val="19"/>
      </w:rPr>
      <w:t>第</w:t>
    </w:r>
    <w:r>
      <w:rPr>
        <w:spacing w:val="23"/>
        <w:w w:val="101"/>
        <w:sz w:val="19"/>
        <w:szCs w:val="19"/>
      </w:rPr>
      <w:t xml:space="preserve"> </w:t>
    </w:r>
    <w:r>
      <w:rPr>
        <w:spacing w:val="-2"/>
        <w:sz w:val="19"/>
        <w:szCs w:val="19"/>
      </w:rPr>
      <w:t>7</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6"/>
        <w:sz w:val="19"/>
        <w:szCs w:val="19"/>
      </w:rPr>
      <w:t xml:space="preserve"> </w:t>
    </w:r>
    <w:r>
      <w:rPr>
        <w:spacing w:val="-2"/>
        <w:sz w:val="19"/>
        <w:szCs w:val="19"/>
      </w:rPr>
      <w:t>24</w:t>
    </w:r>
    <w:r>
      <w:rPr>
        <w:spacing w:val="17"/>
        <w:sz w:val="19"/>
        <w:szCs w:val="19"/>
      </w:rPr>
      <w:t xml:space="preserve"> </w:t>
    </w:r>
    <w:r>
      <w:rPr>
        <w:spacing w:val="-2"/>
        <w:sz w:val="19"/>
        <w:szCs w:val="19"/>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7CB06">
    <w:pPr>
      <w:pStyle w:val="2"/>
      <w:spacing w:before="275" w:line="192" w:lineRule="auto"/>
      <w:ind w:left="7610"/>
      <w:rPr>
        <w:sz w:val="19"/>
        <w:szCs w:val="19"/>
      </w:rPr>
    </w:pPr>
  </w:p>
  <w:p w14:paraId="224D8FC6">
    <w:pPr>
      <w:pStyle w:val="2"/>
      <w:spacing w:after="75" w:line="227" w:lineRule="auto"/>
      <w:ind w:left="4571"/>
      <w:rPr>
        <w:sz w:val="19"/>
        <w:szCs w:val="19"/>
      </w:rPr>
    </w:pPr>
    <w:r>
      <w:rPr>
        <w:spacing w:val="-1"/>
        <w:sz w:val="19"/>
        <w:szCs w:val="19"/>
      </w:rPr>
      <w:t>第</w:t>
    </w:r>
    <w:r>
      <w:rPr>
        <w:spacing w:val="16"/>
        <w:sz w:val="19"/>
        <w:szCs w:val="19"/>
      </w:rPr>
      <w:t xml:space="preserve"> </w:t>
    </w:r>
    <w:r>
      <w:rPr>
        <w:spacing w:val="-1"/>
        <w:sz w:val="19"/>
        <w:szCs w:val="19"/>
      </w:rPr>
      <w:t>8</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6"/>
        <w:sz w:val="19"/>
        <w:szCs w:val="19"/>
      </w:rPr>
      <w:t xml:space="preserve"> </w:t>
    </w:r>
    <w:r>
      <w:rPr>
        <w:spacing w:val="-1"/>
        <w:sz w:val="19"/>
        <w:szCs w:val="19"/>
      </w:rPr>
      <w:t>24</w:t>
    </w:r>
    <w:r>
      <w:rPr>
        <w:spacing w:val="17"/>
        <w:sz w:val="19"/>
        <w:szCs w:val="19"/>
      </w:rPr>
      <w:t xml:space="preserve"> </w:t>
    </w:r>
    <w:r>
      <w:rPr>
        <w:spacing w:val="-1"/>
        <w:sz w:val="19"/>
        <w:szCs w:val="19"/>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5C89E">
    <w:pPr>
      <w:pStyle w:val="2"/>
      <w:spacing w:before="275" w:line="192" w:lineRule="auto"/>
      <w:ind w:left="7610"/>
      <w:rPr>
        <w:sz w:val="19"/>
        <w:szCs w:val="19"/>
      </w:rPr>
    </w:pPr>
  </w:p>
  <w:p w14:paraId="5F50EC3C">
    <w:pPr>
      <w:pStyle w:val="2"/>
      <w:spacing w:after="75" w:line="227" w:lineRule="auto"/>
      <w:ind w:left="4571"/>
      <w:rPr>
        <w:sz w:val="19"/>
        <w:szCs w:val="19"/>
      </w:rPr>
    </w:pPr>
    <w:r>
      <w:rPr>
        <w:spacing w:val="-1"/>
        <w:sz w:val="19"/>
        <w:szCs w:val="19"/>
      </w:rPr>
      <w:t>第</w:t>
    </w:r>
    <w:r>
      <w:rPr>
        <w:spacing w:val="16"/>
        <w:sz w:val="19"/>
        <w:szCs w:val="19"/>
      </w:rPr>
      <w:t xml:space="preserve"> </w:t>
    </w:r>
    <w:r>
      <w:rPr>
        <w:spacing w:val="-1"/>
        <w:sz w:val="19"/>
        <w:szCs w:val="19"/>
      </w:rPr>
      <w:t>9</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6"/>
        <w:sz w:val="19"/>
        <w:szCs w:val="19"/>
      </w:rPr>
      <w:t xml:space="preserve"> </w:t>
    </w:r>
    <w:r>
      <w:rPr>
        <w:spacing w:val="-1"/>
        <w:sz w:val="19"/>
        <w:szCs w:val="19"/>
      </w:rPr>
      <w:t>24</w:t>
    </w:r>
    <w:r>
      <w:rPr>
        <w:spacing w:val="17"/>
        <w:sz w:val="19"/>
        <w:szCs w:val="19"/>
      </w:rPr>
      <w:t xml:space="preserve"> </w:t>
    </w:r>
    <w:r>
      <w:rPr>
        <w:spacing w:val="-1"/>
        <w:sz w:val="19"/>
        <w:szCs w:val="19"/>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3213E">
    <w:pPr>
      <w:pStyle w:val="2"/>
      <w:spacing w:before="275" w:line="192" w:lineRule="auto"/>
      <w:ind w:left="7610"/>
      <w:rPr>
        <w:sz w:val="19"/>
        <w:szCs w:val="19"/>
      </w:rPr>
    </w:pPr>
  </w:p>
  <w:p w14:paraId="3F485C58">
    <w:pPr>
      <w:pStyle w:val="2"/>
      <w:spacing w:after="75" w:line="227" w:lineRule="auto"/>
      <w:ind w:left="4571"/>
      <w:rPr>
        <w:sz w:val="19"/>
        <w:szCs w:val="19"/>
      </w:rPr>
    </w:pPr>
    <w:r>
      <w:rPr>
        <w:spacing w:val="-2"/>
        <w:sz w:val="19"/>
        <w:szCs w:val="19"/>
      </w:rPr>
      <w:t>第</w:t>
    </w:r>
    <w:r>
      <w:rPr>
        <w:spacing w:val="29"/>
        <w:sz w:val="19"/>
        <w:szCs w:val="19"/>
      </w:rPr>
      <w:t xml:space="preserve"> </w:t>
    </w:r>
    <w:r>
      <w:rPr>
        <w:spacing w:val="-2"/>
        <w:sz w:val="19"/>
        <w:szCs w:val="19"/>
      </w:rPr>
      <w:t>10</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6"/>
        <w:sz w:val="19"/>
        <w:szCs w:val="19"/>
      </w:rPr>
      <w:t xml:space="preserve"> </w:t>
    </w:r>
    <w:r>
      <w:rPr>
        <w:spacing w:val="-2"/>
        <w:sz w:val="19"/>
        <w:szCs w:val="19"/>
      </w:rPr>
      <w:t>24</w:t>
    </w:r>
    <w:r>
      <w:rPr>
        <w:spacing w:val="20"/>
        <w:sz w:val="19"/>
        <w:szCs w:val="19"/>
      </w:rPr>
      <w:t xml:space="preserve"> </w:t>
    </w:r>
    <w:r>
      <w:rPr>
        <w:spacing w:val="-2"/>
        <w:sz w:val="19"/>
        <w:szCs w:val="19"/>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872BF">
    <w:pPr>
      <w:pStyle w:val="2"/>
      <w:spacing w:before="275" w:line="192" w:lineRule="auto"/>
      <w:ind w:left="7610"/>
      <w:rPr>
        <w:sz w:val="19"/>
        <w:szCs w:val="19"/>
      </w:rPr>
    </w:pPr>
  </w:p>
  <w:p w14:paraId="618C28D3">
    <w:pPr>
      <w:pStyle w:val="2"/>
      <w:spacing w:after="75" w:line="227" w:lineRule="auto"/>
      <w:ind w:left="4571"/>
      <w:rPr>
        <w:sz w:val="19"/>
        <w:szCs w:val="19"/>
      </w:rPr>
    </w:pPr>
    <w:r>
      <w:rPr>
        <w:spacing w:val="-2"/>
        <w:sz w:val="19"/>
        <w:szCs w:val="19"/>
      </w:rPr>
      <w:t>第</w:t>
    </w:r>
    <w:r>
      <w:rPr>
        <w:spacing w:val="29"/>
        <w:sz w:val="19"/>
        <w:szCs w:val="19"/>
      </w:rPr>
      <w:t xml:space="preserve"> </w:t>
    </w:r>
    <w:r>
      <w:rPr>
        <w:spacing w:val="-2"/>
        <w:sz w:val="19"/>
        <w:szCs w:val="19"/>
      </w:rPr>
      <w:t>11</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6"/>
        <w:sz w:val="19"/>
        <w:szCs w:val="19"/>
      </w:rPr>
      <w:t xml:space="preserve"> </w:t>
    </w:r>
    <w:r>
      <w:rPr>
        <w:spacing w:val="-2"/>
        <w:sz w:val="19"/>
        <w:szCs w:val="19"/>
      </w:rPr>
      <w:t>24</w:t>
    </w:r>
    <w:r>
      <w:rPr>
        <w:spacing w:val="20"/>
        <w:sz w:val="19"/>
        <w:szCs w:val="19"/>
      </w:rPr>
      <w:t xml:space="preserve"> </w:t>
    </w:r>
    <w:r>
      <w:rPr>
        <w:spacing w:val="-2"/>
        <w:sz w:val="19"/>
        <w:szCs w:val="19"/>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18763">
    <w:pPr>
      <w:pStyle w:val="2"/>
      <w:spacing w:before="275" w:line="192" w:lineRule="auto"/>
      <w:ind w:left="7610"/>
      <w:rPr>
        <w:sz w:val="19"/>
        <w:szCs w:val="19"/>
      </w:rPr>
    </w:pPr>
  </w:p>
  <w:p w14:paraId="6EB50366">
    <w:pPr>
      <w:pStyle w:val="2"/>
      <w:spacing w:after="75" w:line="227" w:lineRule="auto"/>
      <w:ind w:left="4571"/>
      <w:rPr>
        <w:sz w:val="19"/>
        <w:szCs w:val="19"/>
      </w:rPr>
    </w:pPr>
    <w:r>
      <w:rPr>
        <w:spacing w:val="-2"/>
        <w:sz w:val="19"/>
        <w:szCs w:val="19"/>
      </w:rPr>
      <w:t>第</w:t>
    </w:r>
    <w:r>
      <w:rPr>
        <w:spacing w:val="29"/>
        <w:sz w:val="19"/>
        <w:szCs w:val="19"/>
      </w:rPr>
      <w:t xml:space="preserve"> </w:t>
    </w:r>
    <w:r>
      <w:rPr>
        <w:spacing w:val="-2"/>
        <w:sz w:val="19"/>
        <w:szCs w:val="19"/>
      </w:rPr>
      <w:t>12</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6"/>
        <w:sz w:val="19"/>
        <w:szCs w:val="19"/>
      </w:rPr>
      <w:t xml:space="preserve"> </w:t>
    </w:r>
    <w:r>
      <w:rPr>
        <w:spacing w:val="-2"/>
        <w:sz w:val="19"/>
        <w:szCs w:val="19"/>
      </w:rPr>
      <w:t>24</w:t>
    </w:r>
    <w:r>
      <w:rPr>
        <w:spacing w:val="20"/>
        <w:sz w:val="19"/>
        <w:szCs w:val="19"/>
      </w:rPr>
      <w:t xml:space="preserve"> </w:t>
    </w:r>
    <w:r>
      <w:rPr>
        <w:spacing w:val="-2"/>
        <w:sz w:val="19"/>
        <w:szCs w:val="19"/>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A134E">
    <w:pPr>
      <w:pStyle w:val="2"/>
      <w:spacing w:before="275" w:line="192" w:lineRule="auto"/>
      <w:ind w:left="7610"/>
      <w:rPr>
        <w:sz w:val="19"/>
        <w:szCs w:val="19"/>
      </w:rPr>
    </w:pPr>
  </w:p>
  <w:p w14:paraId="71CBC941">
    <w:pPr>
      <w:pStyle w:val="2"/>
      <w:spacing w:after="75" w:line="227" w:lineRule="auto"/>
      <w:ind w:left="4571"/>
      <w:rPr>
        <w:sz w:val="19"/>
        <w:szCs w:val="19"/>
      </w:rPr>
    </w:pPr>
    <w:r>
      <w:rPr>
        <w:spacing w:val="-2"/>
        <w:sz w:val="19"/>
        <w:szCs w:val="19"/>
      </w:rPr>
      <w:t>第</w:t>
    </w:r>
    <w:r>
      <w:rPr>
        <w:spacing w:val="29"/>
        <w:sz w:val="19"/>
        <w:szCs w:val="19"/>
      </w:rPr>
      <w:t xml:space="preserve"> </w:t>
    </w:r>
    <w:r>
      <w:rPr>
        <w:spacing w:val="-2"/>
        <w:sz w:val="19"/>
        <w:szCs w:val="19"/>
      </w:rPr>
      <w:t>13</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6"/>
        <w:sz w:val="19"/>
        <w:szCs w:val="19"/>
      </w:rPr>
      <w:t xml:space="preserve"> </w:t>
    </w:r>
    <w:r>
      <w:rPr>
        <w:spacing w:val="-2"/>
        <w:sz w:val="19"/>
        <w:szCs w:val="19"/>
      </w:rPr>
      <w:t>24</w:t>
    </w:r>
    <w:r>
      <w:rPr>
        <w:spacing w:val="20"/>
        <w:sz w:val="19"/>
        <w:szCs w:val="19"/>
      </w:rPr>
      <w:t xml:space="preserve"> </w:t>
    </w:r>
    <w:r>
      <w:rPr>
        <w:spacing w:val="-2"/>
        <w:sz w:val="19"/>
        <w:szCs w:val="19"/>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4DD6F">
    <w:pPr>
      <w:pStyle w:val="2"/>
      <w:spacing w:after="75" w:line="227" w:lineRule="auto"/>
      <w:ind w:left="4571"/>
      <w:rPr>
        <w:sz w:val="19"/>
        <w:szCs w:val="19"/>
      </w:rPr>
    </w:pPr>
    <w:r>
      <w:rPr>
        <w:spacing w:val="-2"/>
        <w:sz w:val="19"/>
        <w:szCs w:val="19"/>
      </w:rPr>
      <w:t>第</w:t>
    </w:r>
    <w:r>
      <w:rPr>
        <w:spacing w:val="29"/>
        <w:sz w:val="19"/>
        <w:szCs w:val="19"/>
      </w:rPr>
      <w:t xml:space="preserve"> </w:t>
    </w:r>
    <w:r>
      <w:rPr>
        <w:spacing w:val="-2"/>
        <w:sz w:val="19"/>
        <w:szCs w:val="19"/>
      </w:rPr>
      <w:t>14</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6"/>
        <w:sz w:val="19"/>
        <w:szCs w:val="19"/>
      </w:rPr>
      <w:t xml:space="preserve"> </w:t>
    </w:r>
    <w:r>
      <w:rPr>
        <w:spacing w:val="-2"/>
        <w:sz w:val="19"/>
        <w:szCs w:val="19"/>
      </w:rPr>
      <w:t>24</w:t>
    </w:r>
    <w:r>
      <w:rPr>
        <w:spacing w:val="20"/>
        <w:sz w:val="19"/>
        <w:szCs w:val="19"/>
      </w:rPr>
      <w:t xml:space="preserve"> </w:t>
    </w:r>
    <w:r>
      <w:rPr>
        <w:spacing w:val="-2"/>
        <w:sz w:val="19"/>
        <w:szCs w:val="19"/>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27FA6">
    <w:pPr>
      <w:pStyle w:val="2"/>
      <w:spacing w:before="275" w:line="192" w:lineRule="auto"/>
      <w:ind w:left="7610"/>
      <w:rPr>
        <w:sz w:val="19"/>
        <w:szCs w:val="19"/>
      </w:rPr>
    </w:pPr>
  </w:p>
  <w:p w14:paraId="1FD1B768">
    <w:pPr>
      <w:pStyle w:val="2"/>
      <w:spacing w:after="75" w:line="227" w:lineRule="auto"/>
      <w:ind w:left="4571"/>
      <w:rPr>
        <w:sz w:val="19"/>
        <w:szCs w:val="19"/>
      </w:rPr>
    </w:pPr>
    <w:r>
      <w:rPr>
        <w:spacing w:val="-2"/>
        <w:sz w:val="19"/>
        <w:szCs w:val="19"/>
      </w:rPr>
      <w:t>第</w:t>
    </w:r>
    <w:r>
      <w:rPr>
        <w:spacing w:val="29"/>
        <w:sz w:val="19"/>
        <w:szCs w:val="19"/>
      </w:rPr>
      <w:t xml:space="preserve"> </w:t>
    </w:r>
    <w:r>
      <w:rPr>
        <w:spacing w:val="-2"/>
        <w:sz w:val="19"/>
        <w:szCs w:val="19"/>
      </w:rPr>
      <w:t>15</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6"/>
        <w:sz w:val="19"/>
        <w:szCs w:val="19"/>
      </w:rPr>
      <w:t xml:space="preserve"> </w:t>
    </w:r>
    <w:r>
      <w:rPr>
        <w:spacing w:val="-2"/>
        <w:sz w:val="19"/>
        <w:szCs w:val="19"/>
      </w:rPr>
      <w:t>24</w:t>
    </w:r>
    <w:r>
      <w:rPr>
        <w:spacing w:val="20"/>
        <w:sz w:val="19"/>
        <w:szCs w:val="19"/>
      </w:rPr>
      <w:t xml:space="preserve"> </w:t>
    </w:r>
    <w:r>
      <w:rPr>
        <w:spacing w:val="-2"/>
        <w:sz w:val="19"/>
        <w:szCs w:val="19"/>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20588">
    <w:pPr>
      <w:pStyle w:val="2"/>
      <w:spacing w:before="275" w:line="192" w:lineRule="auto"/>
      <w:ind w:left="7610"/>
      <w:rPr>
        <w:sz w:val="19"/>
        <w:szCs w:val="19"/>
      </w:rPr>
    </w:pPr>
  </w:p>
  <w:p w14:paraId="61D34086">
    <w:pPr>
      <w:pStyle w:val="2"/>
      <w:spacing w:after="75" w:line="227" w:lineRule="auto"/>
      <w:ind w:left="4571"/>
      <w:rPr>
        <w:sz w:val="19"/>
        <w:szCs w:val="19"/>
      </w:rPr>
    </w:pPr>
    <w:r>
      <w:rPr>
        <w:spacing w:val="-2"/>
        <w:sz w:val="19"/>
        <w:szCs w:val="19"/>
      </w:rPr>
      <w:t>第</w:t>
    </w:r>
    <w:r>
      <w:rPr>
        <w:spacing w:val="29"/>
        <w:sz w:val="19"/>
        <w:szCs w:val="19"/>
      </w:rPr>
      <w:t xml:space="preserve"> </w:t>
    </w:r>
    <w:r>
      <w:rPr>
        <w:spacing w:val="-2"/>
        <w:sz w:val="19"/>
        <w:szCs w:val="19"/>
      </w:rPr>
      <w:t>16</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6"/>
        <w:sz w:val="19"/>
        <w:szCs w:val="19"/>
      </w:rPr>
      <w:t xml:space="preserve"> </w:t>
    </w:r>
    <w:r>
      <w:rPr>
        <w:spacing w:val="-2"/>
        <w:sz w:val="19"/>
        <w:szCs w:val="19"/>
      </w:rPr>
      <w:t>24</w:t>
    </w:r>
    <w:r>
      <w:rPr>
        <w:spacing w:val="20"/>
        <w:sz w:val="19"/>
        <w:szCs w:val="19"/>
      </w:rPr>
      <w:t xml:space="preserve"> </w:t>
    </w:r>
    <w:r>
      <w:rPr>
        <w:spacing w:val="-2"/>
        <w:sz w:val="19"/>
        <w:szCs w:val="19"/>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942F7">
    <w:pPr>
      <w:pStyle w:val="2"/>
      <w:spacing w:before="275" w:line="192" w:lineRule="auto"/>
      <w:ind w:left="7610"/>
      <w:rPr>
        <w:sz w:val="19"/>
        <w:szCs w:val="19"/>
      </w:rPr>
    </w:pPr>
  </w:p>
  <w:p w14:paraId="6A2FA879">
    <w:pPr>
      <w:pStyle w:val="2"/>
      <w:spacing w:after="75" w:line="227" w:lineRule="auto"/>
      <w:ind w:left="4571"/>
      <w:rPr>
        <w:sz w:val="19"/>
        <w:szCs w:val="19"/>
      </w:rPr>
    </w:pPr>
    <w:r>
      <w:rPr>
        <w:spacing w:val="-2"/>
        <w:sz w:val="19"/>
        <w:szCs w:val="19"/>
      </w:rPr>
      <w:t>第</w:t>
    </w:r>
    <w:r>
      <w:rPr>
        <w:spacing w:val="29"/>
        <w:sz w:val="19"/>
        <w:szCs w:val="19"/>
      </w:rPr>
      <w:t xml:space="preserve"> </w:t>
    </w:r>
    <w:r>
      <w:rPr>
        <w:spacing w:val="-2"/>
        <w:sz w:val="19"/>
        <w:szCs w:val="19"/>
      </w:rPr>
      <w:t>17</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6"/>
        <w:sz w:val="19"/>
        <w:szCs w:val="19"/>
      </w:rPr>
      <w:t xml:space="preserve"> </w:t>
    </w:r>
    <w:r>
      <w:rPr>
        <w:spacing w:val="-2"/>
        <w:sz w:val="19"/>
        <w:szCs w:val="19"/>
      </w:rPr>
      <w:t>24</w:t>
    </w:r>
    <w:r>
      <w:rPr>
        <w:spacing w:val="20"/>
        <w:sz w:val="19"/>
        <w:szCs w:val="19"/>
      </w:rPr>
      <w:t xml:space="preserve"> </w:t>
    </w:r>
    <w:r>
      <w:rPr>
        <w:spacing w:val="-2"/>
        <w:sz w:val="19"/>
        <w:szCs w:val="19"/>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C74E2">
    <w:pPr>
      <w:pStyle w:val="2"/>
      <w:spacing w:before="275" w:line="192" w:lineRule="auto"/>
      <w:ind w:left="7610"/>
      <w:rPr>
        <w:sz w:val="19"/>
        <w:szCs w:val="19"/>
      </w:rPr>
    </w:pPr>
  </w:p>
  <w:p w14:paraId="6BE10FB8">
    <w:pPr>
      <w:pStyle w:val="2"/>
      <w:spacing w:after="75" w:line="227" w:lineRule="auto"/>
      <w:ind w:left="4571"/>
      <w:rPr>
        <w:sz w:val="19"/>
        <w:szCs w:val="19"/>
      </w:rPr>
    </w:pPr>
    <w:r>
      <w:rPr>
        <w:spacing w:val="-2"/>
        <w:sz w:val="19"/>
        <w:szCs w:val="19"/>
      </w:rPr>
      <w:t>第</w:t>
    </w:r>
    <w:r>
      <w:rPr>
        <w:spacing w:val="29"/>
        <w:sz w:val="19"/>
        <w:szCs w:val="19"/>
      </w:rPr>
      <w:t xml:space="preserve"> </w:t>
    </w:r>
    <w:r>
      <w:rPr>
        <w:spacing w:val="-2"/>
        <w:sz w:val="19"/>
        <w:szCs w:val="19"/>
      </w:rPr>
      <w:t>18</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6"/>
        <w:sz w:val="19"/>
        <w:szCs w:val="19"/>
      </w:rPr>
      <w:t xml:space="preserve"> </w:t>
    </w:r>
    <w:r>
      <w:rPr>
        <w:spacing w:val="-2"/>
        <w:sz w:val="19"/>
        <w:szCs w:val="19"/>
      </w:rPr>
      <w:t>24</w:t>
    </w:r>
    <w:r>
      <w:rPr>
        <w:spacing w:val="20"/>
        <w:sz w:val="19"/>
        <w:szCs w:val="19"/>
      </w:rPr>
      <w:t xml:space="preserve"> </w:t>
    </w:r>
    <w:r>
      <w:rPr>
        <w:spacing w:val="-2"/>
        <w:sz w:val="19"/>
        <w:szCs w:val="19"/>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D2080">
    <w:pPr>
      <w:pStyle w:val="2"/>
      <w:spacing w:before="275" w:line="192" w:lineRule="auto"/>
      <w:ind w:left="7610"/>
      <w:rPr>
        <w:sz w:val="19"/>
        <w:szCs w:val="19"/>
      </w:rPr>
    </w:pPr>
  </w:p>
  <w:p w14:paraId="3C21885C">
    <w:pPr>
      <w:pStyle w:val="2"/>
      <w:spacing w:after="75" w:line="227" w:lineRule="auto"/>
      <w:ind w:left="4571"/>
      <w:rPr>
        <w:sz w:val="19"/>
        <w:szCs w:val="19"/>
      </w:rPr>
    </w:pPr>
    <w:r>
      <w:rPr>
        <w:spacing w:val="-2"/>
        <w:sz w:val="19"/>
        <w:szCs w:val="19"/>
      </w:rPr>
      <w:t>第</w:t>
    </w:r>
    <w:r>
      <w:rPr>
        <w:spacing w:val="29"/>
        <w:sz w:val="19"/>
        <w:szCs w:val="19"/>
      </w:rPr>
      <w:t xml:space="preserve"> </w:t>
    </w:r>
    <w:r>
      <w:rPr>
        <w:spacing w:val="-2"/>
        <w:sz w:val="19"/>
        <w:szCs w:val="19"/>
      </w:rPr>
      <w:t>19</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6"/>
        <w:sz w:val="19"/>
        <w:szCs w:val="19"/>
      </w:rPr>
      <w:t xml:space="preserve"> </w:t>
    </w:r>
    <w:r>
      <w:rPr>
        <w:spacing w:val="-2"/>
        <w:sz w:val="19"/>
        <w:szCs w:val="19"/>
      </w:rPr>
      <w:t>24</w:t>
    </w:r>
    <w:r>
      <w:rPr>
        <w:spacing w:val="20"/>
        <w:sz w:val="19"/>
        <w:szCs w:val="19"/>
      </w:rPr>
      <w:t xml:space="preserve"> </w:t>
    </w:r>
    <w:r>
      <w:rPr>
        <w:spacing w:val="-2"/>
        <w:sz w:val="19"/>
        <w:szCs w:val="19"/>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AF08E">
    <w:pPr>
      <w:pStyle w:val="2"/>
      <w:spacing w:before="275" w:line="192" w:lineRule="auto"/>
      <w:ind w:left="7610"/>
      <w:rPr>
        <w:sz w:val="19"/>
        <w:szCs w:val="19"/>
      </w:rPr>
    </w:pPr>
  </w:p>
  <w:p w14:paraId="4A89DEBB">
    <w:pPr>
      <w:pStyle w:val="2"/>
      <w:spacing w:after="75" w:line="227" w:lineRule="auto"/>
      <w:ind w:left="4571"/>
      <w:rPr>
        <w:sz w:val="19"/>
        <w:szCs w:val="19"/>
      </w:rPr>
    </w:pPr>
    <w:r>
      <w:rPr>
        <w:spacing w:val="-1"/>
        <w:sz w:val="19"/>
        <w:szCs w:val="19"/>
      </w:rPr>
      <w:t>第</w:t>
    </w:r>
    <w:r>
      <w:rPr>
        <w:spacing w:val="21"/>
        <w:sz w:val="19"/>
        <w:szCs w:val="19"/>
      </w:rPr>
      <w:t xml:space="preserve"> </w:t>
    </w:r>
    <w:r>
      <w:rPr>
        <w:spacing w:val="-1"/>
        <w:sz w:val="19"/>
        <w:szCs w:val="19"/>
      </w:rPr>
      <w:t>20</w:t>
    </w:r>
    <w:r>
      <w:rPr>
        <w:spacing w:val="19"/>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6"/>
        <w:sz w:val="19"/>
        <w:szCs w:val="19"/>
      </w:rPr>
      <w:t xml:space="preserve"> </w:t>
    </w:r>
    <w:r>
      <w:rPr>
        <w:spacing w:val="-1"/>
        <w:sz w:val="19"/>
        <w:szCs w:val="19"/>
      </w:rPr>
      <w:t>24</w:t>
    </w:r>
    <w:r>
      <w:rPr>
        <w:spacing w:val="20"/>
        <w:sz w:val="19"/>
        <w:szCs w:val="19"/>
      </w:rPr>
      <w:t xml:space="preserve"> </w:t>
    </w:r>
    <w:r>
      <w:rPr>
        <w:spacing w:val="-1"/>
        <w:sz w:val="19"/>
        <w:szCs w:val="19"/>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A57B4">
    <w:pPr>
      <w:pStyle w:val="2"/>
      <w:spacing w:after="75" w:line="227" w:lineRule="auto"/>
      <w:ind w:left="4571"/>
      <w:rPr>
        <w:sz w:val="19"/>
        <w:szCs w:val="19"/>
      </w:rPr>
    </w:pPr>
    <w:r>
      <w:rPr>
        <w:spacing w:val="-1"/>
        <w:sz w:val="19"/>
        <w:szCs w:val="19"/>
      </w:rPr>
      <w:t>第</w:t>
    </w:r>
    <w:r>
      <w:rPr>
        <w:spacing w:val="21"/>
        <w:sz w:val="19"/>
        <w:szCs w:val="19"/>
      </w:rPr>
      <w:t xml:space="preserve"> </w:t>
    </w:r>
    <w:r>
      <w:rPr>
        <w:spacing w:val="-1"/>
        <w:sz w:val="19"/>
        <w:szCs w:val="19"/>
      </w:rPr>
      <w:t>21</w:t>
    </w:r>
    <w:r>
      <w:rPr>
        <w:spacing w:val="19"/>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6"/>
        <w:sz w:val="19"/>
        <w:szCs w:val="19"/>
      </w:rPr>
      <w:t xml:space="preserve"> </w:t>
    </w:r>
    <w:r>
      <w:rPr>
        <w:spacing w:val="-1"/>
        <w:sz w:val="19"/>
        <w:szCs w:val="19"/>
      </w:rPr>
      <w:t>24</w:t>
    </w:r>
    <w:r>
      <w:rPr>
        <w:spacing w:val="20"/>
        <w:sz w:val="19"/>
        <w:szCs w:val="19"/>
      </w:rPr>
      <w:t xml:space="preserve"> </w:t>
    </w:r>
    <w:r>
      <w:rPr>
        <w:spacing w:val="-1"/>
        <w:sz w:val="19"/>
        <w:szCs w:val="19"/>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380B0">
    <w:pPr>
      <w:pStyle w:val="2"/>
      <w:spacing w:before="275" w:line="192" w:lineRule="auto"/>
      <w:ind w:left="7610"/>
      <w:rPr>
        <w:sz w:val="19"/>
        <w:szCs w:val="19"/>
      </w:rPr>
    </w:pPr>
  </w:p>
  <w:p w14:paraId="46A043AE">
    <w:pPr>
      <w:pStyle w:val="2"/>
      <w:spacing w:after="75" w:line="227" w:lineRule="auto"/>
      <w:ind w:left="4571"/>
      <w:rPr>
        <w:sz w:val="19"/>
        <w:szCs w:val="19"/>
      </w:rPr>
    </w:pPr>
    <w:r>
      <w:rPr>
        <w:spacing w:val="-1"/>
        <w:sz w:val="19"/>
        <w:szCs w:val="19"/>
      </w:rPr>
      <w:t>第</w:t>
    </w:r>
    <w:r>
      <w:rPr>
        <w:spacing w:val="21"/>
        <w:sz w:val="19"/>
        <w:szCs w:val="19"/>
      </w:rPr>
      <w:t xml:space="preserve"> </w:t>
    </w:r>
    <w:r>
      <w:rPr>
        <w:spacing w:val="-1"/>
        <w:sz w:val="19"/>
        <w:szCs w:val="19"/>
      </w:rPr>
      <w:t>22</w:t>
    </w:r>
    <w:r>
      <w:rPr>
        <w:spacing w:val="19"/>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6"/>
        <w:sz w:val="19"/>
        <w:szCs w:val="19"/>
      </w:rPr>
      <w:t xml:space="preserve"> </w:t>
    </w:r>
    <w:r>
      <w:rPr>
        <w:spacing w:val="-1"/>
        <w:sz w:val="19"/>
        <w:szCs w:val="19"/>
      </w:rPr>
      <w:t>24</w:t>
    </w:r>
    <w:r>
      <w:rPr>
        <w:spacing w:val="20"/>
        <w:sz w:val="19"/>
        <w:szCs w:val="19"/>
      </w:rPr>
      <w:t xml:space="preserve"> </w:t>
    </w:r>
    <w:r>
      <w:rPr>
        <w:spacing w:val="-1"/>
        <w:sz w:val="19"/>
        <w:szCs w:val="19"/>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913A2F">
    <w:pPr>
      <w:pStyle w:val="2"/>
      <w:spacing w:before="275" w:line="192" w:lineRule="auto"/>
      <w:ind w:left="7610"/>
      <w:rPr>
        <w:sz w:val="19"/>
        <w:szCs w:val="19"/>
      </w:rPr>
    </w:pPr>
  </w:p>
  <w:p w14:paraId="7CE43588">
    <w:pPr>
      <w:pStyle w:val="2"/>
      <w:spacing w:after="75" w:line="227" w:lineRule="auto"/>
      <w:ind w:left="4571"/>
      <w:rPr>
        <w:sz w:val="19"/>
        <w:szCs w:val="19"/>
      </w:rPr>
    </w:pPr>
    <w:r>
      <w:rPr>
        <w:spacing w:val="-1"/>
        <w:sz w:val="19"/>
        <w:szCs w:val="19"/>
      </w:rPr>
      <w:t>第</w:t>
    </w:r>
    <w:r>
      <w:rPr>
        <w:spacing w:val="21"/>
        <w:sz w:val="19"/>
        <w:szCs w:val="19"/>
      </w:rPr>
      <w:t xml:space="preserve"> </w:t>
    </w:r>
    <w:r>
      <w:rPr>
        <w:spacing w:val="-1"/>
        <w:sz w:val="19"/>
        <w:szCs w:val="19"/>
      </w:rPr>
      <w:t>23</w:t>
    </w:r>
    <w:r>
      <w:rPr>
        <w:spacing w:val="19"/>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6"/>
        <w:sz w:val="19"/>
        <w:szCs w:val="19"/>
      </w:rPr>
      <w:t xml:space="preserve"> </w:t>
    </w:r>
    <w:r>
      <w:rPr>
        <w:spacing w:val="-1"/>
        <w:sz w:val="19"/>
        <w:szCs w:val="19"/>
      </w:rPr>
      <w:t>24</w:t>
    </w:r>
    <w:r>
      <w:rPr>
        <w:spacing w:val="20"/>
        <w:sz w:val="19"/>
        <w:szCs w:val="19"/>
      </w:rPr>
      <w:t xml:space="preserve"> </w:t>
    </w:r>
    <w:r>
      <w:rPr>
        <w:spacing w:val="-1"/>
        <w:sz w:val="19"/>
        <w:szCs w:val="19"/>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BDA90">
    <w:pPr>
      <w:pStyle w:val="2"/>
      <w:spacing w:before="275" w:line="192" w:lineRule="auto"/>
      <w:ind w:left="7610"/>
      <w:rPr>
        <w:sz w:val="19"/>
        <w:szCs w:val="19"/>
      </w:rPr>
    </w:pPr>
  </w:p>
  <w:p w14:paraId="699EF027">
    <w:pPr>
      <w:pStyle w:val="2"/>
      <w:spacing w:after="75" w:line="227" w:lineRule="auto"/>
      <w:ind w:left="4571"/>
      <w:rPr>
        <w:sz w:val="19"/>
        <w:szCs w:val="19"/>
      </w:rPr>
    </w:pPr>
    <w:r>
      <w:rPr>
        <w:spacing w:val="-1"/>
        <w:sz w:val="19"/>
        <w:szCs w:val="19"/>
      </w:rPr>
      <w:t>第</w:t>
    </w:r>
    <w:r>
      <w:rPr>
        <w:spacing w:val="21"/>
        <w:sz w:val="19"/>
        <w:szCs w:val="19"/>
      </w:rPr>
      <w:t xml:space="preserve"> </w:t>
    </w:r>
    <w:r>
      <w:rPr>
        <w:spacing w:val="-1"/>
        <w:sz w:val="19"/>
        <w:szCs w:val="19"/>
      </w:rPr>
      <w:t>24</w:t>
    </w:r>
    <w:r>
      <w:rPr>
        <w:spacing w:val="19"/>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6"/>
        <w:sz w:val="19"/>
        <w:szCs w:val="19"/>
      </w:rPr>
      <w:t xml:space="preserve"> </w:t>
    </w:r>
    <w:r>
      <w:rPr>
        <w:spacing w:val="-1"/>
        <w:sz w:val="19"/>
        <w:szCs w:val="19"/>
      </w:rPr>
      <w:t>24</w:t>
    </w:r>
    <w:r>
      <w:rPr>
        <w:spacing w:val="20"/>
        <w:sz w:val="19"/>
        <w:szCs w:val="19"/>
      </w:rPr>
      <w:t xml:space="preserve"> </w:t>
    </w:r>
    <w:r>
      <w:rPr>
        <w:spacing w:val="-1"/>
        <w:sz w:val="19"/>
        <w:szCs w:val="19"/>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104B6">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02340">
    <w:pPr>
      <w:pStyle w:val="2"/>
      <w:spacing w:before="170" w:line="229" w:lineRule="auto"/>
      <w:ind w:left="506"/>
      <w:rPr>
        <w:sz w:val="19"/>
        <w:szCs w:val="19"/>
      </w:rPr>
    </w:pPr>
    <w:r>
      <w:pict>
        <v:shape id="_x0000_s2055" o:spid="_x0000_s2055" style="position:absolute;left:0pt;margin-left:61.7pt;margin-top:44.05pt;height:0.55pt;width:370pt;mso-position-horizontal-relative:page;mso-position-vertical-relative:page;z-index:251660288;mso-width-relative:page;mso-height-relative:page;" filled="f" stroked="t" coordsize="7400,11" o:allowincell="f" path="m0,5l7399,5e">
          <v:fill on="f" focussize="0,0"/>
          <v:stroke weight="0.5pt" color="#000000" miterlimit="10" joinstyle="miter"/>
          <v:imagedata o:title=""/>
          <o:lock v:ext="edit"/>
        </v:shape>
      </w:pict>
    </w:r>
    <w:r>
      <w:rPr>
        <w:spacing w:val="7"/>
        <w:sz w:val="19"/>
        <w:szCs w:val="19"/>
      </w:rPr>
      <w:t>学员专用 请勿外泄</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1A0E20E8"/>
    <w:rsid w:val="29633510"/>
    <w:rsid w:val="546A563B"/>
    <w:rsid w:val="7D07647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2"/>
      <w:szCs w:val="22"/>
      <w:lang w:val="en-US" w:eastAsia="en-US" w:bidi="ar-SA"/>
    </w:rPr>
  </w:style>
  <w:style w:type="paragraph" w:styleId="3">
    <w:name w:val="footer"/>
    <w:basedOn w:val="1"/>
    <w:uiPriority w:val="0"/>
    <w:pPr>
      <w:tabs>
        <w:tab w:val="center" w:pos="4153"/>
        <w:tab w:val="right" w:pos="8306"/>
      </w:tabs>
      <w:snapToGrid w:val="0"/>
      <w:jc w:val="left"/>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5" Type="http://schemas.openxmlformats.org/officeDocument/2006/relationships/fontTable" Target="fontTable.xml"/><Relationship Id="rId44" Type="http://schemas.openxmlformats.org/officeDocument/2006/relationships/customXml" Target="../customXml/item1.xml"/><Relationship Id="rId43" Type="http://schemas.openxmlformats.org/officeDocument/2006/relationships/image" Target="media/image13.jpeg"/><Relationship Id="rId42" Type="http://schemas.openxmlformats.org/officeDocument/2006/relationships/image" Target="media/image12.jpeg"/><Relationship Id="rId41" Type="http://schemas.openxmlformats.org/officeDocument/2006/relationships/image" Target="media/image11.png"/><Relationship Id="rId40" Type="http://schemas.openxmlformats.org/officeDocument/2006/relationships/image" Target="media/image10.jpeg"/><Relationship Id="rId4" Type="http://schemas.openxmlformats.org/officeDocument/2006/relationships/endnotes" Target="endnotes.xml"/><Relationship Id="rId39" Type="http://schemas.openxmlformats.org/officeDocument/2006/relationships/image" Target="media/image9.png"/><Relationship Id="rId38" Type="http://schemas.openxmlformats.org/officeDocument/2006/relationships/image" Target="media/image8.png"/><Relationship Id="rId37" Type="http://schemas.openxmlformats.org/officeDocument/2006/relationships/image" Target="media/image7.png"/><Relationship Id="rId36" Type="http://schemas.openxmlformats.org/officeDocument/2006/relationships/image" Target="media/image6.png"/><Relationship Id="rId35" Type="http://schemas.openxmlformats.org/officeDocument/2006/relationships/image" Target="media/image5.jpeg"/><Relationship Id="rId34" Type="http://schemas.openxmlformats.org/officeDocument/2006/relationships/image" Target="media/image4.jpeg"/><Relationship Id="rId33" Type="http://schemas.openxmlformats.org/officeDocument/2006/relationships/image" Target="media/image3.png"/><Relationship Id="rId32" Type="http://schemas.openxmlformats.org/officeDocument/2006/relationships/image" Target="media/image2.jpeg"/><Relationship Id="rId31" Type="http://schemas.openxmlformats.org/officeDocument/2006/relationships/image" Target="media/image1.jpeg"/><Relationship Id="rId30" Type="http://schemas.openxmlformats.org/officeDocument/2006/relationships/theme" Target="theme/theme1.xml"/><Relationship Id="rId3" Type="http://schemas.openxmlformats.org/officeDocument/2006/relationships/footnotes" Target="footnotes.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5"/>
    <customShpInfo spid="_x0000_s1026"/>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24</Pages>
  <Words>1789</Words>
  <Characters>1914</Characters>
  <TotalTime>12</TotalTime>
  <ScaleCrop>false</ScaleCrop>
  <LinksUpToDate>false</LinksUpToDate>
  <CharactersWithSpaces>1987</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2026-01-07T11:33:00Z</dcterms:created>
  <dc:creator>胡安然</dc:creator>
  <cp:lastModifiedBy>薛飞</cp:lastModifiedBy>
  <dcterms:modified xsi:type="dcterms:W3CDTF">2026-02-09T12:11:46Z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2026-02-09T19:57:54Z</vt:filetime>
  </property>
  <property fmtid="{D5CDD505-2E9C-101B-9397-08002B2CF9AE}" pid="4" name="KSOTemplateDocerSaveRecord">
    <vt:lpwstr>eyJoZGlkIjoiMDZhYjFkODJhOWFlZjdhZTJlNzA0NmE2MTZhNTZkMjEiLCJ1c2VySWQiOiI5NTk2ODI5NzQifQ==</vt:lpwstr>
  </property>
  <property fmtid="{D5CDD505-2E9C-101B-9397-08002B2CF9AE}" pid="5" name="KSOProductBuildVer">
    <vt:lpwstr>2052-12.1.0.24657</vt:lpwstr>
  </property>
  <property fmtid="{D5CDD505-2E9C-101B-9397-08002B2CF9AE}" pid="6" name="ICV">
    <vt:lpwstr>5B47D65A9B9C439B914B5876B7B2DCA7_12</vt:lpwstr>
  </property>
</Properties>
</file>