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0E74ED">
      <w:pPr>
        <w:spacing w:before="85"/>
      </w:pPr>
    </w:p>
    <w:p w14:paraId="7C11D818">
      <w:pPr>
        <w:sectPr>
          <w:headerReference r:id="rId5" w:type="default"/>
          <w:footerReference r:id="rId6" w:type="default"/>
          <w:pgSz w:w="11900" w:h="16840"/>
          <w:pgMar w:top="865" w:right="308" w:bottom="941" w:left="293" w:header="397" w:footer="585" w:gutter="0"/>
          <w:cols w:equalWidth="0" w:num="1">
            <w:col w:w="11299"/>
          </w:cols>
        </w:sectPr>
      </w:pPr>
    </w:p>
    <w:p w14:paraId="34C8485F">
      <w:pPr>
        <w:spacing w:line="329" w:lineRule="auto"/>
        <w:rPr>
          <w:rFonts w:ascii="Arial"/>
          <w:sz w:val="21"/>
        </w:rPr>
      </w:pPr>
    </w:p>
    <w:p w14:paraId="7B80C806">
      <w:pPr>
        <w:spacing w:line="329" w:lineRule="auto"/>
        <w:rPr>
          <w:rFonts w:ascii="Arial"/>
          <w:sz w:val="21"/>
        </w:rPr>
      </w:pPr>
    </w:p>
    <w:p w14:paraId="17A828B3">
      <w:pPr>
        <w:pStyle w:val="2"/>
        <w:spacing w:before="72" w:line="221" w:lineRule="auto"/>
        <w:ind w:left="1045"/>
      </w:pPr>
      <w:r>
        <w:rPr>
          <w:color w:val="222222"/>
        </w:rPr>
        <w:t>新教材封面</w:t>
      </w:r>
    </w:p>
    <w:p w14:paraId="40868CF1">
      <w:pPr>
        <w:spacing w:line="17" w:lineRule="exact"/>
      </w:pPr>
    </w:p>
    <w:p w14:paraId="709E423F">
      <w:pPr>
        <w:spacing w:line="14" w:lineRule="auto"/>
        <w:rPr>
          <w:rFonts w:ascii="Arial"/>
          <w:sz w:val="2"/>
        </w:rPr>
      </w:pPr>
      <w:r>
        <w:rPr>
          <w:rFonts w:ascii="Arial" w:hAnsi="Arial" w:eastAsia="Arial" w:cs="Arial"/>
          <w:sz w:val="2"/>
          <w:szCs w:val="2"/>
        </w:rPr>
        <w:br w:type="column"/>
      </w:r>
    </w:p>
    <w:p w14:paraId="03C8CF0B">
      <w:pPr>
        <w:spacing w:line="56" w:lineRule="exact"/>
      </w:pPr>
    </w:p>
    <w:tbl>
      <w:tblPr>
        <w:tblStyle w:val="5"/>
        <w:tblW w:w="1200" w:type="dxa"/>
        <w:tblInd w:w="10" w:type="dxa"/>
        <w:tblBorders>
          <w:top w:val="single" w:color="FFFFFF" w:sz="8" w:space="0"/>
          <w:left w:val="single" w:color="FFFFFF" w:sz="8" w:space="0"/>
          <w:bottom w:val="single" w:color="FFFFFF" w:sz="8" w:space="0"/>
          <w:right w:val="single" w:color="FFFFFF" w:sz="8" w:space="0"/>
          <w:insideH w:val="none" w:color="auto" w:sz="0" w:space="0"/>
          <w:insideV w:val="none" w:color="auto" w:sz="0" w:space="0"/>
        </w:tblBorders>
        <w:tblLayout w:type="fixed"/>
        <w:tblCellMar>
          <w:top w:w="0" w:type="dxa"/>
          <w:left w:w="0" w:type="dxa"/>
          <w:bottom w:w="0" w:type="dxa"/>
          <w:right w:w="0" w:type="dxa"/>
        </w:tblCellMar>
      </w:tblPr>
      <w:tblGrid>
        <w:gridCol w:w="1200"/>
      </w:tblGrid>
      <w:tr w14:paraId="69444205">
        <w:tblPrEx>
          <w:tblBorders>
            <w:top w:val="single" w:color="FFFFFF" w:sz="8" w:space="0"/>
            <w:left w:val="single" w:color="FFFFFF" w:sz="8" w:space="0"/>
            <w:bottom w:val="single" w:color="FFFFFF" w:sz="8" w:space="0"/>
            <w:right w:val="single" w:color="FFFFFF" w:sz="8" w:space="0"/>
            <w:insideH w:val="none" w:color="auto" w:sz="0" w:space="0"/>
            <w:insideV w:val="none" w:color="auto" w:sz="0" w:space="0"/>
          </w:tblBorders>
          <w:tblCellMar>
            <w:top w:w="0" w:type="dxa"/>
            <w:left w:w="0" w:type="dxa"/>
            <w:bottom w:w="0" w:type="dxa"/>
            <w:right w:w="0" w:type="dxa"/>
          </w:tblCellMar>
        </w:tblPrEx>
        <w:trPr>
          <w:trHeight w:val="660" w:hRule="atLeast"/>
        </w:trPr>
        <w:tc>
          <w:tcPr>
            <w:tcW w:w="1200" w:type="dxa"/>
            <w:vAlign w:val="top"/>
          </w:tcPr>
          <w:p w14:paraId="1A1E54EE">
            <w:pPr>
              <w:rPr>
                <w:rFonts w:ascii="Arial"/>
                <w:sz w:val="21"/>
              </w:rPr>
            </w:pPr>
          </w:p>
        </w:tc>
      </w:tr>
    </w:tbl>
    <w:p w14:paraId="5ABBC195">
      <w:pPr>
        <w:rPr>
          <w:rFonts w:ascii="Arial"/>
          <w:sz w:val="21"/>
        </w:rPr>
      </w:pPr>
    </w:p>
    <w:p w14:paraId="4508BB6A">
      <w:pPr>
        <w:spacing w:line="14" w:lineRule="auto"/>
        <w:rPr>
          <w:rFonts w:ascii="Arial"/>
          <w:sz w:val="2"/>
        </w:rPr>
      </w:pPr>
      <w:r>
        <w:rPr>
          <w:rFonts w:ascii="Arial" w:hAnsi="Arial" w:eastAsia="Arial" w:cs="Arial"/>
          <w:sz w:val="2"/>
          <w:szCs w:val="2"/>
        </w:rPr>
        <w:br w:type="column"/>
      </w:r>
    </w:p>
    <w:p w14:paraId="76699B8B">
      <w:pPr>
        <w:pStyle w:val="2"/>
        <w:spacing w:before="164" w:line="225" w:lineRule="auto"/>
        <w:outlineLvl w:val="0"/>
        <w:rPr>
          <w:sz w:val="28"/>
          <w:szCs w:val="28"/>
        </w:rPr>
      </w:pPr>
      <w:r>
        <w:rPr>
          <w:color w:val="222222"/>
          <w:spacing w:val="6"/>
          <w:sz w:val="28"/>
          <w:szCs w:val="28"/>
        </w:rPr>
        <w:t>新教材解读</w:t>
      </w:r>
    </w:p>
    <w:p w14:paraId="46809E3C">
      <w:pPr>
        <w:spacing w:line="225" w:lineRule="auto"/>
        <w:rPr>
          <w:sz w:val="28"/>
          <w:szCs w:val="28"/>
        </w:rPr>
        <w:sectPr>
          <w:type w:val="continuous"/>
          <w:pgSz w:w="11900" w:h="16840"/>
          <w:pgMar w:top="865" w:right="308" w:bottom="941" w:left="293" w:header="397" w:footer="585" w:gutter="0"/>
          <w:cols w:equalWidth="0" w:num="3">
            <w:col w:w="4257" w:space="100"/>
            <w:col w:w="1281" w:space="100"/>
            <w:col w:w="5561"/>
          </w:cols>
        </w:sectPr>
      </w:pPr>
    </w:p>
    <w:p w14:paraId="4821CB0B">
      <w:pPr>
        <w:spacing w:before="111" w:line="3502" w:lineRule="exact"/>
        <w:ind w:firstLine="1040"/>
      </w:pPr>
      <w:r>
        <w:rPr>
          <w:position w:val="-70"/>
        </w:rPr>
        <w:drawing>
          <wp:inline distT="0" distB="0" distL="0" distR="0">
            <wp:extent cx="1552575" cy="222313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26"/>
                    <a:stretch>
                      <a:fillRect/>
                    </a:stretch>
                  </pic:blipFill>
                  <pic:spPr>
                    <a:xfrm>
                      <a:off x="0" y="0"/>
                      <a:ext cx="1553019" cy="2223642"/>
                    </a:xfrm>
                    <a:prstGeom prst="rect">
                      <a:avLst/>
                    </a:prstGeom>
                  </pic:spPr>
                </pic:pic>
              </a:graphicData>
            </a:graphic>
          </wp:inline>
        </w:drawing>
      </w:r>
    </w:p>
    <w:p w14:paraId="06E61071">
      <w:pPr>
        <w:pStyle w:val="2"/>
        <w:spacing w:before="164" w:line="221" w:lineRule="auto"/>
        <w:ind w:left="1044"/>
      </w:pPr>
      <w:r>
        <w:rPr>
          <w:color w:val="222222"/>
          <w:spacing w:val="1"/>
        </w:rPr>
        <w:t>新教材整体变动情况说明</w:t>
      </w:r>
    </w:p>
    <w:p w14:paraId="5294C8BB">
      <w:pPr>
        <w:pStyle w:val="2"/>
        <w:spacing w:before="70" w:line="221" w:lineRule="auto"/>
        <w:ind w:left="1056"/>
      </w:pPr>
      <w:r>
        <w:rPr>
          <w:color w:val="222222"/>
        </w:rPr>
        <w:t>（1）教材章节、页码变动</w:t>
      </w:r>
    </w:p>
    <w:p w14:paraId="1582A97B">
      <w:pPr>
        <w:pStyle w:val="2"/>
        <w:spacing w:before="70" w:line="221" w:lineRule="auto"/>
        <w:ind w:left="1052"/>
      </w:pPr>
      <w:r>
        <w:rPr>
          <w:color w:val="222222"/>
        </w:rPr>
        <w:t>2025版教材：381页</w:t>
      </w:r>
    </w:p>
    <w:p w14:paraId="52884CF4">
      <w:pPr>
        <w:pStyle w:val="2"/>
        <w:spacing w:before="70" w:line="221" w:lineRule="auto"/>
        <w:ind w:left="1052"/>
      </w:pPr>
      <w:r>
        <w:rPr>
          <w:color w:val="222222"/>
        </w:rPr>
        <w:t>2026版教材：</w:t>
      </w:r>
      <w:r>
        <w:rPr>
          <w:color w:val="A50021"/>
          <w:u w:val="single" w:color="auto"/>
        </w:rPr>
        <w:t>388页</w:t>
      </w:r>
    </w:p>
    <w:p w14:paraId="05D66B5C">
      <w:pPr>
        <w:pStyle w:val="2"/>
        <w:spacing w:before="70" w:line="280" w:lineRule="auto"/>
        <w:ind w:left="607" w:right="699" w:firstLine="442"/>
      </w:pPr>
      <w:r>
        <w:rPr>
          <w:color w:val="222222"/>
          <w:spacing w:val="2"/>
        </w:rPr>
        <w:t>相比去年，整体章节结构没有变化；整本教材总体变化约</w:t>
      </w:r>
      <w:r>
        <w:rPr>
          <w:color w:val="A50021"/>
          <w:spacing w:val="2"/>
          <w:u w:val="single" w:color="auto"/>
        </w:rPr>
        <w:t>3%</w:t>
      </w:r>
      <w:r>
        <w:rPr>
          <w:color w:val="222222"/>
          <w:spacing w:val="2"/>
        </w:rPr>
        <w:t>左右，主要是一些细节内容的调整与完</w:t>
      </w:r>
      <w:r>
        <w:rPr>
          <w:color w:val="222222"/>
          <w:spacing w:val="1"/>
        </w:rPr>
        <w:t>善，涉及实质考点的变化内容并不多。</w:t>
      </w:r>
    </w:p>
    <w:p w14:paraId="5D2922AF">
      <w:pPr>
        <w:pStyle w:val="2"/>
        <w:spacing w:before="2" w:line="279" w:lineRule="auto"/>
        <w:ind w:left="601" w:right="593" w:firstLine="449"/>
      </w:pPr>
      <w:r>
        <w:rPr>
          <w:color w:val="222222"/>
          <w:spacing w:val="2"/>
        </w:rPr>
        <w:t>主要集中在</w:t>
      </w:r>
      <w:r>
        <w:rPr>
          <w:color w:val="A50021"/>
          <w:spacing w:val="2"/>
          <w:u w:val="single" w:color="auto"/>
        </w:rPr>
        <w:t>第2章 经济效果评价、第6章 财务会计基础、第9章 利润与</w:t>
      </w:r>
      <w:r>
        <w:rPr>
          <w:color w:val="A50021"/>
          <w:spacing w:val="1"/>
          <w:u w:val="single" w:color="auto"/>
        </w:rPr>
        <w:t>所得税费用、第11章 筹资管</w:t>
      </w:r>
      <w:r>
        <w:rPr>
          <w:color w:val="A50021"/>
          <w:spacing w:val="3"/>
          <w:u w:val="single" w:color="auto"/>
        </w:rPr>
        <w:t>理、第17章 工程计量与支付。</w:t>
      </w:r>
    </w:p>
    <w:p w14:paraId="45181A63">
      <w:pPr>
        <w:pStyle w:val="2"/>
        <w:spacing w:line="186" w:lineRule="auto"/>
        <w:ind w:left="1046"/>
      </w:pPr>
      <w:r>
        <w:rPr>
          <w:color w:val="222222"/>
        </w:rPr>
        <w:t>教材变动对比表</w:t>
      </w:r>
    </w:p>
    <w:p w14:paraId="61FF21E2">
      <w:pPr>
        <w:spacing w:line="186" w:lineRule="auto"/>
        <w:sectPr>
          <w:type w:val="continuous"/>
          <w:pgSz w:w="11900" w:h="16840"/>
          <w:pgMar w:top="865" w:right="308" w:bottom="941" w:left="293" w:header="397" w:footer="585" w:gutter="0"/>
          <w:cols w:equalWidth="0" w:num="1">
            <w:col w:w="11299"/>
          </w:cols>
        </w:sectPr>
      </w:pPr>
    </w:p>
    <w:p w14:paraId="18C09302">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4829C514">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096" w:type="dxa"/>
            <w:gridSpan w:val="3"/>
            <w:vAlign w:val="top"/>
          </w:tcPr>
          <w:p w14:paraId="0B689702">
            <w:pPr>
              <w:pStyle w:val="6"/>
              <w:spacing w:before="145" w:line="221" w:lineRule="auto"/>
              <w:ind w:left="4263"/>
            </w:pPr>
            <w:r>
              <w:rPr>
                <w:color w:val="222222"/>
                <w:spacing w:val="-2"/>
              </w:rPr>
              <w:t>第1篇</w:t>
            </w:r>
            <w:r>
              <w:rPr>
                <w:color w:val="222222"/>
                <w:spacing w:val="18"/>
              </w:rPr>
              <w:t xml:space="preserve"> </w:t>
            </w:r>
            <w:r>
              <w:rPr>
                <w:color w:val="222222"/>
                <w:spacing w:val="-2"/>
              </w:rPr>
              <w:t>工程经济</w:t>
            </w:r>
          </w:p>
        </w:tc>
      </w:tr>
      <w:tr w14:paraId="0F413389">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2" w:hRule="atLeast"/>
        </w:trPr>
        <w:tc>
          <w:tcPr>
            <w:tcW w:w="1021" w:type="dxa"/>
            <w:vAlign w:val="top"/>
          </w:tcPr>
          <w:p w14:paraId="65626E2D">
            <w:pPr>
              <w:pStyle w:val="6"/>
              <w:spacing w:before="134" w:line="221" w:lineRule="auto"/>
              <w:ind w:left="285"/>
            </w:pPr>
            <w:r>
              <w:rPr>
                <w:color w:val="222222"/>
              </w:rPr>
              <w:t>章</w:t>
            </w:r>
          </w:p>
        </w:tc>
        <w:tc>
          <w:tcPr>
            <w:tcW w:w="2019" w:type="dxa"/>
            <w:vAlign w:val="top"/>
          </w:tcPr>
          <w:p w14:paraId="3EA29BC5">
            <w:pPr>
              <w:pStyle w:val="6"/>
              <w:spacing w:before="135" w:line="222" w:lineRule="auto"/>
              <w:ind w:left="885"/>
            </w:pPr>
            <w:r>
              <w:rPr>
                <w:color w:val="222222"/>
              </w:rPr>
              <w:t>节</w:t>
            </w:r>
          </w:p>
        </w:tc>
        <w:tc>
          <w:tcPr>
            <w:tcW w:w="7056" w:type="dxa"/>
            <w:vAlign w:val="top"/>
          </w:tcPr>
          <w:p w14:paraId="7CEF4DEE">
            <w:pPr>
              <w:pStyle w:val="6"/>
              <w:spacing w:before="135" w:line="221" w:lineRule="auto"/>
              <w:ind w:left="3073"/>
            </w:pPr>
            <w:r>
              <w:rPr>
                <w:color w:val="222222"/>
                <w:spacing w:val="-1"/>
              </w:rPr>
              <w:t>变化说明</w:t>
            </w:r>
          </w:p>
        </w:tc>
      </w:tr>
      <w:tr w14:paraId="0148CEDC">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1177" w:hRule="atLeast"/>
        </w:trPr>
        <w:tc>
          <w:tcPr>
            <w:tcW w:w="1021" w:type="dxa"/>
            <w:vMerge w:val="restart"/>
            <w:tcBorders>
              <w:bottom w:val="nil"/>
            </w:tcBorders>
            <w:vAlign w:val="top"/>
          </w:tcPr>
          <w:p w14:paraId="3A06A82B">
            <w:pPr>
              <w:spacing w:line="260" w:lineRule="auto"/>
              <w:rPr>
                <w:rFonts w:ascii="Arial"/>
                <w:sz w:val="21"/>
              </w:rPr>
            </w:pPr>
          </w:p>
          <w:p w14:paraId="049A1DC8">
            <w:pPr>
              <w:spacing w:line="260" w:lineRule="auto"/>
              <w:rPr>
                <w:rFonts w:ascii="Arial"/>
                <w:sz w:val="21"/>
              </w:rPr>
            </w:pPr>
          </w:p>
          <w:p w14:paraId="4B33D3C7">
            <w:pPr>
              <w:spacing w:line="261" w:lineRule="auto"/>
              <w:rPr>
                <w:rFonts w:ascii="Arial"/>
                <w:sz w:val="21"/>
              </w:rPr>
            </w:pPr>
          </w:p>
          <w:p w14:paraId="4E634C5E">
            <w:pPr>
              <w:spacing w:line="261" w:lineRule="auto"/>
              <w:rPr>
                <w:rFonts w:ascii="Arial"/>
                <w:sz w:val="21"/>
              </w:rPr>
            </w:pPr>
          </w:p>
          <w:p w14:paraId="015E62A5">
            <w:pPr>
              <w:spacing w:line="261" w:lineRule="auto"/>
              <w:rPr>
                <w:rFonts w:ascii="Arial"/>
                <w:sz w:val="21"/>
              </w:rPr>
            </w:pPr>
          </w:p>
          <w:p w14:paraId="313B5B6B">
            <w:pPr>
              <w:spacing w:line="261" w:lineRule="auto"/>
              <w:rPr>
                <w:rFonts w:ascii="Arial"/>
                <w:sz w:val="21"/>
              </w:rPr>
            </w:pPr>
          </w:p>
          <w:p w14:paraId="3CE93C94">
            <w:pPr>
              <w:spacing w:line="261" w:lineRule="auto"/>
              <w:rPr>
                <w:rFonts w:ascii="Arial"/>
                <w:sz w:val="21"/>
              </w:rPr>
            </w:pPr>
          </w:p>
          <w:p w14:paraId="4EE3EAD6">
            <w:pPr>
              <w:spacing w:line="261" w:lineRule="auto"/>
              <w:rPr>
                <w:rFonts w:ascii="Arial"/>
                <w:sz w:val="21"/>
              </w:rPr>
            </w:pPr>
          </w:p>
          <w:p w14:paraId="52191AFC">
            <w:pPr>
              <w:pStyle w:val="6"/>
              <w:spacing w:before="71" w:line="281" w:lineRule="auto"/>
              <w:ind w:left="66" w:right="277"/>
            </w:pPr>
            <w:r>
              <w:rPr>
                <w:color w:val="222222"/>
                <w:spacing w:val="-2"/>
              </w:rPr>
              <w:t>第1章资金时间价值计算及</w:t>
            </w:r>
            <w:r>
              <w:rPr>
                <w:color w:val="222222"/>
                <w:spacing w:val="-3"/>
              </w:rPr>
              <w:t>应用</w:t>
            </w:r>
          </w:p>
        </w:tc>
        <w:tc>
          <w:tcPr>
            <w:tcW w:w="2019" w:type="dxa"/>
            <w:vAlign w:val="top"/>
          </w:tcPr>
          <w:p w14:paraId="1A3E1609">
            <w:pPr>
              <w:spacing w:line="396" w:lineRule="auto"/>
              <w:rPr>
                <w:rFonts w:ascii="Arial"/>
                <w:sz w:val="21"/>
              </w:rPr>
            </w:pPr>
          </w:p>
          <w:p w14:paraId="0D2E28B9">
            <w:pPr>
              <w:pStyle w:val="6"/>
              <w:spacing w:before="72" w:line="221" w:lineRule="auto"/>
              <w:ind w:left="73"/>
            </w:pPr>
            <w:r>
              <w:rPr>
                <w:color w:val="222222"/>
                <w:spacing w:val="-2"/>
              </w:rPr>
              <w:t>1.1 利息的计算</w:t>
            </w:r>
          </w:p>
        </w:tc>
        <w:tc>
          <w:tcPr>
            <w:tcW w:w="7056" w:type="dxa"/>
            <w:vAlign w:val="top"/>
          </w:tcPr>
          <w:p w14:paraId="237DC340">
            <w:pPr>
              <w:pStyle w:val="6"/>
              <w:spacing w:before="136" w:line="221" w:lineRule="auto"/>
              <w:ind w:left="52"/>
            </w:pPr>
            <w:r>
              <w:rPr>
                <w:color w:val="A50021"/>
                <w:spacing w:val="3"/>
                <w:u w:val="single" w:color="auto"/>
              </w:rPr>
              <w:t>P1：第1章前言新增一段。</w:t>
            </w:r>
          </w:p>
          <w:p w14:paraId="7F98AA89">
            <w:pPr>
              <w:pStyle w:val="6"/>
              <w:spacing w:before="71" w:line="218" w:lineRule="auto"/>
              <w:ind w:left="65"/>
            </w:pPr>
            <w:r>
              <w:pict>
                <v:shape id="_x0000_s1026" o:spid="_x0000_s1026" style="position:absolute;left:0pt;margin-left:2.35pt;margin-top:13.65pt;height:0.6pt;width:345.2pt;z-index:251659264;mso-width-relative:page;mso-height-relative:page;" filled="f" stroked="t" coordsize="6904,12" path="m5,5l4674,5m4674,5l6008,5m6008,5l6897,5e">
                  <v:fill on="f" focussize="0,0"/>
                  <v:stroke weight="0.56pt" color="#A50021" miterlimit="10" joinstyle="bevel" endcap="square"/>
                  <v:imagedata o:title=""/>
                  <o:lock v:ext="edit"/>
                </v:shape>
              </w:pict>
            </w:r>
            <w:r>
              <w:rPr>
                <w:color w:val="A50021"/>
                <w:spacing w:val="-19"/>
              </w:rPr>
              <w:t>资金时间价值是指资金价值随时间变化而变化， · ·</w:t>
            </w:r>
            <w:r>
              <w:rPr>
                <w:color w:val="A50021"/>
                <w:spacing w:val="-5"/>
              </w:rPr>
              <w:t xml:space="preserve"> </w:t>
            </w:r>
            <w:r>
              <w:rPr>
                <w:color w:val="A50021"/>
                <w:spacing w:val="-19"/>
              </w:rPr>
              <w:t>·</w:t>
            </w:r>
            <w:r>
              <w:rPr>
                <w:color w:val="A50021"/>
                <w:spacing w:val="-23"/>
              </w:rPr>
              <w:t xml:space="preserve"> </w:t>
            </w:r>
            <w:r>
              <w:rPr>
                <w:color w:val="A50021"/>
                <w:spacing w:val="-19"/>
              </w:rPr>
              <w:t>·</w:t>
            </w:r>
            <w:r>
              <w:rPr>
                <w:color w:val="A50021"/>
                <w:spacing w:val="-23"/>
              </w:rPr>
              <w:t xml:space="preserve"> </w:t>
            </w:r>
            <w:r>
              <w:rPr>
                <w:color w:val="A50021"/>
                <w:spacing w:val="-19"/>
              </w:rPr>
              <w:t>·</w:t>
            </w:r>
            <w:r>
              <w:rPr>
                <w:color w:val="A50021"/>
                <w:spacing w:val="-24"/>
              </w:rPr>
              <w:t xml:space="preserve"> </w:t>
            </w:r>
            <w:r>
              <w:rPr>
                <w:color w:val="A50021"/>
                <w:spacing w:val="-19"/>
              </w:rPr>
              <w:t>·</w:t>
            </w:r>
            <w:r>
              <w:rPr>
                <w:color w:val="A50021"/>
                <w:spacing w:val="-81"/>
              </w:rPr>
              <w:t xml:space="preserve"> </w:t>
            </w:r>
            <w:r>
              <w:rPr>
                <w:color w:val="A50021"/>
                <w:spacing w:val="-19"/>
              </w:rPr>
              <w:t>,</w:t>
            </w:r>
            <w:r>
              <w:rPr>
                <w:color w:val="A50021"/>
                <w:spacing w:val="64"/>
              </w:rPr>
              <w:t xml:space="preserve"> </w:t>
            </w:r>
            <w:r>
              <w:rPr>
                <w:color w:val="A50021"/>
                <w:spacing w:val="-19"/>
              </w:rPr>
              <w:t>它们遵</w:t>
            </w:r>
          </w:p>
          <w:p w14:paraId="558C1E51">
            <w:pPr>
              <w:pStyle w:val="6"/>
              <w:spacing w:before="73" w:line="221" w:lineRule="auto"/>
              <w:ind w:left="55"/>
            </w:pPr>
            <w:r>
              <w:rPr>
                <w:color w:val="A50021"/>
                <w:spacing w:val="3"/>
                <w:u w:val="single" w:color="auto"/>
              </w:rPr>
              <w:t>循相同的计算原理和规则。</w:t>
            </w:r>
          </w:p>
        </w:tc>
      </w:tr>
      <w:tr w14:paraId="4D68BEF0">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1510" w:hRule="atLeast"/>
        </w:trPr>
        <w:tc>
          <w:tcPr>
            <w:tcW w:w="1021" w:type="dxa"/>
            <w:vMerge w:val="continue"/>
            <w:tcBorders>
              <w:top w:val="nil"/>
              <w:bottom w:val="nil"/>
            </w:tcBorders>
            <w:vAlign w:val="top"/>
          </w:tcPr>
          <w:p w14:paraId="021429B4">
            <w:pPr>
              <w:rPr>
                <w:rFonts w:ascii="Arial"/>
                <w:sz w:val="21"/>
              </w:rPr>
            </w:pPr>
          </w:p>
        </w:tc>
        <w:tc>
          <w:tcPr>
            <w:tcW w:w="2019" w:type="dxa"/>
            <w:vAlign w:val="top"/>
          </w:tcPr>
          <w:p w14:paraId="16432075">
            <w:pPr>
              <w:spacing w:line="399" w:lineRule="auto"/>
              <w:rPr>
                <w:rFonts w:ascii="Arial"/>
                <w:sz w:val="21"/>
              </w:rPr>
            </w:pPr>
          </w:p>
          <w:p w14:paraId="2F66ABF2">
            <w:pPr>
              <w:pStyle w:val="6"/>
              <w:spacing w:before="72" w:line="282" w:lineRule="auto"/>
              <w:ind w:left="62" w:right="173" w:firstLine="11"/>
            </w:pPr>
            <w:r>
              <w:rPr>
                <w:color w:val="222222"/>
                <w:spacing w:val="-1"/>
              </w:rPr>
              <w:t>1.2 名义利率与有效利率计算</w:t>
            </w:r>
          </w:p>
        </w:tc>
        <w:tc>
          <w:tcPr>
            <w:tcW w:w="7056" w:type="dxa"/>
            <w:vAlign w:val="top"/>
          </w:tcPr>
          <w:p w14:paraId="488BEE14">
            <w:pPr>
              <w:pStyle w:val="6"/>
              <w:spacing w:before="140" w:line="221" w:lineRule="auto"/>
              <w:ind w:left="52"/>
            </w:pPr>
            <w:r>
              <w:rPr>
                <w:color w:val="A50021"/>
                <w:spacing w:val="1"/>
                <w:u w:val="single" w:color="auto"/>
              </w:rPr>
              <w:t>P6：1.2.1名义利率的计算 修改一句话</w:t>
            </w:r>
          </w:p>
          <w:p w14:paraId="76885292">
            <w:pPr>
              <w:pStyle w:val="6"/>
              <w:spacing w:before="69" w:line="221" w:lineRule="auto"/>
              <w:ind w:left="64"/>
            </w:pPr>
            <w:r>
              <w:rPr>
                <w:color w:val="222222"/>
                <w:spacing w:val="2"/>
              </w:rPr>
              <w:t>25版：</w:t>
            </w:r>
            <w:r>
              <w:rPr>
                <w:color w:val="A50021"/>
                <w:spacing w:val="2"/>
                <w:u w:val="single" w:color="auto"/>
              </w:rPr>
              <w:t>通常公布的年利率为名义利率。</w:t>
            </w:r>
          </w:p>
          <w:p w14:paraId="5DB624BD">
            <w:pPr>
              <w:pStyle w:val="6"/>
              <w:spacing w:before="70" w:line="282" w:lineRule="auto"/>
              <w:ind w:left="57" w:right="98" w:firstLine="6"/>
            </w:pPr>
            <w:r>
              <w:rPr>
                <w:color w:val="222222"/>
                <w:spacing w:val="2"/>
              </w:rPr>
              <w:t>26版：</w:t>
            </w:r>
            <w:r>
              <w:rPr>
                <w:color w:val="A50021"/>
                <w:spacing w:val="2"/>
                <w:u w:val="single" w:color="auto"/>
              </w:rPr>
              <w:t>金融机构公告的存款利率、贷款利率</w:t>
            </w:r>
            <w:r>
              <w:rPr>
                <w:color w:val="A50021"/>
                <w:spacing w:val="1"/>
                <w:u w:val="single" w:color="auto"/>
              </w:rPr>
              <w:t>、市场报价利率一般为年利</w:t>
            </w:r>
            <w:r>
              <w:rPr>
                <w:color w:val="A50021"/>
                <w:spacing w:val="4"/>
                <w:u w:val="single" w:color="auto"/>
              </w:rPr>
              <w:t>率，是一种名义利率。</w:t>
            </w:r>
          </w:p>
        </w:tc>
      </w:tr>
      <w:tr w14:paraId="7590E86E">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3183" w:hRule="atLeast"/>
        </w:trPr>
        <w:tc>
          <w:tcPr>
            <w:tcW w:w="1021" w:type="dxa"/>
            <w:vMerge w:val="continue"/>
            <w:tcBorders>
              <w:top w:val="nil"/>
            </w:tcBorders>
            <w:vAlign w:val="top"/>
          </w:tcPr>
          <w:p w14:paraId="3DA5C72B">
            <w:pPr>
              <w:rPr>
                <w:rFonts w:ascii="Arial"/>
                <w:sz w:val="21"/>
              </w:rPr>
            </w:pPr>
          </w:p>
        </w:tc>
        <w:tc>
          <w:tcPr>
            <w:tcW w:w="2019" w:type="dxa"/>
            <w:vAlign w:val="top"/>
          </w:tcPr>
          <w:p w14:paraId="79704A32">
            <w:pPr>
              <w:spacing w:line="246" w:lineRule="auto"/>
              <w:rPr>
                <w:rFonts w:ascii="Arial"/>
                <w:sz w:val="21"/>
              </w:rPr>
            </w:pPr>
          </w:p>
          <w:p w14:paraId="60D455D3">
            <w:pPr>
              <w:spacing w:line="247" w:lineRule="auto"/>
              <w:rPr>
                <w:rFonts w:ascii="Arial"/>
                <w:sz w:val="21"/>
              </w:rPr>
            </w:pPr>
          </w:p>
          <w:p w14:paraId="08FBA550">
            <w:pPr>
              <w:spacing w:line="247" w:lineRule="auto"/>
              <w:rPr>
                <w:rFonts w:ascii="Arial"/>
                <w:sz w:val="21"/>
              </w:rPr>
            </w:pPr>
          </w:p>
          <w:p w14:paraId="6267F365">
            <w:pPr>
              <w:spacing w:line="247" w:lineRule="auto"/>
              <w:rPr>
                <w:rFonts w:ascii="Arial"/>
                <w:sz w:val="21"/>
              </w:rPr>
            </w:pPr>
          </w:p>
          <w:p w14:paraId="73B9F8CD">
            <w:pPr>
              <w:spacing w:line="247" w:lineRule="auto"/>
              <w:rPr>
                <w:rFonts w:ascii="Arial"/>
                <w:sz w:val="21"/>
              </w:rPr>
            </w:pPr>
          </w:p>
          <w:p w14:paraId="10A1D2AF">
            <w:pPr>
              <w:pStyle w:val="6"/>
              <w:spacing w:before="71" w:line="282" w:lineRule="auto"/>
              <w:ind w:left="56" w:right="173" w:firstLine="17"/>
            </w:pPr>
            <w:r>
              <w:rPr>
                <w:color w:val="222222"/>
                <w:spacing w:val="-4"/>
              </w:rPr>
              <w:t>1.3</w:t>
            </w:r>
            <w:r>
              <w:rPr>
                <w:color w:val="222222"/>
                <w:spacing w:val="26"/>
              </w:rPr>
              <w:t xml:space="preserve"> </w:t>
            </w:r>
            <w:r>
              <w:rPr>
                <w:color w:val="222222"/>
                <w:spacing w:val="-4"/>
              </w:rPr>
              <w:t>资金等值计算</w:t>
            </w:r>
            <w:r>
              <w:rPr>
                <w:color w:val="222222"/>
                <w:spacing w:val="-1"/>
              </w:rPr>
              <w:t>及应用</w:t>
            </w:r>
          </w:p>
        </w:tc>
        <w:tc>
          <w:tcPr>
            <w:tcW w:w="7056" w:type="dxa"/>
            <w:vAlign w:val="top"/>
          </w:tcPr>
          <w:p w14:paraId="075EA626">
            <w:pPr>
              <w:pStyle w:val="6"/>
              <w:spacing w:before="144" w:line="220" w:lineRule="auto"/>
              <w:ind w:left="52"/>
            </w:pPr>
            <w:r>
              <w:rPr>
                <w:color w:val="A50021"/>
                <w:spacing w:val="1"/>
                <w:u w:val="single" w:color="auto"/>
              </w:rPr>
              <w:t>P7:1.3.1 资金时间价值的影响因素 修改一段话</w:t>
            </w:r>
          </w:p>
          <w:p w14:paraId="6231C228">
            <w:pPr>
              <w:pStyle w:val="6"/>
              <w:spacing w:before="70" w:line="280" w:lineRule="auto"/>
              <w:ind w:left="70" w:right="93" w:hanging="6"/>
            </w:pPr>
            <w:r>
              <w:rPr>
                <w:color w:val="222222"/>
                <w:spacing w:val="2"/>
              </w:rPr>
              <w:t>25版：资金的时间价值来源于资金在生产运营中发</w:t>
            </w:r>
            <w:r>
              <w:rPr>
                <w:color w:val="222222"/>
                <w:spacing w:val="1"/>
              </w:rPr>
              <w:t>挥作用带来的增值，</w:t>
            </w:r>
            <w:r>
              <w:rPr>
                <w:color w:val="222222"/>
                <w:spacing w:val="2"/>
              </w:rPr>
              <w:t>因此，影响企业生产经营效益的各种内外因</w:t>
            </w:r>
            <w:r>
              <w:rPr>
                <w:color w:val="222222"/>
                <w:spacing w:val="1"/>
              </w:rPr>
              <w:t>素，如产业政策、企业规模</w:t>
            </w:r>
            <w:r>
              <w:rPr>
                <w:color w:val="222222"/>
              </w:rPr>
              <w:t xml:space="preserve"> </w:t>
            </w:r>
            <w:r>
              <w:rPr>
                <w:color w:val="222222"/>
                <w:spacing w:val="2"/>
              </w:rPr>
              <w:t>、劳动力素质、企业领导者管理水平、产品</w:t>
            </w:r>
            <w:r>
              <w:rPr>
                <w:color w:val="222222"/>
                <w:spacing w:val="1"/>
              </w:rPr>
              <w:t>的市场竞争力等，都会成为资金时间价值的影响因素，其中资金时间价值的直接影响因素有：</w:t>
            </w:r>
          </w:p>
          <w:p w14:paraId="377A71EF">
            <w:pPr>
              <w:pStyle w:val="6"/>
              <w:spacing w:before="2" w:line="280" w:lineRule="auto"/>
              <w:ind w:left="61" w:right="93" w:firstLine="2"/>
            </w:pPr>
            <w:r>
              <w:rPr>
                <w:color w:val="222222"/>
                <w:spacing w:val="2"/>
              </w:rPr>
              <w:t>26版：资金的时间价值来源于资金在生产运营中发</w:t>
            </w:r>
            <w:r>
              <w:rPr>
                <w:color w:val="222222"/>
                <w:spacing w:val="1"/>
              </w:rPr>
              <w:t>挥作用带来的增值，</w:t>
            </w:r>
            <w:r>
              <w:rPr>
                <w:color w:val="222222"/>
                <w:spacing w:val="2"/>
              </w:rPr>
              <w:t>产业政策、企业规模、劳动力素质、企业领导者管理水平、产品的</w:t>
            </w:r>
            <w:r>
              <w:rPr>
                <w:color w:val="222222"/>
                <w:spacing w:val="1"/>
              </w:rPr>
              <w:t>市场</w:t>
            </w:r>
            <w:r>
              <w:rPr>
                <w:color w:val="222222"/>
                <w:spacing w:val="2"/>
              </w:rPr>
              <w:t>竞争力等都是</w:t>
            </w:r>
            <w:r>
              <w:rPr>
                <w:color w:val="A50021"/>
                <w:spacing w:val="2"/>
                <w:u w:val="single" w:color="auto"/>
              </w:rPr>
              <w:t>影响资金运用获利水平的因素</w:t>
            </w:r>
            <w:r>
              <w:rPr>
                <w:color w:val="222222"/>
                <w:spacing w:val="2"/>
              </w:rPr>
              <w:t>，并进而影响资金时间</w:t>
            </w:r>
            <w:r>
              <w:rPr>
                <w:color w:val="222222"/>
                <w:spacing w:val="1"/>
              </w:rPr>
              <w:t>价值</w:t>
            </w:r>
            <w:r>
              <w:rPr>
                <w:color w:val="222222"/>
                <w:spacing w:val="2"/>
              </w:rPr>
              <w:t>大小。</w:t>
            </w:r>
            <w:r>
              <w:rPr>
                <w:color w:val="A50021"/>
                <w:spacing w:val="2"/>
                <w:u w:val="single" w:color="auto"/>
              </w:rPr>
              <w:t>从资金提供者角度</w:t>
            </w:r>
            <w:r>
              <w:rPr>
                <w:color w:val="222222"/>
                <w:spacing w:val="2"/>
              </w:rPr>
              <w:t>，影响资金时间价</w:t>
            </w:r>
            <w:r>
              <w:rPr>
                <w:color w:val="222222"/>
                <w:spacing w:val="1"/>
              </w:rPr>
              <w:t>值的因素有：</w:t>
            </w:r>
          </w:p>
        </w:tc>
      </w:tr>
    </w:tbl>
    <w:p w14:paraId="463FD0BA">
      <w:pPr>
        <w:spacing w:line="166" w:lineRule="exact"/>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6BEB48DA">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5FF90BD3">
            <w:pPr>
              <w:pStyle w:val="6"/>
              <w:spacing w:before="144" w:line="221" w:lineRule="auto"/>
              <w:ind w:left="285"/>
            </w:pPr>
            <w:r>
              <w:rPr>
                <w:color w:val="222222"/>
              </w:rPr>
              <w:t>章</w:t>
            </w:r>
          </w:p>
        </w:tc>
        <w:tc>
          <w:tcPr>
            <w:tcW w:w="2019" w:type="dxa"/>
            <w:vAlign w:val="top"/>
          </w:tcPr>
          <w:p w14:paraId="02B92599">
            <w:pPr>
              <w:pStyle w:val="6"/>
              <w:spacing w:before="144" w:line="222" w:lineRule="auto"/>
              <w:ind w:left="885"/>
            </w:pPr>
            <w:r>
              <w:rPr>
                <w:color w:val="222222"/>
              </w:rPr>
              <w:t>节</w:t>
            </w:r>
          </w:p>
        </w:tc>
        <w:tc>
          <w:tcPr>
            <w:tcW w:w="7056" w:type="dxa"/>
            <w:vAlign w:val="top"/>
          </w:tcPr>
          <w:p w14:paraId="3DF8ECC5">
            <w:pPr>
              <w:pStyle w:val="6"/>
              <w:spacing w:before="145" w:line="221" w:lineRule="auto"/>
              <w:ind w:left="3073"/>
            </w:pPr>
            <w:r>
              <w:rPr>
                <w:color w:val="222222"/>
                <w:spacing w:val="-1"/>
              </w:rPr>
              <w:t>变化说明</w:t>
            </w:r>
          </w:p>
        </w:tc>
      </w:tr>
      <w:tr w14:paraId="070A6798">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842" w:hRule="atLeast"/>
        </w:trPr>
        <w:tc>
          <w:tcPr>
            <w:tcW w:w="1021" w:type="dxa"/>
            <w:vAlign w:val="top"/>
          </w:tcPr>
          <w:p w14:paraId="31090A4C">
            <w:pPr>
              <w:spacing w:line="256" w:lineRule="auto"/>
              <w:rPr>
                <w:rFonts w:ascii="Arial"/>
                <w:sz w:val="21"/>
              </w:rPr>
            </w:pPr>
          </w:p>
          <w:p w14:paraId="4960E353">
            <w:pPr>
              <w:spacing w:line="256" w:lineRule="auto"/>
              <w:rPr>
                <w:rFonts w:ascii="Arial"/>
                <w:sz w:val="21"/>
              </w:rPr>
            </w:pPr>
          </w:p>
          <w:p w14:paraId="696D13DD">
            <w:pPr>
              <w:spacing w:line="256" w:lineRule="auto"/>
              <w:rPr>
                <w:rFonts w:ascii="Arial"/>
                <w:sz w:val="21"/>
              </w:rPr>
            </w:pPr>
          </w:p>
          <w:p w14:paraId="364936B9">
            <w:pPr>
              <w:spacing w:line="256" w:lineRule="auto"/>
              <w:rPr>
                <w:rFonts w:ascii="Arial"/>
                <w:sz w:val="21"/>
              </w:rPr>
            </w:pPr>
          </w:p>
          <w:p w14:paraId="1712A65D">
            <w:pPr>
              <w:spacing w:line="256" w:lineRule="auto"/>
              <w:rPr>
                <w:rFonts w:ascii="Arial"/>
                <w:sz w:val="21"/>
              </w:rPr>
            </w:pPr>
          </w:p>
          <w:p w14:paraId="57244A12">
            <w:pPr>
              <w:spacing w:line="257" w:lineRule="auto"/>
              <w:rPr>
                <w:rFonts w:ascii="Arial"/>
                <w:sz w:val="21"/>
              </w:rPr>
            </w:pPr>
          </w:p>
          <w:p w14:paraId="66449A9F">
            <w:pPr>
              <w:spacing w:line="257" w:lineRule="auto"/>
              <w:rPr>
                <w:rFonts w:ascii="Arial"/>
                <w:sz w:val="21"/>
              </w:rPr>
            </w:pPr>
          </w:p>
          <w:p w14:paraId="0E9C7810">
            <w:pPr>
              <w:spacing w:line="257" w:lineRule="auto"/>
              <w:rPr>
                <w:rFonts w:ascii="Arial"/>
                <w:sz w:val="21"/>
              </w:rPr>
            </w:pPr>
          </w:p>
          <w:p w14:paraId="24E3DD58">
            <w:pPr>
              <w:pStyle w:val="6"/>
              <w:spacing w:before="71" w:line="281" w:lineRule="auto"/>
              <w:ind w:left="66" w:right="277"/>
            </w:pPr>
            <w:r>
              <w:rPr>
                <w:color w:val="222222"/>
                <w:spacing w:val="-2"/>
              </w:rPr>
              <w:t>第1章资金时间价值计算及</w:t>
            </w:r>
            <w:r>
              <w:rPr>
                <w:color w:val="222222"/>
                <w:spacing w:val="-3"/>
              </w:rPr>
              <w:t>应用</w:t>
            </w:r>
          </w:p>
        </w:tc>
        <w:tc>
          <w:tcPr>
            <w:tcW w:w="2019" w:type="dxa"/>
            <w:vAlign w:val="top"/>
          </w:tcPr>
          <w:p w14:paraId="42EC33B1">
            <w:pPr>
              <w:spacing w:line="255" w:lineRule="auto"/>
              <w:rPr>
                <w:rFonts w:ascii="Arial"/>
                <w:sz w:val="21"/>
              </w:rPr>
            </w:pPr>
          </w:p>
          <w:p w14:paraId="715EB2F1">
            <w:pPr>
              <w:spacing w:line="255" w:lineRule="auto"/>
              <w:rPr>
                <w:rFonts w:ascii="Arial"/>
                <w:sz w:val="21"/>
              </w:rPr>
            </w:pPr>
          </w:p>
          <w:p w14:paraId="4AD06B3E">
            <w:pPr>
              <w:spacing w:line="255" w:lineRule="auto"/>
              <w:rPr>
                <w:rFonts w:ascii="Arial"/>
                <w:sz w:val="21"/>
              </w:rPr>
            </w:pPr>
          </w:p>
          <w:p w14:paraId="3CAB432A">
            <w:pPr>
              <w:spacing w:line="255" w:lineRule="auto"/>
              <w:rPr>
                <w:rFonts w:ascii="Arial"/>
                <w:sz w:val="21"/>
              </w:rPr>
            </w:pPr>
          </w:p>
          <w:p w14:paraId="43967D7A">
            <w:pPr>
              <w:spacing w:line="255" w:lineRule="auto"/>
              <w:rPr>
                <w:rFonts w:ascii="Arial"/>
                <w:sz w:val="21"/>
              </w:rPr>
            </w:pPr>
          </w:p>
          <w:p w14:paraId="57689AF5">
            <w:pPr>
              <w:spacing w:line="255" w:lineRule="auto"/>
              <w:rPr>
                <w:rFonts w:ascii="Arial"/>
                <w:sz w:val="21"/>
              </w:rPr>
            </w:pPr>
          </w:p>
          <w:p w14:paraId="0683A0E5">
            <w:pPr>
              <w:spacing w:line="255" w:lineRule="auto"/>
              <w:rPr>
                <w:rFonts w:ascii="Arial"/>
                <w:sz w:val="21"/>
              </w:rPr>
            </w:pPr>
          </w:p>
          <w:p w14:paraId="1B478477">
            <w:pPr>
              <w:spacing w:line="255" w:lineRule="auto"/>
              <w:rPr>
                <w:rFonts w:ascii="Arial"/>
                <w:sz w:val="21"/>
              </w:rPr>
            </w:pPr>
          </w:p>
          <w:p w14:paraId="44EF1CFF">
            <w:pPr>
              <w:spacing w:line="255" w:lineRule="auto"/>
              <w:rPr>
                <w:rFonts w:ascii="Arial"/>
                <w:sz w:val="21"/>
              </w:rPr>
            </w:pPr>
          </w:p>
          <w:p w14:paraId="36CAB222">
            <w:pPr>
              <w:spacing w:line="255" w:lineRule="auto"/>
              <w:rPr>
                <w:rFonts w:ascii="Arial"/>
                <w:sz w:val="21"/>
              </w:rPr>
            </w:pPr>
          </w:p>
          <w:p w14:paraId="61AEBE06">
            <w:pPr>
              <w:pStyle w:val="6"/>
              <w:spacing w:before="71" w:line="282" w:lineRule="auto"/>
              <w:ind w:left="56" w:right="173" w:firstLine="17"/>
            </w:pPr>
            <w:r>
              <w:rPr>
                <w:color w:val="222222"/>
                <w:spacing w:val="-4"/>
              </w:rPr>
              <w:t>1.3</w:t>
            </w:r>
            <w:r>
              <w:rPr>
                <w:color w:val="222222"/>
                <w:spacing w:val="26"/>
              </w:rPr>
              <w:t xml:space="preserve"> </w:t>
            </w:r>
            <w:r>
              <w:rPr>
                <w:color w:val="222222"/>
                <w:spacing w:val="-4"/>
              </w:rPr>
              <w:t>资金等值计算</w:t>
            </w:r>
            <w:r>
              <w:rPr>
                <w:color w:val="222222"/>
                <w:spacing w:val="-1"/>
              </w:rPr>
              <w:t>及应用</w:t>
            </w:r>
          </w:p>
        </w:tc>
        <w:tc>
          <w:tcPr>
            <w:tcW w:w="7056" w:type="dxa"/>
            <w:vAlign w:val="top"/>
          </w:tcPr>
          <w:p w14:paraId="62342634">
            <w:pPr>
              <w:pStyle w:val="6"/>
              <w:spacing w:before="135" w:line="221" w:lineRule="auto"/>
              <w:ind w:left="52"/>
            </w:pPr>
            <w:r>
              <w:rPr>
                <w:color w:val="A50021"/>
                <w:spacing w:val="1"/>
                <w:u w:val="single" w:color="auto"/>
              </w:rPr>
              <w:t>P8：1.3.2 资金等值计算 1.现金流量图和现金流量表</w:t>
            </w:r>
            <w:r>
              <w:rPr>
                <w:color w:val="A50021"/>
                <w:spacing w:val="25"/>
                <w:u w:val="single" w:color="auto"/>
              </w:rPr>
              <w:t xml:space="preserve"> </w:t>
            </w:r>
            <w:r>
              <w:rPr>
                <w:color w:val="A50021"/>
                <w:spacing w:val="1"/>
                <w:u w:val="single" w:color="auto"/>
              </w:rPr>
              <w:t>修改一句话</w:t>
            </w:r>
          </w:p>
          <w:p w14:paraId="657C58A8">
            <w:pPr>
              <w:pStyle w:val="6"/>
              <w:spacing w:before="70" w:line="221" w:lineRule="auto"/>
              <w:ind w:left="64"/>
            </w:pPr>
            <w:r>
              <w:rPr>
                <w:color w:val="222222"/>
                <w:spacing w:val="1"/>
              </w:rPr>
              <w:t>25版：现金流量图应反映现金流量的三要素，</w:t>
            </w:r>
          </w:p>
          <w:p w14:paraId="3C8B1B20">
            <w:pPr>
              <w:pStyle w:val="6"/>
              <w:spacing w:before="69" w:line="280" w:lineRule="auto"/>
              <w:ind w:left="72" w:right="110" w:hanging="8"/>
            </w:pPr>
            <w:r>
              <w:rPr>
                <w:color w:val="222222"/>
                <w:spacing w:val="1"/>
              </w:rPr>
              <w:t>26版：</w:t>
            </w:r>
            <w:r>
              <w:rPr>
                <w:color w:val="A50021"/>
                <w:spacing w:val="1"/>
                <w:u w:val="single" w:color="auto"/>
              </w:rPr>
              <w:t>现金流量图绘制的前提是合理划分资金收付周期(时间单位)</w:t>
            </w:r>
            <w:r>
              <w:rPr>
                <w:color w:val="222222"/>
                <w:spacing w:val="1"/>
              </w:rPr>
              <w:t>，同</w:t>
            </w:r>
            <w:r>
              <w:rPr>
                <w:color w:val="222222"/>
              </w:rPr>
              <w:t>时应明确现金流量的三要素，</w:t>
            </w:r>
          </w:p>
          <w:p w14:paraId="44593E6F">
            <w:pPr>
              <w:pStyle w:val="6"/>
              <w:spacing w:line="221" w:lineRule="auto"/>
              <w:ind w:left="52"/>
            </w:pPr>
            <w:r>
              <w:rPr>
                <w:color w:val="A50021"/>
                <w:spacing w:val="1"/>
                <w:u w:val="single" w:color="auto"/>
              </w:rPr>
              <w:t>P9：1.3.2 资金等值计算 1.现金流量图和现金流量表</w:t>
            </w:r>
            <w:r>
              <w:rPr>
                <w:color w:val="A50021"/>
                <w:spacing w:val="25"/>
                <w:u w:val="single" w:color="auto"/>
              </w:rPr>
              <w:t xml:space="preserve"> </w:t>
            </w:r>
            <w:r>
              <w:rPr>
                <w:color w:val="A50021"/>
                <w:spacing w:val="1"/>
                <w:u w:val="single" w:color="auto"/>
              </w:rPr>
              <w:t>修改一句话</w:t>
            </w:r>
          </w:p>
          <w:p w14:paraId="3861F7FD">
            <w:pPr>
              <w:pStyle w:val="6"/>
              <w:spacing w:before="69" w:line="280" w:lineRule="auto"/>
              <w:ind w:left="60" w:right="93" w:firstLine="3"/>
            </w:pPr>
            <w:r>
              <w:rPr>
                <w:color w:val="222222"/>
                <w:spacing w:val="2"/>
              </w:rPr>
              <w:t>25版：现金流量表中分列现金流入和现金流出时，直接</w:t>
            </w:r>
            <w:r>
              <w:rPr>
                <w:color w:val="222222"/>
                <w:spacing w:val="1"/>
              </w:rPr>
              <w:t>填写现金流量数据，不分列现金流入和现金流</w:t>
            </w:r>
            <w:r>
              <w:rPr>
                <w:color w:val="222222"/>
                <w:spacing w:val="30"/>
              </w:rPr>
              <w:t xml:space="preserve"> </w:t>
            </w:r>
            <w:r>
              <w:rPr>
                <w:color w:val="222222"/>
                <w:spacing w:val="1"/>
              </w:rPr>
              <w:t>出而统称为现金流量时，现金流出用负</w:t>
            </w:r>
            <w:r>
              <w:rPr>
                <w:color w:val="222222"/>
                <w:spacing w:val="2"/>
              </w:rPr>
              <w:t>数表示。同一时点现金流入量与现金流出量之差为净现</w:t>
            </w:r>
            <w:r>
              <w:rPr>
                <w:color w:val="222222"/>
                <w:spacing w:val="1"/>
              </w:rPr>
              <w:t>金流量。</w:t>
            </w:r>
          </w:p>
          <w:p w14:paraId="53970C78">
            <w:pPr>
              <w:pStyle w:val="6"/>
              <w:spacing w:before="4" w:line="279" w:lineRule="auto"/>
              <w:ind w:left="60" w:right="92" w:firstLine="3"/>
            </w:pPr>
            <w:r>
              <w:rPr>
                <w:color w:val="222222"/>
                <w:spacing w:val="2"/>
              </w:rPr>
              <w:t>26版：现金流量表中分列现金流入和现金流出时，直接</w:t>
            </w:r>
            <w:r>
              <w:rPr>
                <w:color w:val="222222"/>
                <w:spacing w:val="1"/>
              </w:rPr>
              <w:t>填写现金流量数据，不分列现金流入和现金流</w:t>
            </w:r>
            <w:r>
              <w:rPr>
                <w:color w:val="222222"/>
                <w:spacing w:val="31"/>
              </w:rPr>
              <w:t xml:space="preserve"> </w:t>
            </w:r>
            <w:r>
              <w:rPr>
                <w:color w:val="222222"/>
                <w:spacing w:val="1"/>
              </w:rPr>
              <w:t>出而统称为</w:t>
            </w:r>
            <w:r>
              <w:rPr>
                <w:color w:val="A50021"/>
                <w:spacing w:val="1"/>
                <w:u w:val="single" w:color="auto"/>
              </w:rPr>
              <w:t>现金流量(或净现金流量</w:t>
            </w:r>
            <w:r>
              <w:rPr>
                <w:color w:val="A50021"/>
                <w:u w:val="single" w:color="auto"/>
              </w:rPr>
              <w:t>)</w:t>
            </w:r>
            <w:r>
              <w:rPr>
                <w:color w:val="222222"/>
              </w:rPr>
              <w:t>时  ,</w:t>
            </w:r>
            <w:r>
              <w:rPr>
                <w:color w:val="222222"/>
                <w:spacing w:val="61"/>
              </w:rPr>
              <w:t xml:space="preserve"> </w:t>
            </w:r>
            <w:r>
              <w:rPr>
                <w:color w:val="A50021"/>
                <w:u w:val="single" w:color="auto"/>
              </w:rPr>
              <w:t>现金流出(或净现金流量小于零)</w:t>
            </w:r>
            <w:r>
              <w:rPr>
                <w:color w:val="222222"/>
              </w:rPr>
              <w:t>用负数表示。同一时点现金流入量与</w:t>
            </w:r>
            <w:r>
              <w:rPr>
                <w:color w:val="222222"/>
                <w:spacing w:val="1"/>
              </w:rPr>
              <w:t>现金流出量之差为净现金流量。</w:t>
            </w:r>
          </w:p>
          <w:p w14:paraId="58537207">
            <w:pPr>
              <w:pStyle w:val="6"/>
              <w:spacing w:line="221" w:lineRule="auto"/>
              <w:ind w:left="52"/>
            </w:pPr>
            <w:r>
              <w:rPr>
                <w:color w:val="A50021"/>
                <w:spacing w:val="2"/>
                <w:u w:val="single" w:color="auto"/>
              </w:rPr>
              <w:t>P9：1.3.2资金增值计算 2.资金等</w:t>
            </w:r>
            <w:r>
              <w:rPr>
                <w:color w:val="A50021"/>
                <w:spacing w:val="1"/>
                <w:u w:val="single" w:color="auto"/>
              </w:rPr>
              <w:t>值计算公式 替换一句话</w:t>
            </w:r>
          </w:p>
          <w:p w14:paraId="1F426BC2">
            <w:pPr>
              <w:pStyle w:val="6"/>
              <w:spacing w:before="69" w:line="280" w:lineRule="auto"/>
              <w:ind w:left="62" w:right="93" w:firstLine="1"/>
            </w:pPr>
            <w:r>
              <w:rPr>
                <w:color w:val="222222"/>
                <w:spacing w:val="2"/>
              </w:rPr>
              <w:t>25版：资金等值采用复利计息的原理计算，因为利息就</w:t>
            </w:r>
            <w:r>
              <w:rPr>
                <w:color w:val="222222"/>
                <w:spacing w:val="1"/>
              </w:rPr>
              <w:t>是一种资金时间价值；工程经济中，均采用复利计息。</w:t>
            </w:r>
          </w:p>
          <w:p w14:paraId="45305E4C">
            <w:pPr>
              <w:pStyle w:val="6"/>
              <w:spacing w:before="2" w:line="281" w:lineRule="auto"/>
              <w:ind w:left="74" w:right="98" w:hanging="10"/>
            </w:pPr>
            <w:r>
              <w:rPr>
                <w:color w:val="222222"/>
                <w:spacing w:val="2"/>
              </w:rPr>
              <w:t>26版：</w:t>
            </w:r>
            <w:r>
              <w:rPr>
                <w:color w:val="A50021"/>
                <w:spacing w:val="2"/>
                <w:u w:val="single" w:color="auto"/>
              </w:rPr>
              <w:t>利息和投资净收益等其他表现形式的</w:t>
            </w:r>
            <w:r>
              <w:rPr>
                <w:color w:val="A50021"/>
                <w:spacing w:val="1"/>
                <w:u w:val="single" w:color="auto"/>
              </w:rPr>
              <w:t>资金时间价值计算遵循相同</w:t>
            </w:r>
            <w:r>
              <w:rPr>
                <w:color w:val="A50021"/>
                <w:spacing w:val="2"/>
                <w:u w:val="single" w:color="auto"/>
              </w:rPr>
              <w:t>的原理，资金等值计算公式基于复利计算原理推导得到。</w:t>
            </w:r>
          </w:p>
        </w:tc>
      </w:tr>
    </w:tbl>
    <w:p w14:paraId="79AFF2C5">
      <w:pPr>
        <w:rPr>
          <w:rFonts w:ascii="Arial"/>
          <w:sz w:val="21"/>
        </w:rPr>
      </w:pPr>
    </w:p>
    <w:p w14:paraId="16025AD7">
      <w:pPr>
        <w:rPr>
          <w:rFonts w:ascii="Arial" w:hAnsi="Arial" w:eastAsia="Arial" w:cs="Arial"/>
          <w:sz w:val="21"/>
          <w:szCs w:val="21"/>
        </w:rPr>
        <w:sectPr>
          <w:headerReference r:id="rId7" w:type="default"/>
          <w:footerReference r:id="rId8" w:type="default"/>
          <w:pgSz w:w="11900" w:h="16840"/>
          <w:pgMar w:top="865" w:right="308" w:bottom="941" w:left="293" w:header="397" w:footer="585" w:gutter="0"/>
          <w:cols w:space="720" w:num="1"/>
        </w:sectPr>
      </w:pPr>
      <w:bookmarkStart w:id="0" w:name="_GoBack"/>
      <w:bookmarkEnd w:id="0"/>
    </w:p>
    <w:p w14:paraId="64D89AB7">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172BC3E0">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3C46BFC4">
            <w:pPr>
              <w:pStyle w:val="6"/>
              <w:spacing w:before="144" w:line="221" w:lineRule="auto"/>
              <w:ind w:left="285"/>
            </w:pPr>
            <w:r>
              <w:rPr>
                <w:color w:val="222222"/>
              </w:rPr>
              <w:t>章</w:t>
            </w:r>
          </w:p>
        </w:tc>
        <w:tc>
          <w:tcPr>
            <w:tcW w:w="2019" w:type="dxa"/>
            <w:vAlign w:val="top"/>
          </w:tcPr>
          <w:p w14:paraId="3D26B6A6">
            <w:pPr>
              <w:pStyle w:val="6"/>
              <w:spacing w:before="144" w:line="222" w:lineRule="auto"/>
              <w:ind w:left="885"/>
            </w:pPr>
            <w:r>
              <w:rPr>
                <w:color w:val="222222"/>
              </w:rPr>
              <w:t>节</w:t>
            </w:r>
          </w:p>
        </w:tc>
        <w:tc>
          <w:tcPr>
            <w:tcW w:w="7056" w:type="dxa"/>
            <w:vAlign w:val="top"/>
          </w:tcPr>
          <w:p w14:paraId="044DD4C7">
            <w:pPr>
              <w:pStyle w:val="6"/>
              <w:spacing w:before="145" w:line="221" w:lineRule="auto"/>
              <w:ind w:left="3073"/>
            </w:pPr>
            <w:r>
              <w:rPr>
                <w:color w:val="222222"/>
                <w:spacing w:val="-1"/>
              </w:rPr>
              <w:t>变化说明</w:t>
            </w:r>
          </w:p>
        </w:tc>
      </w:tr>
      <w:tr w14:paraId="46CFF5D2">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833" w:hRule="atLeast"/>
        </w:trPr>
        <w:tc>
          <w:tcPr>
            <w:tcW w:w="1021" w:type="dxa"/>
            <w:vMerge w:val="restart"/>
            <w:tcBorders>
              <w:bottom w:val="nil"/>
            </w:tcBorders>
            <w:vAlign w:val="top"/>
          </w:tcPr>
          <w:p w14:paraId="52000CF4">
            <w:pPr>
              <w:spacing w:line="255" w:lineRule="auto"/>
              <w:rPr>
                <w:rFonts w:ascii="Arial"/>
                <w:sz w:val="21"/>
              </w:rPr>
            </w:pPr>
          </w:p>
          <w:p w14:paraId="70BDCC7B">
            <w:pPr>
              <w:spacing w:line="255" w:lineRule="auto"/>
              <w:rPr>
                <w:rFonts w:ascii="Arial"/>
                <w:sz w:val="21"/>
              </w:rPr>
            </w:pPr>
          </w:p>
          <w:p w14:paraId="022C75AE">
            <w:pPr>
              <w:spacing w:line="255" w:lineRule="auto"/>
              <w:rPr>
                <w:rFonts w:ascii="Arial"/>
                <w:sz w:val="21"/>
              </w:rPr>
            </w:pPr>
          </w:p>
          <w:p w14:paraId="35738340">
            <w:pPr>
              <w:spacing w:line="256" w:lineRule="auto"/>
              <w:rPr>
                <w:rFonts w:ascii="Arial"/>
                <w:sz w:val="21"/>
              </w:rPr>
            </w:pPr>
          </w:p>
          <w:p w14:paraId="2AEFB4E0">
            <w:pPr>
              <w:spacing w:line="256" w:lineRule="auto"/>
              <w:rPr>
                <w:rFonts w:ascii="Arial"/>
                <w:sz w:val="21"/>
              </w:rPr>
            </w:pPr>
          </w:p>
          <w:p w14:paraId="7EDEAC7A">
            <w:pPr>
              <w:spacing w:line="256" w:lineRule="auto"/>
              <w:rPr>
                <w:rFonts w:ascii="Arial"/>
                <w:sz w:val="21"/>
              </w:rPr>
            </w:pPr>
          </w:p>
          <w:p w14:paraId="71F4CC43">
            <w:pPr>
              <w:spacing w:line="256" w:lineRule="auto"/>
              <w:rPr>
                <w:rFonts w:ascii="Arial"/>
                <w:sz w:val="21"/>
              </w:rPr>
            </w:pPr>
          </w:p>
          <w:p w14:paraId="3AEA80D8">
            <w:pPr>
              <w:spacing w:line="256" w:lineRule="auto"/>
              <w:rPr>
                <w:rFonts w:ascii="Arial"/>
                <w:sz w:val="21"/>
              </w:rPr>
            </w:pPr>
          </w:p>
          <w:p w14:paraId="200CFC8E">
            <w:pPr>
              <w:spacing w:line="256" w:lineRule="auto"/>
              <w:rPr>
                <w:rFonts w:ascii="Arial"/>
                <w:sz w:val="21"/>
              </w:rPr>
            </w:pPr>
          </w:p>
          <w:p w14:paraId="04EF61F1">
            <w:pPr>
              <w:spacing w:line="256" w:lineRule="auto"/>
              <w:rPr>
                <w:rFonts w:ascii="Arial"/>
                <w:sz w:val="21"/>
              </w:rPr>
            </w:pPr>
          </w:p>
          <w:p w14:paraId="6605407D">
            <w:pPr>
              <w:spacing w:line="256" w:lineRule="auto"/>
              <w:rPr>
                <w:rFonts w:ascii="Arial"/>
                <w:sz w:val="21"/>
              </w:rPr>
            </w:pPr>
          </w:p>
          <w:p w14:paraId="235DFF80">
            <w:pPr>
              <w:pStyle w:val="6"/>
              <w:spacing w:before="71" w:line="281" w:lineRule="auto"/>
              <w:ind w:left="67" w:right="277" w:hanging="1"/>
            </w:pPr>
            <w:r>
              <w:rPr>
                <w:color w:val="222222"/>
                <w:spacing w:val="-2"/>
              </w:rPr>
              <w:t>第2章经济效果评价</w:t>
            </w:r>
          </w:p>
        </w:tc>
        <w:tc>
          <w:tcPr>
            <w:tcW w:w="2019" w:type="dxa"/>
            <w:vAlign w:val="top"/>
          </w:tcPr>
          <w:p w14:paraId="34CB0FD4">
            <w:pPr>
              <w:spacing w:line="254" w:lineRule="auto"/>
              <w:rPr>
                <w:rFonts w:ascii="Arial"/>
                <w:sz w:val="21"/>
              </w:rPr>
            </w:pPr>
          </w:p>
          <w:p w14:paraId="265748D0">
            <w:pPr>
              <w:spacing w:line="254" w:lineRule="auto"/>
              <w:rPr>
                <w:rFonts w:ascii="Arial"/>
                <w:sz w:val="21"/>
              </w:rPr>
            </w:pPr>
          </w:p>
          <w:p w14:paraId="70BBF0BE">
            <w:pPr>
              <w:spacing w:line="255" w:lineRule="auto"/>
              <w:rPr>
                <w:rFonts w:ascii="Arial"/>
                <w:sz w:val="21"/>
              </w:rPr>
            </w:pPr>
          </w:p>
          <w:p w14:paraId="35E5B41E">
            <w:pPr>
              <w:spacing w:line="255" w:lineRule="auto"/>
              <w:rPr>
                <w:rFonts w:ascii="Arial"/>
                <w:sz w:val="21"/>
              </w:rPr>
            </w:pPr>
          </w:p>
          <w:p w14:paraId="2DAEDB1B">
            <w:pPr>
              <w:spacing w:line="255" w:lineRule="auto"/>
              <w:rPr>
                <w:rFonts w:ascii="Arial"/>
                <w:sz w:val="21"/>
              </w:rPr>
            </w:pPr>
          </w:p>
          <w:p w14:paraId="78DB32A0">
            <w:pPr>
              <w:spacing w:line="255" w:lineRule="auto"/>
              <w:rPr>
                <w:rFonts w:ascii="Arial"/>
                <w:sz w:val="21"/>
              </w:rPr>
            </w:pPr>
          </w:p>
          <w:p w14:paraId="5C4B84BE">
            <w:pPr>
              <w:spacing w:line="255" w:lineRule="auto"/>
              <w:rPr>
                <w:rFonts w:ascii="Arial"/>
                <w:sz w:val="21"/>
              </w:rPr>
            </w:pPr>
          </w:p>
          <w:p w14:paraId="53344A43">
            <w:pPr>
              <w:spacing w:line="255" w:lineRule="auto"/>
              <w:rPr>
                <w:rFonts w:ascii="Arial"/>
                <w:sz w:val="21"/>
              </w:rPr>
            </w:pPr>
          </w:p>
          <w:p w14:paraId="06926A78">
            <w:pPr>
              <w:spacing w:line="255" w:lineRule="auto"/>
              <w:rPr>
                <w:rFonts w:ascii="Arial"/>
                <w:sz w:val="21"/>
              </w:rPr>
            </w:pPr>
          </w:p>
          <w:p w14:paraId="075B30FA">
            <w:pPr>
              <w:spacing w:line="255" w:lineRule="auto"/>
              <w:rPr>
                <w:rFonts w:ascii="Arial"/>
                <w:sz w:val="21"/>
              </w:rPr>
            </w:pPr>
          </w:p>
          <w:p w14:paraId="6FD7A3E9">
            <w:pPr>
              <w:pStyle w:val="6"/>
              <w:spacing w:before="72" w:line="282" w:lineRule="auto"/>
              <w:ind w:left="83" w:right="173" w:hanging="24"/>
            </w:pPr>
            <w:r>
              <w:rPr>
                <w:color w:val="222222"/>
              </w:rPr>
              <w:t>2.1 经济效果评价</w:t>
            </w:r>
            <w:r>
              <w:rPr>
                <w:color w:val="222222"/>
                <w:spacing w:val="-17"/>
              </w:rPr>
              <w:t>内容</w:t>
            </w:r>
          </w:p>
        </w:tc>
        <w:tc>
          <w:tcPr>
            <w:tcW w:w="7056" w:type="dxa"/>
            <w:vAlign w:val="top"/>
          </w:tcPr>
          <w:p w14:paraId="35A139C0">
            <w:pPr>
              <w:pStyle w:val="6"/>
              <w:spacing w:before="135" w:line="220" w:lineRule="auto"/>
              <w:ind w:left="52"/>
            </w:pPr>
            <w:r>
              <w:rPr>
                <w:color w:val="A50021"/>
                <w:spacing w:val="1"/>
                <w:u w:val="single" w:color="auto"/>
              </w:rPr>
              <w:t>P16：2.1.1 经济效果评价的分类和内容 修改一句话</w:t>
            </w:r>
          </w:p>
          <w:p w14:paraId="36BE7CC0">
            <w:pPr>
              <w:pStyle w:val="6"/>
              <w:spacing w:before="70" w:line="280" w:lineRule="auto"/>
              <w:ind w:left="64" w:right="93"/>
            </w:pPr>
            <w:r>
              <w:rPr>
                <w:color w:val="222222"/>
                <w:spacing w:val="2"/>
              </w:rPr>
              <w:t>25版：经济效果评价是指采用科学的分析方法，对拟建</w:t>
            </w:r>
            <w:r>
              <w:rPr>
                <w:color w:val="222222"/>
                <w:spacing w:val="1"/>
              </w:rPr>
              <w:t>项目的各种方案</w:t>
            </w:r>
            <w:r>
              <w:rPr>
                <w:color w:val="222222"/>
                <w:spacing w:val="2"/>
              </w:rPr>
              <w:t>的财务可行性和经济合理性进行科学的分析和论证，做出</w:t>
            </w:r>
            <w:r>
              <w:rPr>
                <w:color w:val="222222"/>
                <w:spacing w:val="1"/>
              </w:rPr>
              <w:t>全面评价，为项目的投资、建设提供经济方面</w:t>
            </w:r>
            <w:r>
              <w:rPr>
                <w:color w:val="222222"/>
                <w:spacing w:val="30"/>
              </w:rPr>
              <w:t xml:space="preserve"> </w:t>
            </w:r>
            <w:r>
              <w:rPr>
                <w:color w:val="222222"/>
                <w:spacing w:val="1"/>
              </w:rPr>
              <w:t>的决策依据。这里的</w:t>
            </w:r>
            <w:r>
              <w:rPr>
                <w:color w:val="222222"/>
              </w:rPr>
              <w:t>方案是广义的，</w:t>
            </w:r>
          </w:p>
          <w:p w14:paraId="7BBA35E8">
            <w:pPr>
              <w:pStyle w:val="6"/>
              <w:spacing w:before="2" w:line="279" w:lineRule="auto"/>
              <w:ind w:left="58" w:right="235" w:firstLine="16"/>
            </w:pPr>
            <w:r>
              <w:rPr>
                <w:color w:val="222222"/>
              </w:rPr>
              <w:t>既可以是一个项目的建设方案，也可以是可行性研 究中的技术方案、</w:t>
            </w:r>
            <w:r>
              <w:rPr>
                <w:color w:val="A50021"/>
                <w:spacing w:val="1"/>
                <w:u w:val="single" w:color="auto"/>
              </w:rPr>
              <w:t>工艺方案</w:t>
            </w:r>
            <w:r>
              <w:rPr>
                <w:color w:val="222222"/>
                <w:spacing w:val="1"/>
              </w:rPr>
              <w:t>、工程方案等，</w:t>
            </w:r>
          </w:p>
          <w:p w14:paraId="4CF7C592">
            <w:pPr>
              <w:pStyle w:val="6"/>
              <w:spacing w:before="5" w:line="279" w:lineRule="auto"/>
              <w:ind w:left="61" w:right="92" w:firstLine="2"/>
            </w:pPr>
            <w:r>
              <w:rPr>
                <w:color w:val="222222"/>
                <w:spacing w:val="2"/>
              </w:rPr>
              <w:t>26版：经济效果评价是指采用科学的分析方法，对拟建项</w:t>
            </w:r>
            <w:r>
              <w:rPr>
                <w:color w:val="222222"/>
                <w:spacing w:val="1"/>
              </w:rPr>
              <w:t>目</w:t>
            </w:r>
            <w:r>
              <w:rPr>
                <w:color w:val="A50021"/>
                <w:spacing w:val="1"/>
                <w:u w:val="single" w:color="auto"/>
              </w:rPr>
              <w:t>计算期内</w:t>
            </w:r>
            <w:r>
              <w:rPr>
                <w:color w:val="222222"/>
                <w:spacing w:val="1"/>
              </w:rPr>
              <w:t>的</w:t>
            </w:r>
            <w:r>
              <w:rPr>
                <w:color w:val="222222"/>
                <w:spacing w:val="2"/>
              </w:rPr>
              <w:t>各种方案的财务 可行性和经济合理性进行科学的分析和论证，</w:t>
            </w:r>
            <w:r>
              <w:rPr>
                <w:color w:val="222222"/>
                <w:spacing w:val="1"/>
              </w:rPr>
              <w:t>做出全</w:t>
            </w:r>
            <w:r>
              <w:rPr>
                <w:color w:val="222222"/>
                <w:spacing w:val="2"/>
              </w:rPr>
              <w:t>面评价，为项目的投资、建设提供经济方面的决策依据。这里的方</w:t>
            </w:r>
            <w:r>
              <w:rPr>
                <w:color w:val="222222"/>
                <w:spacing w:val="1"/>
              </w:rPr>
              <w:t>案是</w:t>
            </w:r>
            <w:r>
              <w:rPr>
                <w:color w:val="222222"/>
                <w:spacing w:val="2"/>
              </w:rPr>
              <w:t>广义的，既可以是一个项目的建设方案，也可以是可行性研究中的</w:t>
            </w:r>
            <w:r>
              <w:rPr>
                <w:color w:val="222222"/>
                <w:spacing w:val="1"/>
              </w:rPr>
              <w:t>技术方案、</w:t>
            </w:r>
            <w:r>
              <w:rPr>
                <w:color w:val="A50021"/>
                <w:spacing w:val="1"/>
                <w:u w:val="single" w:color="auto"/>
              </w:rPr>
              <w:t>设备方案</w:t>
            </w:r>
            <w:r>
              <w:rPr>
                <w:color w:val="222222"/>
                <w:spacing w:val="1"/>
              </w:rPr>
              <w:t>、工程方案等，</w:t>
            </w:r>
          </w:p>
          <w:p w14:paraId="2EE7D9DA">
            <w:pPr>
              <w:pStyle w:val="6"/>
              <w:spacing w:before="2" w:line="279" w:lineRule="auto"/>
              <w:ind w:left="56" w:right="209" w:hanging="4"/>
            </w:pPr>
            <w:r>
              <w:rPr>
                <w:color w:val="A50021"/>
                <w:spacing w:val="2"/>
                <w:u w:val="single" w:color="auto"/>
              </w:rPr>
              <w:t>P16：2.1.2 经济效果评价方法分类 3. 按评</w:t>
            </w:r>
            <w:r>
              <w:rPr>
                <w:color w:val="A50021"/>
                <w:spacing w:val="1"/>
                <w:u w:val="single" w:color="auto"/>
              </w:rPr>
              <w:t>价方法是否考虑资金时间价值分类 修改一句话</w:t>
            </w:r>
          </w:p>
          <w:p w14:paraId="0EB85798">
            <w:pPr>
              <w:pStyle w:val="6"/>
              <w:spacing w:before="2" w:line="279" w:lineRule="auto"/>
              <w:ind w:left="64" w:right="92"/>
            </w:pPr>
            <w:r>
              <w:rPr>
                <w:color w:val="222222"/>
                <w:spacing w:val="2"/>
              </w:rPr>
              <w:t>25版：对于定量分析，按其是否</w:t>
            </w:r>
            <w:r>
              <w:rPr>
                <w:color w:val="A50021"/>
                <w:spacing w:val="2"/>
                <w:u w:val="single" w:color="auto"/>
              </w:rPr>
              <w:t>考虑时间因素</w:t>
            </w:r>
            <w:r>
              <w:rPr>
                <w:color w:val="222222"/>
                <w:spacing w:val="2"/>
              </w:rPr>
              <w:t>又可分为静</w:t>
            </w:r>
            <w:r>
              <w:rPr>
                <w:color w:val="222222"/>
                <w:spacing w:val="1"/>
              </w:rPr>
              <w:t>态分析和动态</w:t>
            </w:r>
            <w:r>
              <w:rPr>
                <w:color w:val="222222"/>
                <w:spacing w:val="-3"/>
              </w:rPr>
              <w:t>分析。</w:t>
            </w:r>
          </w:p>
          <w:p w14:paraId="61D1E52B">
            <w:pPr>
              <w:pStyle w:val="6"/>
              <w:spacing w:line="282" w:lineRule="auto"/>
              <w:ind w:left="62" w:right="92" w:firstLine="1"/>
            </w:pPr>
            <w:r>
              <w:rPr>
                <w:color w:val="222222"/>
                <w:spacing w:val="2"/>
              </w:rPr>
              <w:t>26版：对于定量分析，根据其是否</w:t>
            </w:r>
            <w:r>
              <w:rPr>
                <w:color w:val="A50021"/>
                <w:spacing w:val="2"/>
                <w:u w:val="single" w:color="auto"/>
              </w:rPr>
              <w:t>考虑资金时间价值</w:t>
            </w:r>
            <w:r>
              <w:rPr>
                <w:color w:val="222222"/>
                <w:spacing w:val="2"/>
              </w:rPr>
              <w:t>又</w:t>
            </w:r>
            <w:r>
              <w:rPr>
                <w:color w:val="222222"/>
                <w:spacing w:val="1"/>
              </w:rPr>
              <w:t>可分为静态分析</w:t>
            </w:r>
            <w:r>
              <w:rPr>
                <w:color w:val="222222"/>
              </w:rPr>
              <w:t>和动态分析。</w:t>
            </w:r>
          </w:p>
        </w:tc>
      </w:tr>
      <w:tr w14:paraId="3D85F1DF">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56" w:hRule="atLeast"/>
        </w:trPr>
        <w:tc>
          <w:tcPr>
            <w:tcW w:w="1021" w:type="dxa"/>
            <w:vMerge w:val="continue"/>
            <w:tcBorders>
              <w:top w:val="nil"/>
            </w:tcBorders>
            <w:vAlign w:val="top"/>
          </w:tcPr>
          <w:p w14:paraId="05F2BA0D">
            <w:pPr>
              <w:rPr>
                <w:rFonts w:ascii="Arial"/>
                <w:sz w:val="21"/>
              </w:rPr>
            </w:pPr>
          </w:p>
        </w:tc>
        <w:tc>
          <w:tcPr>
            <w:tcW w:w="2019" w:type="dxa"/>
            <w:vAlign w:val="top"/>
          </w:tcPr>
          <w:p w14:paraId="4C0ED907">
            <w:pPr>
              <w:pStyle w:val="6"/>
              <w:spacing w:before="152" w:line="282" w:lineRule="auto"/>
              <w:ind w:left="60" w:right="173"/>
            </w:pPr>
            <w:r>
              <w:rPr>
                <w:color w:val="222222"/>
              </w:rPr>
              <w:t>2.2 经济效果评价</w:t>
            </w:r>
            <w:r>
              <w:rPr>
                <w:color w:val="222222"/>
                <w:spacing w:val="-1"/>
              </w:rPr>
              <w:t>指标体系</w:t>
            </w:r>
          </w:p>
        </w:tc>
        <w:tc>
          <w:tcPr>
            <w:tcW w:w="7056" w:type="dxa"/>
            <w:vAlign w:val="top"/>
          </w:tcPr>
          <w:p w14:paraId="0612ADCD">
            <w:pPr>
              <w:spacing w:line="245" w:lineRule="auto"/>
              <w:rPr>
                <w:rFonts w:ascii="Arial"/>
                <w:sz w:val="21"/>
              </w:rPr>
            </w:pPr>
          </w:p>
          <w:p w14:paraId="482E0705">
            <w:pPr>
              <w:pStyle w:val="6"/>
              <w:spacing w:before="72" w:line="220" w:lineRule="auto"/>
              <w:ind w:left="52"/>
            </w:pPr>
            <w:r>
              <w:rPr>
                <w:color w:val="A50021"/>
                <w:spacing w:val="3"/>
                <w:u w:val="single" w:color="auto"/>
              </w:rPr>
              <w:t>P19</w:t>
            </w:r>
            <w:r>
              <w:rPr>
                <w:color w:val="A50021"/>
                <w:spacing w:val="36"/>
                <w:u w:val="single" w:color="auto"/>
              </w:rPr>
              <w:t xml:space="preserve"> </w:t>
            </w:r>
            <w:r>
              <w:rPr>
                <w:color w:val="A50021"/>
                <w:spacing w:val="3"/>
                <w:u w:val="single" w:color="auto"/>
              </w:rPr>
              <w:t>图2.2-1 常用经济效果评价指标 静态评价指标新增“权益乘数</w:t>
            </w:r>
            <w:r>
              <w:rPr>
                <w:color w:val="A50021"/>
                <w:spacing w:val="-79"/>
                <w:u w:val="single" w:color="auto"/>
              </w:rPr>
              <w:t xml:space="preserve"> </w:t>
            </w:r>
            <w:r>
              <w:rPr>
                <w:color w:val="A50021"/>
                <w:spacing w:val="3"/>
                <w:u w:val="single" w:color="auto"/>
              </w:rPr>
              <w:t>”</w:t>
            </w:r>
          </w:p>
        </w:tc>
      </w:tr>
    </w:tbl>
    <w:p w14:paraId="2CA97CF6">
      <w:pPr>
        <w:rPr>
          <w:rFonts w:ascii="Arial"/>
          <w:sz w:val="21"/>
        </w:rPr>
      </w:pPr>
    </w:p>
    <w:p w14:paraId="609763F6">
      <w:pPr>
        <w:rPr>
          <w:rFonts w:ascii="Arial" w:hAnsi="Arial" w:eastAsia="Arial" w:cs="Arial"/>
          <w:sz w:val="21"/>
          <w:szCs w:val="21"/>
        </w:rPr>
        <w:sectPr>
          <w:footerReference r:id="rId9" w:type="default"/>
          <w:pgSz w:w="11900" w:h="16840"/>
          <w:pgMar w:top="865" w:right="308" w:bottom="941" w:left="293" w:header="397" w:footer="585" w:gutter="0"/>
          <w:cols w:space="720" w:num="1"/>
        </w:sectPr>
      </w:pPr>
    </w:p>
    <w:p w14:paraId="742C01CD">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00ABC07A">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112756F9">
            <w:pPr>
              <w:pStyle w:val="6"/>
              <w:spacing w:before="144" w:line="221" w:lineRule="auto"/>
              <w:ind w:left="285"/>
            </w:pPr>
            <w:r>
              <w:rPr>
                <w:color w:val="222222"/>
              </w:rPr>
              <w:t>章</w:t>
            </w:r>
          </w:p>
        </w:tc>
        <w:tc>
          <w:tcPr>
            <w:tcW w:w="2019" w:type="dxa"/>
            <w:vAlign w:val="top"/>
          </w:tcPr>
          <w:p w14:paraId="7AC16A4E">
            <w:pPr>
              <w:pStyle w:val="6"/>
              <w:spacing w:before="144" w:line="222" w:lineRule="auto"/>
              <w:ind w:left="885"/>
            </w:pPr>
            <w:r>
              <w:rPr>
                <w:color w:val="222222"/>
              </w:rPr>
              <w:t>节</w:t>
            </w:r>
          </w:p>
        </w:tc>
        <w:tc>
          <w:tcPr>
            <w:tcW w:w="7056" w:type="dxa"/>
            <w:vAlign w:val="top"/>
          </w:tcPr>
          <w:p w14:paraId="67AC0523">
            <w:pPr>
              <w:pStyle w:val="6"/>
              <w:spacing w:before="145" w:line="221" w:lineRule="auto"/>
              <w:ind w:left="3073"/>
            </w:pPr>
            <w:r>
              <w:rPr>
                <w:color w:val="222222"/>
                <w:spacing w:val="-1"/>
              </w:rPr>
              <w:t>变化说明</w:t>
            </w:r>
          </w:p>
        </w:tc>
      </w:tr>
      <w:tr w14:paraId="3FD7D3EE">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6509" w:hRule="atLeast"/>
        </w:trPr>
        <w:tc>
          <w:tcPr>
            <w:tcW w:w="1021" w:type="dxa"/>
            <w:vAlign w:val="top"/>
          </w:tcPr>
          <w:p w14:paraId="5D7C66DF">
            <w:pPr>
              <w:spacing w:line="246" w:lineRule="auto"/>
              <w:rPr>
                <w:rFonts w:ascii="Arial"/>
                <w:sz w:val="21"/>
              </w:rPr>
            </w:pPr>
          </w:p>
          <w:p w14:paraId="6EB94923">
            <w:pPr>
              <w:spacing w:line="246" w:lineRule="auto"/>
              <w:rPr>
                <w:rFonts w:ascii="Arial"/>
                <w:sz w:val="21"/>
              </w:rPr>
            </w:pPr>
          </w:p>
          <w:p w14:paraId="14C290A4">
            <w:pPr>
              <w:spacing w:line="246" w:lineRule="auto"/>
              <w:rPr>
                <w:rFonts w:ascii="Arial"/>
                <w:sz w:val="21"/>
              </w:rPr>
            </w:pPr>
          </w:p>
          <w:p w14:paraId="7439B0D8">
            <w:pPr>
              <w:spacing w:line="246" w:lineRule="auto"/>
              <w:rPr>
                <w:rFonts w:ascii="Arial"/>
                <w:sz w:val="21"/>
              </w:rPr>
            </w:pPr>
          </w:p>
          <w:p w14:paraId="79660011">
            <w:pPr>
              <w:spacing w:line="247" w:lineRule="auto"/>
              <w:rPr>
                <w:rFonts w:ascii="Arial"/>
                <w:sz w:val="21"/>
              </w:rPr>
            </w:pPr>
          </w:p>
          <w:p w14:paraId="20F55334">
            <w:pPr>
              <w:spacing w:line="247" w:lineRule="auto"/>
              <w:rPr>
                <w:rFonts w:ascii="Arial"/>
                <w:sz w:val="21"/>
              </w:rPr>
            </w:pPr>
          </w:p>
          <w:p w14:paraId="5EA7BA27">
            <w:pPr>
              <w:spacing w:line="247" w:lineRule="auto"/>
              <w:rPr>
                <w:rFonts w:ascii="Arial"/>
                <w:sz w:val="21"/>
              </w:rPr>
            </w:pPr>
          </w:p>
          <w:p w14:paraId="1D75F6DC">
            <w:pPr>
              <w:spacing w:line="247" w:lineRule="auto"/>
              <w:rPr>
                <w:rFonts w:ascii="Arial"/>
                <w:sz w:val="21"/>
              </w:rPr>
            </w:pPr>
          </w:p>
          <w:p w14:paraId="2682CEAC">
            <w:pPr>
              <w:spacing w:line="247" w:lineRule="auto"/>
              <w:rPr>
                <w:rFonts w:ascii="Arial"/>
                <w:sz w:val="21"/>
              </w:rPr>
            </w:pPr>
          </w:p>
          <w:p w14:paraId="66981A7F">
            <w:pPr>
              <w:spacing w:line="247" w:lineRule="auto"/>
              <w:rPr>
                <w:rFonts w:ascii="Arial"/>
                <w:sz w:val="21"/>
              </w:rPr>
            </w:pPr>
          </w:p>
          <w:p w14:paraId="7B5085F0">
            <w:pPr>
              <w:spacing w:line="247" w:lineRule="auto"/>
              <w:rPr>
                <w:rFonts w:ascii="Arial"/>
                <w:sz w:val="21"/>
              </w:rPr>
            </w:pPr>
          </w:p>
          <w:p w14:paraId="25653A18">
            <w:pPr>
              <w:pStyle w:val="6"/>
              <w:spacing w:before="72" w:line="281" w:lineRule="auto"/>
              <w:ind w:left="67" w:right="277" w:hanging="1"/>
            </w:pPr>
            <w:r>
              <w:rPr>
                <w:color w:val="222222"/>
                <w:spacing w:val="-2"/>
              </w:rPr>
              <w:t>第2章经济效果评价</w:t>
            </w:r>
          </w:p>
        </w:tc>
        <w:tc>
          <w:tcPr>
            <w:tcW w:w="2019" w:type="dxa"/>
            <w:vAlign w:val="top"/>
          </w:tcPr>
          <w:p w14:paraId="632FFB80">
            <w:pPr>
              <w:spacing w:line="253" w:lineRule="auto"/>
              <w:rPr>
                <w:rFonts w:ascii="Arial"/>
                <w:sz w:val="21"/>
              </w:rPr>
            </w:pPr>
          </w:p>
          <w:p w14:paraId="22E53A6A">
            <w:pPr>
              <w:spacing w:line="253" w:lineRule="auto"/>
              <w:rPr>
                <w:rFonts w:ascii="Arial"/>
                <w:sz w:val="21"/>
              </w:rPr>
            </w:pPr>
          </w:p>
          <w:p w14:paraId="75E4D1DD">
            <w:pPr>
              <w:spacing w:line="254" w:lineRule="auto"/>
              <w:rPr>
                <w:rFonts w:ascii="Arial"/>
                <w:sz w:val="21"/>
              </w:rPr>
            </w:pPr>
          </w:p>
          <w:p w14:paraId="5AAE7AD8">
            <w:pPr>
              <w:spacing w:line="254" w:lineRule="auto"/>
              <w:rPr>
                <w:rFonts w:ascii="Arial"/>
                <w:sz w:val="21"/>
              </w:rPr>
            </w:pPr>
          </w:p>
          <w:p w14:paraId="476F4F9C">
            <w:pPr>
              <w:spacing w:line="254" w:lineRule="auto"/>
              <w:rPr>
                <w:rFonts w:ascii="Arial"/>
                <w:sz w:val="21"/>
              </w:rPr>
            </w:pPr>
          </w:p>
          <w:p w14:paraId="6A348586">
            <w:pPr>
              <w:spacing w:line="254" w:lineRule="auto"/>
              <w:rPr>
                <w:rFonts w:ascii="Arial"/>
                <w:sz w:val="21"/>
              </w:rPr>
            </w:pPr>
          </w:p>
          <w:p w14:paraId="26706589">
            <w:pPr>
              <w:spacing w:line="254" w:lineRule="auto"/>
              <w:rPr>
                <w:rFonts w:ascii="Arial"/>
                <w:sz w:val="21"/>
              </w:rPr>
            </w:pPr>
          </w:p>
          <w:p w14:paraId="3D708105">
            <w:pPr>
              <w:spacing w:line="254" w:lineRule="auto"/>
              <w:rPr>
                <w:rFonts w:ascii="Arial"/>
                <w:sz w:val="21"/>
              </w:rPr>
            </w:pPr>
          </w:p>
          <w:p w14:paraId="3FA186E2">
            <w:pPr>
              <w:spacing w:line="254" w:lineRule="auto"/>
              <w:rPr>
                <w:rFonts w:ascii="Arial"/>
                <w:sz w:val="21"/>
              </w:rPr>
            </w:pPr>
          </w:p>
          <w:p w14:paraId="2840F56E">
            <w:pPr>
              <w:spacing w:line="254" w:lineRule="auto"/>
              <w:rPr>
                <w:rFonts w:ascii="Arial"/>
                <w:sz w:val="21"/>
              </w:rPr>
            </w:pPr>
          </w:p>
          <w:p w14:paraId="47412B0A">
            <w:pPr>
              <w:spacing w:line="254" w:lineRule="auto"/>
              <w:rPr>
                <w:rFonts w:ascii="Arial"/>
                <w:sz w:val="21"/>
              </w:rPr>
            </w:pPr>
          </w:p>
          <w:p w14:paraId="49C447B8">
            <w:pPr>
              <w:spacing w:line="254" w:lineRule="auto"/>
              <w:rPr>
                <w:rFonts w:ascii="Arial"/>
                <w:sz w:val="21"/>
              </w:rPr>
            </w:pPr>
          </w:p>
          <w:p w14:paraId="6DA2A089">
            <w:pPr>
              <w:pStyle w:val="6"/>
              <w:spacing w:before="71" w:line="222" w:lineRule="auto"/>
              <w:ind w:left="59"/>
            </w:pPr>
            <w:r>
              <w:rPr>
                <w:color w:val="222222"/>
                <w:spacing w:val="-3"/>
              </w:rPr>
              <w:t>2.3</w:t>
            </w:r>
            <w:r>
              <w:rPr>
                <w:color w:val="222222"/>
                <w:spacing w:val="26"/>
              </w:rPr>
              <w:t xml:space="preserve"> </w:t>
            </w:r>
            <w:r>
              <w:rPr>
                <w:color w:val="222222"/>
                <w:spacing w:val="-3"/>
              </w:rPr>
              <w:t>多方案比选</w:t>
            </w:r>
          </w:p>
        </w:tc>
        <w:tc>
          <w:tcPr>
            <w:tcW w:w="7056" w:type="dxa"/>
            <w:vAlign w:val="top"/>
          </w:tcPr>
          <w:p w14:paraId="26A28DC3">
            <w:pPr>
              <w:pStyle w:val="6"/>
              <w:spacing w:before="135" w:line="221" w:lineRule="auto"/>
              <w:ind w:left="52"/>
            </w:pPr>
            <w:r>
              <w:rPr>
                <w:color w:val="A50021"/>
                <w:spacing w:val="1"/>
                <w:u w:val="single" w:color="auto"/>
              </w:rPr>
              <w:t>P24：2.3.1 方案之间的关系 替换了一段文字</w:t>
            </w:r>
          </w:p>
          <w:p w14:paraId="7DA733C7">
            <w:pPr>
              <w:pStyle w:val="6"/>
              <w:spacing w:before="70" w:line="221" w:lineRule="auto"/>
              <w:ind w:left="64"/>
            </w:pPr>
            <w:r>
              <w:rPr>
                <w:color w:val="222222"/>
                <w:spacing w:val="2"/>
              </w:rPr>
              <w:t>25版：根据多方案之间的经济关系类型，一组备选方案</w:t>
            </w:r>
            <w:r>
              <w:rPr>
                <w:color w:val="222222"/>
                <w:spacing w:val="1"/>
              </w:rPr>
              <w:t>之间一般存在着</w:t>
            </w:r>
          </w:p>
          <w:p w14:paraId="36413559">
            <w:pPr>
              <w:pStyle w:val="6"/>
              <w:spacing w:before="69" w:line="222" w:lineRule="auto"/>
              <w:ind w:left="61"/>
            </w:pPr>
            <w:r>
              <w:rPr>
                <w:color w:val="222222"/>
                <w:spacing w:val="1"/>
              </w:rPr>
              <w:t>三种关系：独立关系、互斥关系和相关关系。</w:t>
            </w:r>
          </w:p>
          <w:p w14:paraId="5D37FBD0">
            <w:pPr>
              <w:pStyle w:val="6"/>
              <w:spacing w:before="67" w:line="280" w:lineRule="auto"/>
              <w:ind w:left="56" w:right="98" w:firstLine="7"/>
            </w:pPr>
            <w:r>
              <w:rPr>
                <w:color w:val="222222"/>
                <w:spacing w:val="2"/>
              </w:rPr>
              <w:t>26版：</w:t>
            </w:r>
            <w:r>
              <w:rPr>
                <w:color w:val="A50021"/>
                <w:spacing w:val="2"/>
                <w:u w:val="single" w:color="auto"/>
              </w:rPr>
              <w:t>运用经济效果评价指标对方案进行</w:t>
            </w:r>
            <w:r>
              <w:rPr>
                <w:color w:val="A50021"/>
                <w:spacing w:val="1"/>
                <w:u w:val="single" w:color="auto"/>
              </w:rPr>
              <w:t>评价，主要有两个用途： 一</w:t>
            </w:r>
            <w:r>
              <w:rPr>
                <w:color w:val="A50021"/>
                <w:spacing w:val="2"/>
                <w:u w:val="single" w:color="auto"/>
              </w:rPr>
              <w:t>是对某一方案进行分析，判断该方案在经济上是否可行。对于这</w:t>
            </w:r>
            <w:r>
              <w:rPr>
                <w:color w:val="A50021"/>
                <w:spacing w:val="1"/>
                <w:u w:val="single" w:color="auto"/>
              </w:rPr>
              <w:t>种情况</w:t>
            </w:r>
            <w:r>
              <w:rPr>
                <w:color w:val="A50021"/>
              </w:rPr>
              <w:t xml:space="preserve"> </w:t>
            </w:r>
            <w:r>
              <w:rPr>
                <w:color w:val="A50021"/>
                <w:spacing w:val="-1"/>
                <w:u w:val="single" w:color="auto"/>
              </w:rPr>
              <w:t>,</w:t>
            </w:r>
            <w:r>
              <w:rPr>
                <w:color w:val="A50021"/>
                <w:spacing w:val="89"/>
                <w:u w:val="single" w:color="auto"/>
              </w:rPr>
              <w:t xml:space="preserve"> </w:t>
            </w:r>
            <w:r>
              <w:rPr>
                <w:color w:val="A50021"/>
                <w:spacing w:val="-1"/>
                <w:u w:val="single" w:color="auto"/>
              </w:rPr>
              <w:t>需要选用适当指标并计算指标 值，根据判断准则评价其经济性即可</w:t>
            </w:r>
            <w:r>
              <w:rPr>
                <w:color w:val="A50021"/>
              </w:rPr>
              <w:t xml:space="preserve">  </w:t>
            </w:r>
            <w:r>
              <w:rPr>
                <w:color w:val="A50021"/>
                <w:spacing w:val="2"/>
                <w:u w:val="single" w:color="auto"/>
              </w:rPr>
              <w:t>。二是对于多方案进行经济上的比选，此时，如果仅计算各种方</w:t>
            </w:r>
            <w:r>
              <w:rPr>
                <w:color w:val="A50021"/>
                <w:spacing w:val="1"/>
                <w:u w:val="single" w:color="auto"/>
              </w:rPr>
              <w:t>案的评</w:t>
            </w:r>
            <w:r>
              <w:rPr>
                <w:color w:val="A50021"/>
                <w:spacing w:val="2"/>
                <w:u w:val="single" w:color="auto"/>
              </w:rPr>
              <w:t>价指标并作出结论，其结论可能是不可靠的。因此，进行多方案</w:t>
            </w:r>
            <w:r>
              <w:rPr>
                <w:color w:val="A50021"/>
                <w:spacing w:val="1"/>
                <w:u w:val="single" w:color="auto"/>
              </w:rPr>
              <w:t>比选时</w:t>
            </w:r>
            <w:r>
              <w:rPr>
                <w:color w:val="A50021"/>
              </w:rPr>
              <w:t xml:space="preserve"> </w:t>
            </w:r>
            <w:r>
              <w:rPr>
                <w:color w:val="A50021"/>
                <w:u w:val="single" w:color="auto"/>
              </w:rPr>
              <w:t>,</w:t>
            </w:r>
            <w:r>
              <w:rPr>
                <w:color w:val="A50021"/>
                <w:spacing w:val="63"/>
                <w:u w:val="single" w:color="auto"/>
              </w:rPr>
              <w:t xml:space="preserve"> </w:t>
            </w:r>
            <w:r>
              <w:rPr>
                <w:color w:val="A50021"/>
                <w:u w:val="single" w:color="auto"/>
              </w:rPr>
              <w:t>首先必须了解方案所属的类型，从而按照方案的类型确定适</w:t>
            </w:r>
            <w:r>
              <w:rPr>
                <w:color w:val="A50021"/>
                <w:spacing w:val="-1"/>
                <w:u w:val="single" w:color="auto"/>
              </w:rPr>
              <w:t>合的评价</w:t>
            </w:r>
            <w:r>
              <w:rPr>
                <w:color w:val="A50021"/>
                <w:spacing w:val="4"/>
                <w:u w:val="single" w:color="auto"/>
              </w:rPr>
              <w:t>方法和 指标。</w:t>
            </w:r>
          </w:p>
          <w:p w14:paraId="4FBA1DCB">
            <w:pPr>
              <w:pStyle w:val="6"/>
              <w:spacing w:line="282" w:lineRule="auto"/>
              <w:ind w:left="54" w:right="98"/>
            </w:pPr>
            <w:r>
              <w:rPr>
                <w:color w:val="A50021"/>
                <w:spacing w:val="2"/>
                <w:u w:val="single" w:color="auto"/>
              </w:rPr>
              <w:t>所谓方案类型，是指一组备选方案之间所具有的相互关系。这种关</w:t>
            </w:r>
            <w:r>
              <w:rPr>
                <w:color w:val="A50021"/>
                <w:spacing w:val="1"/>
                <w:u w:val="single" w:color="auto"/>
              </w:rPr>
              <w:t>系一</w:t>
            </w:r>
            <w:r>
              <w:rPr>
                <w:color w:val="A50021"/>
                <w:spacing w:val="3"/>
                <w:u w:val="single" w:color="auto"/>
              </w:rPr>
              <w:t>般分为独立关系、互斥关系和相关关系。</w:t>
            </w:r>
          </w:p>
          <w:p w14:paraId="2C00192B">
            <w:pPr>
              <w:spacing w:line="254" w:lineRule="auto"/>
              <w:rPr>
                <w:rFonts w:ascii="Arial"/>
                <w:sz w:val="21"/>
              </w:rPr>
            </w:pPr>
          </w:p>
          <w:p w14:paraId="447DC5F5">
            <w:pPr>
              <w:pStyle w:val="6"/>
              <w:spacing w:before="73" w:line="280" w:lineRule="auto"/>
              <w:ind w:left="73" w:right="98" w:hanging="21"/>
            </w:pPr>
            <w:r>
              <w:rPr>
                <w:color w:val="A50021"/>
                <w:spacing w:val="2"/>
                <w:u w:val="single" w:color="auto"/>
              </w:rPr>
              <w:t>P26 2.3.3 方案比选定量分析方法的选择 （1）</w:t>
            </w:r>
            <w:r>
              <w:rPr>
                <w:color w:val="A50021"/>
                <w:spacing w:val="1"/>
                <w:u w:val="single" w:color="auto"/>
              </w:rPr>
              <w:t>计算期相同的互斥方案</w:t>
            </w:r>
            <w:r>
              <w:rPr>
                <w:color w:val="A50021"/>
                <w:spacing w:val="-1"/>
                <w:u w:val="single" w:color="auto"/>
              </w:rPr>
              <w:t>的比选 修改一句话</w:t>
            </w:r>
          </w:p>
          <w:p w14:paraId="7811B729">
            <w:pPr>
              <w:pStyle w:val="6"/>
              <w:spacing w:before="2" w:line="279" w:lineRule="auto"/>
              <w:ind w:left="62" w:right="93" w:firstLine="1"/>
            </w:pPr>
            <w:r>
              <w:rPr>
                <w:color w:val="222222"/>
                <w:spacing w:val="2"/>
              </w:rPr>
              <w:t>25版：计算期相同的互斥方案的比选常用的评价指标有</w:t>
            </w:r>
            <w:r>
              <w:rPr>
                <w:color w:val="222222"/>
                <w:spacing w:val="1"/>
              </w:rPr>
              <w:t>财务净现值、净年值、费用现值、年折算费用等，</w:t>
            </w:r>
          </w:p>
          <w:p w14:paraId="5FC90371">
            <w:pPr>
              <w:pStyle w:val="6"/>
              <w:spacing w:before="1" w:line="281" w:lineRule="auto"/>
              <w:ind w:left="62" w:right="93" w:firstLine="1"/>
            </w:pPr>
            <w:r>
              <w:rPr>
                <w:color w:val="222222"/>
                <w:spacing w:val="2"/>
              </w:rPr>
              <w:t>26版：计算期相同的互斥方案的比选常用的评价指标有</w:t>
            </w:r>
            <w:r>
              <w:rPr>
                <w:color w:val="222222"/>
                <w:spacing w:val="1"/>
              </w:rPr>
              <w:t>财务净现值、净年值、费用现值、</w:t>
            </w:r>
            <w:r>
              <w:rPr>
                <w:color w:val="A50021"/>
                <w:spacing w:val="1"/>
                <w:u w:val="single" w:color="auto"/>
              </w:rPr>
              <w:t>费用年值</w:t>
            </w:r>
            <w:r>
              <w:rPr>
                <w:color w:val="222222"/>
                <w:spacing w:val="1"/>
              </w:rPr>
              <w:t>等，</w:t>
            </w:r>
          </w:p>
        </w:tc>
      </w:tr>
    </w:tbl>
    <w:p w14:paraId="76FCCF12">
      <w:pPr>
        <w:rPr>
          <w:rFonts w:ascii="Arial"/>
          <w:sz w:val="21"/>
        </w:rPr>
      </w:pPr>
    </w:p>
    <w:p w14:paraId="050B131B">
      <w:pPr>
        <w:rPr>
          <w:rFonts w:ascii="Arial" w:hAnsi="Arial" w:eastAsia="Arial" w:cs="Arial"/>
          <w:sz w:val="21"/>
          <w:szCs w:val="21"/>
        </w:rPr>
        <w:sectPr>
          <w:footerReference r:id="rId10" w:type="default"/>
          <w:pgSz w:w="11900" w:h="16840"/>
          <w:pgMar w:top="865" w:right="308" w:bottom="941" w:left="293" w:header="397" w:footer="585" w:gutter="0"/>
          <w:cols w:space="720" w:num="1"/>
        </w:sectPr>
      </w:pPr>
    </w:p>
    <w:p w14:paraId="76BECE84">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102DDED2">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1FDFDFE9">
            <w:pPr>
              <w:pStyle w:val="6"/>
              <w:spacing w:before="144" w:line="221" w:lineRule="auto"/>
              <w:ind w:left="285"/>
            </w:pPr>
            <w:r>
              <w:rPr>
                <w:color w:val="222222"/>
              </w:rPr>
              <w:t>章</w:t>
            </w:r>
          </w:p>
        </w:tc>
        <w:tc>
          <w:tcPr>
            <w:tcW w:w="2019" w:type="dxa"/>
            <w:vAlign w:val="top"/>
          </w:tcPr>
          <w:p w14:paraId="5CD60A7C">
            <w:pPr>
              <w:pStyle w:val="6"/>
              <w:spacing w:before="144" w:line="222" w:lineRule="auto"/>
              <w:ind w:left="885"/>
            </w:pPr>
            <w:r>
              <w:rPr>
                <w:color w:val="222222"/>
              </w:rPr>
              <w:t>节</w:t>
            </w:r>
          </w:p>
        </w:tc>
        <w:tc>
          <w:tcPr>
            <w:tcW w:w="7056" w:type="dxa"/>
            <w:vAlign w:val="top"/>
          </w:tcPr>
          <w:p w14:paraId="25226B1C">
            <w:pPr>
              <w:pStyle w:val="6"/>
              <w:spacing w:before="145" w:line="221" w:lineRule="auto"/>
              <w:ind w:left="3073"/>
            </w:pPr>
            <w:r>
              <w:rPr>
                <w:color w:val="222222"/>
                <w:spacing w:val="-1"/>
              </w:rPr>
              <w:t>变化说明</w:t>
            </w:r>
          </w:p>
        </w:tc>
      </w:tr>
      <w:tr w14:paraId="3A63AA03">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2" w:hRule="atLeast"/>
        </w:trPr>
        <w:tc>
          <w:tcPr>
            <w:tcW w:w="1021" w:type="dxa"/>
            <w:vMerge w:val="restart"/>
            <w:tcBorders>
              <w:bottom w:val="nil"/>
            </w:tcBorders>
            <w:vAlign w:val="top"/>
          </w:tcPr>
          <w:p w14:paraId="1D645B60">
            <w:pPr>
              <w:spacing w:line="255" w:lineRule="auto"/>
              <w:rPr>
                <w:rFonts w:ascii="Arial"/>
                <w:sz w:val="21"/>
              </w:rPr>
            </w:pPr>
          </w:p>
          <w:p w14:paraId="6C078606">
            <w:pPr>
              <w:spacing w:line="256" w:lineRule="auto"/>
              <w:rPr>
                <w:rFonts w:ascii="Arial"/>
                <w:sz w:val="21"/>
              </w:rPr>
            </w:pPr>
          </w:p>
          <w:p w14:paraId="03EA53CE">
            <w:pPr>
              <w:spacing w:line="256" w:lineRule="auto"/>
              <w:rPr>
                <w:rFonts w:ascii="Arial"/>
                <w:sz w:val="21"/>
              </w:rPr>
            </w:pPr>
          </w:p>
          <w:p w14:paraId="666DA280">
            <w:pPr>
              <w:spacing w:line="256" w:lineRule="auto"/>
              <w:rPr>
                <w:rFonts w:ascii="Arial"/>
                <w:sz w:val="21"/>
              </w:rPr>
            </w:pPr>
          </w:p>
          <w:p w14:paraId="59D85A8F">
            <w:pPr>
              <w:spacing w:line="256" w:lineRule="auto"/>
              <w:rPr>
                <w:rFonts w:ascii="Arial"/>
                <w:sz w:val="21"/>
              </w:rPr>
            </w:pPr>
          </w:p>
          <w:p w14:paraId="45EE7A7F">
            <w:pPr>
              <w:spacing w:line="256" w:lineRule="auto"/>
              <w:rPr>
                <w:rFonts w:ascii="Arial"/>
                <w:sz w:val="21"/>
              </w:rPr>
            </w:pPr>
          </w:p>
          <w:p w14:paraId="1512C672">
            <w:pPr>
              <w:spacing w:line="256" w:lineRule="auto"/>
              <w:rPr>
                <w:rFonts w:ascii="Arial"/>
                <w:sz w:val="21"/>
              </w:rPr>
            </w:pPr>
          </w:p>
          <w:p w14:paraId="0B470813">
            <w:pPr>
              <w:spacing w:line="256" w:lineRule="auto"/>
              <w:rPr>
                <w:rFonts w:ascii="Arial"/>
                <w:sz w:val="21"/>
              </w:rPr>
            </w:pPr>
          </w:p>
          <w:p w14:paraId="64B1BE54">
            <w:pPr>
              <w:spacing w:line="256" w:lineRule="auto"/>
              <w:rPr>
                <w:rFonts w:ascii="Arial"/>
                <w:sz w:val="21"/>
              </w:rPr>
            </w:pPr>
          </w:p>
          <w:p w14:paraId="00784E63">
            <w:pPr>
              <w:spacing w:line="256" w:lineRule="auto"/>
              <w:rPr>
                <w:rFonts w:ascii="Arial"/>
                <w:sz w:val="21"/>
              </w:rPr>
            </w:pPr>
          </w:p>
          <w:p w14:paraId="54B2F270">
            <w:pPr>
              <w:spacing w:line="256" w:lineRule="auto"/>
              <w:rPr>
                <w:rFonts w:ascii="Arial"/>
                <w:sz w:val="21"/>
              </w:rPr>
            </w:pPr>
          </w:p>
          <w:p w14:paraId="2D670A73">
            <w:pPr>
              <w:pStyle w:val="6"/>
              <w:spacing w:before="72" w:line="281" w:lineRule="auto"/>
              <w:ind w:left="68" w:right="277" w:hanging="2"/>
            </w:pPr>
            <w:r>
              <w:rPr>
                <w:color w:val="222222"/>
                <w:spacing w:val="-2"/>
              </w:rPr>
              <w:t>第3章</w:t>
            </w:r>
            <w:r>
              <w:rPr>
                <w:color w:val="222222"/>
                <w:spacing w:val="-3"/>
              </w:rPr>
              <w:t>不确定性分析</w:t>
            </w:r>
          </w:p>
        </w:tc>
        <w:tc>
          <w:tcPr>
            <w:tcW w:w="2019" w:type="dxa"/>
            <w:vAlign w:val="top"/>
          </w:tcPr>
          <w:p w14:paraId="1C76F27D">
            <w:pPr>
              <w:pStyle w:val="6"/>
              <w:spacing w:before="135" w:line="222" w:lineRule="auto"/>
              <w:ind w:left="61"/>
            </w:pPr>
            <w:r>
              <w:rPr>
                <w:color w:val="222222"/>
              </w:rPr>
              <w:t>3.1 盈亏平衡分析</w:t>
            </w:r>
          </w:p>
        </w:tc>
        <w:tc>
          <w:tcPr>
            <w:tcW w:w="7056" w:type="dxa"/>
            <w:vAlign w:val="top"/>
          </w:tcPr>
          <w:p w14:paraId="3A3EDCFD">
            <w:pPr>
              <w:pStyle w:val="6"/>
              <w:spacing w:before="135" w:line="222" w:lineRule="auto"/>
              <w:ind w:left="62"/>
            </w:pPr>
            <w:r>
              <w:rPr>
                <w:color w:val="222222"/>
                <w:spacing w:val="-2"/>
              </w:rPr>
              <w:t>无变化</w:t>
            </w:r>
          </w:p>
        </w:tc>
      </w:tr>
      <w:tr w14:paraId="5C20D1FF">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6177" w:hRule="atLeast"/>
        </w:trPr>
        <w:tc>
          <w:tcPr>
            <w:tcW w:w="1021" w:type="dxa"/>
            <w:vMerge w:val="continue"/>
            <w:tcBorders>
              <w:top w:val="nil"/>
            </w:tcBorders>
            <w:vAlign w:val="top"/>
          </w:tcPr>
          <w:p w14:paraId="3395F13B">
            <w:pPr>
              <w:rPr>
                <w:rFonts w:ascii="Arial"/>
                <w:sz w:val="21"/>
              </w:rPr>
            </w:pPr>
          </w:p>
        </w:tc>
        <w:tc>
          <w:tcPr>
            <w:tcW w:w="2019" w:type="dxa"/>
            <w:vAlign w:val="top"/>
          </w:tcPr>
          <w:p w14:paraId="11837E4F">
            <w:pPr>
              <w:rPr>
                <w:rFonts w:ascii="Arial"/>
                <w:sz w:val="21"/>
              </w:rPr>
            </w:pPr>
          </w:p>
          <w:p w14:paraId="057D374C">
            <w:pPr>
              <w:rPr>
                <w:rFonts w:ascii="Arial"/>
                <w:sz w:val="21"/>
              </w:rPr>
            </w:pPr>
          </w:p>
          <w:p w14:paraId="20E7A2AB">
            <w:pPr>
              <w:rPr>
                <w:rFonts w:ascii="Arial"/>
                <w:sz w:val="21"/>
              </w:rPr>
            </w:pPr>
          </w:p>
          <w:p w14:paraId="34B147E0">
            <w:pPr>
              <w:rPr>
                <w:rFonts w:ascii="Arial"/>
                <w:sz w:val="21"/>
              </w:rPr>
            </w:pPr>
          </w:p>
          <w:p w14:paraId="43DCD5AE">
            <w:pPr>
              <w:rPr>
                <w:rFonts w:ascii="Arial"/>
                <w:sz w:val="21"/>
              </w:rPr>
            </w:pPr>
          </w:p>
          <w:p w14:paraId="10B46C0C">
            <w:pPr>
              <w:rPr>
                <w:rFonts w:ascii="Arial"/>
                <w:sz w:val="21"/>
              </w:rPr>
            </w:pPr>
          </w:p>
          <w:p w14:paraId="49F6DD73">
            <w:pPr>
              <w:rPr>
                <w:rFonts w:ascii="Arial"/>
                <w:sz w:val="21"/>
              </w:rPr>
            </w:pPr>
          </w:p>
          <w:p w14:paraId="1C44A133">
            <w:pPr>
              <w:rPr>
                <w:rFonts w:ascii="Arial"/>
                <w:sz w:val="21"/>
              </w:rPr>
            </w:pPr>
          </w:p>
          <w:p w14:paraId="5D6B33EB">
            <w:pPr>
              <w:rPr>
                <w:rFonts w:ascii="Arial"/>
                <w:sz w:val="21"/>
              </w:rPr>
            </w:pPr>
          </w:p>
          <w:p w14:paraId="0CE1D810">
            <w:pPr>
              <w:rPr>
                <w:rFonts w:ascii="Arial"/>
                <w:sz w:val="21"/>
              </w:rPr>
            </w:pPr>
          </w:p>
          <w:p w14:paraId="2BC4CCE2">
            <w:pPr>
              <w:spacing w:line="241" w:lineRule="auto"/>
              <w:rPr>
                <w:rFonts w:ascii="Arial"/>
                <w:sz w:val="21"/>
              </w:rPr>
            </w:pPr>
          </w:p>
          <w:p w14:paraId="38A2AFC9">
            <w:pPr>
              <w:spacing w:line="241" w:lineRule="auto"/>
              <w:rPr>
                <w:rFonts w:ascii="Arial"/>
                <w:sz w:val="21"/>
              </w:rPr>
            </w:pPr>
          </w:p>
          <w:p w14:paraId="0773D967">
            <w:pPr>
              <w:pStyle w:val="6"/>
              <w:spacing w:before="72" w:line="221" w:lineRule="auto"/>
              <w:ind w:left="61"/>
            </w:pPr>
            <w:r>
              <w:rPr>
                <w:color w:val="222222"/>
              </w:rPr>
              <w:t>3.2 敏感性分析</w:t>
            </w:r>
          </w:p>
        </w:tc>
        <w:tc>
          <w:tcPr>
            <w:tcW w:w="7056" w:type="dxa"/>
            <w:vAlign w:val="top"/>
          </w:tcPr>
          <w:p w14:paraId="4E299812">
            <w:pPr>
              <w:pStyle w:val="6"/>
              <w:spacing w:before="137" w:line="221" w:lineRule="auto"/>
              <w:ind w:left="52"/>
            </w:pPr>
            <w:r>
              <w:rPr>
                <w:color w:val="A50021"/>
                <w:u w:val="single" w:color="auto"/>
              </w:rPr>
              <w:t>P34：3.2.2 敏感性分析的方法与步骤</w:t>
            </w:r>
            <w:r>
              <w:rPr>
                <w:color w:val="A50021"/>
                <w:spacing w:val="62"/>
                <w:u w:val="single" w:color="auto"/>
              </w:rPr>
              <w:t xml:space="preserve"> </w:t>
            </w:r>
            <w:r>
              <w:rPr>
                <w:color w:val="A50021"/>
                <w:u w:val="single" w:color="auto"/>
              </w:rPr>
              <w:t>(2)临界点 变化一段文字内容</w:t>
            </w:r>
          </w:p>
          <w:p w14:paraId="6B03196B">
            <w:pPr>
              <w:pStyle w:val="6"/>
              <w:spacing w:before="68" w:line="280" w:lineRule="auto"/>
              <w:ind w:left="60" w:right="93" w:firstLine="3"/>
            </w:pPr>
            <w:r>
              <w:rPr>
                <w:color w:val="222222"/>
                <w:spacing w:val="2"/>
              </w:rPr>
              <w:t>25版：临界点是指不确定因素的变化极限值，即不确定</w:t>
            </w:r>
            <w:r>
              <w:rPr>
                <w:color w:val="222222"/>
                <w:spacing w:val="1"/>
              </w:rPr>
              <w:t>因素的变化使方</w:t>
            </w:r>
            <w:r>
              <w:rPr>
                <w:color w:val="222222"/>
                <w:spacing w:val="2"/>
              </w:rPr>
              <w:t>案由可行变为不可行的临界数值。例如当产品价格下降到某一值时，财务内部收益率将刚好等于财务基 准收益率，此点称为产品价格下</w:t>
            </w:r>
            <w:r>
              <w:rPr>
                <w:color w:val="222222"/>
                <w:spacing w:val="1"/>
              </w:rPr>
              <w:t>降的</w:t>
            </w:r>
            <w:r>
              <w:rPr>
                <w:color w:val="222222"/>
                <w:spacing w:val="2"/>
              </w:rPr>
              <w:t>临界点。临界点可用临界点百分比或者临界值分别表示某一变量的变化达到一定的百分比或者一定数值时，方案的经济效果指标将从可行转变为不可行。 一般采用不确定因素相对基本方案的变化率或其对应</w:t>
            </w:r>
            <w:r>
              <w:rPr>
                <w:color w:val="222222"/>
                <w:spacing w:val="1"/>
              </w:rPr>
              <w:t>的具</w:t>
            </w:r>
            <w:r>
              <w:rPr>
                <w:color w:val="222222"/>
              </w:rPr>
              <w:t>体数值表示。</w:t>
            </w:r>
          </w:p>
          <w:p w14:paraId="577C81B9">
            <w:pPr>
              <w:pStyle w:val="6"/>
              <w:spacing w:before="1" w:line="280" w:lineRule="auto"/>
              <w:ind w:left="61" w:right="93" w:firstLine="2"/>
            </w:pPr>
            <w:r>
              <w:rPr>
                <w:color w:val="222222"/>
                <w:spacing w:val="2"/>
              </w:rPr>
              <w:t>26版：临界点是指不确定因素的变化使方案由可行变为</w:t>
            </w:r>
            <w:r>
              <w:rPr>
                <w:color w:val="222222"/>
                <w:spacing w:val="1"/>
              </w:rPr>
              <w:t>不可行的临界数</w:t>
            </w:r>
            <w:r>
              <w:rPr>
                <w:color w:val="222222"/>
                <w:spacing w:val="2"/>
              </w:rPr>
              <w:t>值。例如当产品价格下降到某一值时，财务内部收益率将刚好等于</w:t>
            </w:r>
            <w:r>
              <w:rPr>
                <w:color w:val="222222"/>
                <w:spacing w:val="1"/>
              </w:rPr>
              <w:t>财务</w:t>
            </w:r>
            <w:r>
              <w:rPr>
                <w:color w:val="222222"/>
                <w:spacing w:val="2"/>
              </w:rPr>
              <w:t>基准收益率，此点称为产品价格下降的临界点。临界点可采用不确</w:t>
            </w:r>
            <w:r>
              <w:rPr>
                <w:color w:val="222222"/>
                <w:spacing w:val="1"/>
              </w:rPr>
              <w:t>定因</w:t>
            </w:r>
            <w:r>
              <w:rPr>
                <w:color w:val="222222"/>
                <w:spacing w:val="2"/>
              </w:rPr>
              <w:t>素相对基本方案的变化率或其对应的具体数值表示。当不确定因素</w:t>
            </w:r>
            <w:r>
              <w:rPr>
                <w:color w:val="222222"/>
                <w:spacing w:val="1"/>
              </w:rPr>
              <w:t>的变</w:t>
            </w:r>
            <w:r>
              <w:rPr>
                <w:color w:val="222222"/>
                <w:spacing w:val="2"/>
              </w:rPr>
              <w:t>化超过了临界点所表示的不确定因素的极限变化时，方案将由可行</w:t>
            </w:r>
            <w:r>
              <w:rPr>
                <w:color w:val="222222"/>
                <w:spacing w:val="1"/>
              </w:rPr>
              <w:t>转变</w:t>
            </w:r>
            <w:r>
              <w:rPr>
                <w:color w:val="222222"/>
                <w:spacing w:val="2"/>
              </w:rPr>
              <w:t>为不可行。临界点的高低与计算临界点的指标的初始值有关。若选</w:t>
            </w:r>
            <w:r>
              <w:rPr>
                <w:color w:val="222222"/>
                <w:spacing w:val="1"/>
              </w:rPr>
              <w:t>取财</w:t>
            </w:r>
            <w:r>
              <w:rPr>
                <w:color w:val="222222"/>
                <w:spacing w:val="2"/>
              </w:rPr>
              <w:t>务基准收益率为计算临界点的指标，对于同一方案，随着设定财务</w:t>
            </w:r>
            <w:r>
              <w:rPr>
                <w:color w:val="222222"/>
                <w:spacing w:val="1"/>
              </w:rPr>
              <w:t>基准</w:t>
            </w:r>
            <w:r>
              <w:rPr>
                <w:color w:val="222222"/>
                <w:spacing w:val="2"/>
              </w:rPr>
              <w:t>收益率的提高，临界点就会变低；而在一定的财务基准收益率下，</w:t>
            </w:r>
            <w:r>
              <w:rPr>
                <w:color w:val="222222"/>
                <w:spacing w:val="1"/>
              </w:rPr>
              <w:t>临界</w:t>
            </w:r>
            <w:r>
              <w:rPr>
                <w:color w:val="222222"/>
                <w:spacing w:val="2"/>
              </w:rPr>
              <w:t>点越低，说明该因素对方案评价指标影响越大，方案对该因素就越</w:t>
            </w:r>
            <w:r>
              <w:rPr>
                <w:color w:val="222222"/>
                <w:spacing w:val="1"/>
              </w:rPr>
              <w:t>敏感</w:t>
            </w:r>
          </w:p>
          <w:p w14:paraId="54E248C8">
            <w:pPr>
              <w:pStyle w:val="6"/>
              <w:spacing w:before="140" w:line="111" w:lineRule="exact"/>
              <w:ind w:left="83"/>
            </w:pPr>
            <w:r>
              <w:rPr>
                <w:color w:val="222222"/>
                <w:position w:val="1"/>
              </w:rPr>
              <w:t>。</w:t>
            </w:r>
          </w:p>
        </w:tc>
      </w:tr>
    </w:tbl>
    <w:p w14:paraId="56890E4B">
      <w:pPr>
        <w:spacing w:line="166" w:lineRule="exact"/>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0A06D528">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7A43829B">
            <w:pPr>
              <w:pStyle w:val="6"/>
              <w:spacing w:before="143" w:line="221" w:lineRule="auto"/>
              <w:ind w:left="285"/>
            </w:pPr>
            <w:r>
              <w:rPr>
                <w:color w:val="222222"/>
              </w:rPr>
              <w:t>章</w:t>
            </w:r>
          </w:p>
        </w:tc>
        <w:tc>
          <w:tcPr>
            <w:tcW w:w="2019" w:type="dxa"/>
            <w:vAlign w:val="top"/>
          </w:tcPr>
          <w:p w14:paraId="0644BAA4">
            <w:pPr>
              <w:pStyle w:val="6"/>
              <w:spacing w:before="144" w:line="222" w:lineRule="auto"/>
              <w:ind w:left="885"/>
            </w:pPr>
            <w:r>
              <w:rPr>
                <w:color w:val="222222"/>
              </w:rPr>
              <w:t>节</w:t>
            </w:r>
          </w:p>
        </w:tc>
        <w:tc>
          <w:tcPr>
            <w:tcW w:w="7056" w:type="dxa"/>
            <w:vAlign w:val="top"/>
          </w:tcPr>
          <w:p w14:paraId="68CF64C0">
            <w:pPr>
              <w:pStyle w:val="6"/>
              <w:spacing w:before="144" w:line="221" w:lineRule="auto"/>
              <w:ind w:left="3073"/>
            </w:pPr>
            <w:r>
              <w:rPr>
                <w:color w:val="222222"/>
                <w:spacing w:val="-1"/>
              </w:rPr>
              <w:t>变化说明</w:t>
            </w:r>
          </w:p>
        </w:tc>
      </w:tr>
      <w:tr w14:paraId="20BFA395">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4" w:hRule="atLeast"/>
        </w:trPr>
        <w:tc>
          <w:tcPr>
            <w:tcW w:w="1021" w:type="dxa"/>
            <w:vMerge w:val="restart"/>
            <w:tcBorders>
              <w:bottom w:val="nil"/>
            </w:tcBorders>
            <w:vAlign w:val="top"/>
          </w:tcPr>
          <w:p w14:paraId="6FE94984">
            <w:pPr>
              <w:spacing w:line="269" w:lineRule="auto"/>
              <w:rPr>
                <w:rFonts w:ascii="Arial"/>
                <w:sz w:val="21"/>
              </w:rPr>
            </w:pPr>
          </w:p>
          <w:p w14:paraId="35A3C400">
            <w:pPr>
              <w:spacing w:line="269" w:lineRule="auto"/>
              <w:rPr>
                <w:rFonts w:ascii="Arial"/>
                <w:sz w:val="21"/>
              </w:rPr>
            </w:pPr>
          </w:p>
          <w:p w14:paraId="311148B5">
            <w:pPr>
              <w:spacing w:line="269" w:lineRule="auto"/>
              <w:rPr>
                <w:rFonts w:ascii="Arial"/>
                <w:sz w:val="21"/>
              </w:rPr>
            </w:pPr>
          </w:p>
          <w:p w14:paraId="19024536">
            <w:pPr>
              <w:spacing w:line="269" w:lineRule="auto"/>
              <w:rPr>
                <w:rFonts w:ascii="Arial"/>
                <w:sz w:val="21"/>
              </w:rPr>
            </w:pPr>
          </w:p>
          <w:p w14:paraId="370E3780">
            <w:pPr>
              <w:spacing w:line="269" w:lineRule="auto"/>
              <w:rPr>
                <w:rFonts w:ascii="Arial"/>
                <w:sz w:val="21"/>
              </w:rPr>
            </w:pPr>
          </w:p>
          <w:p w14:paraId="1572DCBB">
            <w:pPr>
              <w:spacing w:line="269" w:lineRule="auto"/>
              <w:rPr>
                <w:rFonts w:ascii="Arial"/>
                <w:sz w:val="21"/>
              </w:rPr>
            </w:pPr>
          </w:p>
          <w:p w14:paraId="4EC6468E">
            <w:pPr>
              <w:spacing w:line="269" w:lineRule="auto"/>
              <w:rPr>
                <w:rFonts w:ascii="Arial"/>
                <w:sz w:val="21"/>
              </w:rPr>
            </w:pPr>
          </w:p>
          <w:p w14:paraId="4D7C8C6C">
            <w:pPr>
              <w:spacing w:line="269" w:lineRule="auto"/>
              <w:rPr>
                <w:rFonts w:ascii="Arial"/>
                <w:sz w:val="21"/>
              </w:rPr>
            </w:pPr>
          </w:p>
          <w:p w14:paraId="500A45E1">
            <w:pPr>
              <w:pStyle w:val="6"/>
              <w:spacing w:before="71" w:line="281" w:lineRule="auto"/>
              <w:ind w:left="66" w:right="277"/>
            </w:pPr>
            <w:r>
              <w:rPr>
                <w:color w:val="222222"/>
                <w:spacing w:val="-2"/>
              </w:rPr>
              <w:t>第4章设备更新分析</w:t>
            </w:r>
          </w:p>
        </w:tc>
        <w:tc>
          <w:tcPr>
            <w:tcW w:w="2019" w:type="dxa"/>
            <w:vAlign w:val="top"/>
          </w:tcPr>
          <w:p w14:paraId="5F6D3164">
            <w:pPr>
              <w:pStyle w:val="6"/>
              <w:spacing w:before="135" w:line="282" w:lineRule="auto"/>
              <w:ind w:left="56" w:right="173"/>
            </w:pPr>
            <w:r>
              <w:rPr>
                <w:color w:val="222222"/>
              </w:rPr>
              <w:t>4.1 设备磨损与补偿</w:t>
            </w:r>
          </w:p>
        </w:tc>
        <w:tc>
          <w:tcPr>
            <w:tcW w:w="7056" w:type="dxa"/>
            <w:vAlign w:val="top"/>
          </w:tcPr>
          <w:p w14:paraId="5F1BA2C5">
            <w:pPr>
              <w:pStyle w:val="6"/>
              <w:spacing w:before="301" w:line="222" w:lineRule="auto"/>
              <w:ind w:left="63"/>
            </w:pPr>
            <w:r>
              <w:rPr>
                <w:color w:val="222222"/>
                <w:spacing w:val="-2"/>
              </w:rPr>
              <w:t>无变化</w:t>
            </w:r>
          </w:p>
        </w:tc>
      </w:tr>
      <w:tr w14:paraId="419C04B4">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4511" w:hRule="atLeast"/>
        </w:trPr>
        <w:tc>
          <w:tcPr>
            <w:tcW w:w="1021" w:type="dxa"/>
            <w:vMerge w:val="continue"/>
            <w:tcBorders>
              <w:top w:val="nil"/>
            </w:tcBorders>
            <w:vAlign w:val="top"/>
          </w:tcPr>
          <w:p w14:paraId="45DD5503">
            <w:pPr>
              <w:rPr>
                <w:rFonts w:ascii="Arial"/>
                <w:sz w:val="21"/>
              </w:rPr>
            </w:pPr>
          </w:p>
        </w:tc>
        <w:tc>
          <w:tcPr>
            <w:tcW w:w="2019" w:type="dxa"/>
            <w:vAlign w:val="top"/>
          </w:tcPr>
          <w:p w14:paraId="2546AA27">
            <w:pPr>
              <w:spacing w:line="269" w:lineRule="auto"/>
              <w:rPr>
                <w:rFonts w:ascii="Arial"/>
                <w:sz w:val="21"/>
              </w:rPr>
            </w:pPr>
          </w:p>
          <w:p w14:paraId="7ED3CFAE">
            <w:pPr>
              <w:spacing w:line="270" w:lineRule="auto"/>
              <w:rPr>
                <w:rFonts w:ascii="Arial"/>
                <w:sz w:val="21"/>
              </w:rPr>
            </w:pPr>
          </w:p>
          <w:p w14:paraId="27652DDE">
            <w:pPr>
              <w:spacing w:line="270" w:lineRule="auto"/>
              <w:rPr>
                <w:rFonts w:ascii="Arial"/>
                <w:sz w:val="21"/>
              </w:rPr>
            </w:pPr>
          </w:p>
          <w:p w14:paraId="59F294C8">
            <w:pPr>
              <w:spacing w:line="270" w:lineRule="auto"/>
              <w:rPr>
                <w:rFonts w:ascii="Arial"/>
                <w:sz w:val="21"/>
              </w:rPr>
            </w:pPr>
          </w:p>
          <w:p w14:paraId="2CA88755">
            <w:pPr>
              <w:spacing w:line="270" w:lineRule="auto"/>
              <w:rPr>
                <w:rFonts w:ascii="Arial"/>
                <w:sz w:val="21"/>
              </w:rPr>
            </w:pPr>
          </w:p>
          <w:p w14:paraId="316D5365">
            <w:pPr>
              <w:spacing w:line="270" w:lineRule="auto"/>
              <w:rPr>
                <w:rFonts w:ascii="Arial"/>
                <w:sz w:val="21"/>
              </w:rPr>
            </w:pPr>
          </w:p>
          <w:p w14:paraId="4AEC904B">
            <w:pPr>
              <w:spacing w:line="270" w:lineRule="auto"/>
              <w:rPr>
                <w:rFonts w:ascii="Arial"/>
                <w:sz w:val="21"/>
              </w:rPr>
            </w:pPr>
          </w:p>
          <w:p w14:paraId="59A7805C">
            <w:pPr>
              <w:pStyle w:val="6"/>
              <w:spacing w:before="71" w:line="282" w:lineRule="auto"/>
              <w:ind w:left="56" w:right="173"/>
            </w:pPr>
            <w:r>
              <w:rPr>
                <w:color w:val="222222"/>
              </w:rPr>
              <w:t>4.2 设备经济寿命</w:t>
            </w:r>
            <w:r>
              <w:rPr>
                <w:color w:val="222222"/>
                <w:spacing w:val="-3"/>
              </w:rPr>
              <w:t>确定</w:t>
            </w:r>
          </w:p>
        </w:tc>
        <w:tc>
          <w:tcPr>
            <w:tcW w:w="7056" w:type="dxa"/>
            <w:vAlign w:val="top"/>
          </w:tcPr>
          <w:p w14:paraId="080DB244">
            <w:pPr>
              <w:pStyle w:val="6"/>
              <w:spacing w:before="137" w:line="222" w:lineRule="auto"/>
              <w:ind w:left="52"/>
            </w:pPr>
            <w:r>
              <w:rPr>
                <w:color w:val="A50021"/>
                <w:spacing w:val="1"/>
                <w:u w:val="single" w:color="auto"/>
              </w:rPr>
              <w:t>P42： 4.2.1 设备寿命的类型 3.</w:t>
            </w:r>
            <w:r>
              <w:rPr>
                <w:color w:val="A50021"/>
                <w:spacing w:val="14"/>
                <w:u w:val="single" w:color="auto"/>
              </w:rPr>
              <w:t xml:space="preserve"> </w:t>
            </w:r>
            <w:r>
              <w:rPr>
                <w:color w:val="A50021"/>
                <w:spacing w:val="1"/>
                <w:u w:val="single" w:color="auto"/>
              </w:rPr>
              <w:t>设备的经济寿命</w:t>
            </w:r>
            <w:r>
              <w:rPr>
                <w:color w:val="A50021"/>
                <w:spacing w:val="12"/>
                <w:u w:val="single" w:color="auto"/>
              </w:rPr>
              <w:t xml:space="preserve"> </w:t>
            </w:r>
            <w:r>
              <w:rPr>
                <w:color w:val="A50021"/>
                <w:spacing w:val="1"/>
                <w:u w:val="single" w:color="auto"/>
              </w:rPr>
              <w:t>修改</w:t>
            </w:r>
            <w:r>
              <w:rPr>
                <w:color w:val="A50021"/>
                <w:u w:val="single" w:color="auto"/>
              </w:rPr>
              <w:t>一句话</w:t>
            </w:r>
          </w:p>
          <w:p w14:paraId="7A2888CE">
            <w:pPr>
              <w:pStyle w:val="6"/>
              <w:spacing w:before="69" w:line="280" w:lineRule="auto"/>
              <w:ind w:left="66" w:right="204" w:hanging="2"/>
            </w:pPr>
            <w:r>
              <w:rPr>
                <w:color w:val="222222"/>
                <w:spacing w:val="2"/>
              </w:rPr>
              <w:t>25版：另一方面设备的操作成本及原材料、 能源耗</w:t>
            </w:r>
            <w:r>
              <w:rPr>
                <w:color w:val="222222"/>
                <w:spacing w:val="1"/>
              </w:rPr>
              <w:t>费也会增加，生产</w:t>
            </w:r>
            <w:r>
              <w:rPr>
                <w:color w:val="222222"/>
              </w:rPr>
              <w:t>效率、质量将下降。</w:t>
            </w:r>
          </w:p>
          <w:p w14:paraId="227A823C">
            <w:pPr>
              <w:pStyle w:val="6"/>
              <w:spacing w:before="2" w:line="279" w:lineRule="auto"/>
              <w:ind w:left="65" w:right="204" w:hanging="1"/>
            </w:pPr>
            <w:r>
              <w:rPr>
                <w:color w:val="222222"/>
                <w:spacing w:val="2"/>
              </w:rPr>
              <w:t>26版：另一方面设备的生产效率下降使操作 成本及</w:t>
            </w:r>
            <w:r>
              <w:rPr>
                <w:color w:val="222222"/>
                <w:spacing w:val="1"/>
              </w:rPr>
              <w:t>原材料、能源耗费</w:t>
            </w:r>
            <w:r>
              <w:rPr>
                <w:color w:val="222222"/>
                <w:spacing w:val="-2"/>
              </w:rPr>
              <w:t>也会增加。</w:t>
            </w:r>
          </w:p>
          <w:p w14:paraId="3FD59577">
            <w:pPr>
              <w:pStyle w:val="6"/>
              <w:spacing w:before="2" w:line="279" w:lineRule="auto"/>
              <w:ind w:left="56" w:right="98" w:hanging="4"/>
            </w:pPr>
            <w:r>
              <w:rPr>
                <w:color w:val="A50021"/>
                <w:spacing w:val="1"/>
                <w:u w:val="single" w:color="auto"/>
              </w:rPr>
              <w:t>P43： 4.2.2 设备经济寿命的估算 1.设备经济寿命的确定原则</w:t>
            </w:r>
            <w:r>
              <w:rPr>
                <w:color w:val="A50021"/>
                <w:spacing w:val="27"/>
                <w:u w:val="single" w:color="auto"/>
              </w:rPr>
              <w:t xml:space="preserve"> </w:t>
            </w:r>
            <w:r>
              <w:rPr>
                <w:color w:val="A50021"/>
                <w:spacing w:val="1"/>
                <w:u w:val="single" w:color="auto"/>
              </w:rPr>
              <w:t>修改一</w:t>
            </w:r>
            <w:r>
              <w:rPr>
                <w:color w:val="A50021"/>
                <w:spacing w:val="-4"/>
                <w:u w:val="single" w:color="auto"/>
              </w:rPr>
              <w:t>句话</w:t>
            </w:r>
          </w:p>
          <w:p w14:paraId="6333F1FA">
            <w:pPr>
              <w:pStyle w:val="6"/>
              <w:spacing w:line="221" w:lineRule="auto"/>
              <w:ind w:left="64"/>
            </w:pPr>
            <w:r>
              <w:rPr>
                <w:color w:val="222222"/>
              </w:rPr>
              <w:t>25版：</w:t>
            </w:r>
            <w:r>
              <w:rPr>
                <w:color w:val="222222"/>
                <w:spacing w:val="-54"/>
              </w:rPr>
              <w:t xml:space="preserve"> </w:t>
            </w:r>
            <w:r>
              <w:rPr>
                <w:color w:val="222222"/>
              </w:rPr>
              <w:t>(2)使设备在经济寿命内一次性投资和各种经营费总和达到最小</w:t>
            </w:r>
          </w:p>
          <w:p w14:paraId="2ECEF9F1">
            <w:pPr>
              <w:pStyle w:val="6"/>
              <w:spacing w:before="213" w:line="111" w:lineRule="exact"/>
              <w:ind w:left="83"/>
            </w:pPr>
            <w:r>
              <w:rPr>
                <w:color w:val="222222"/>
                <w:position w:val="1"/>
              </w:rPr>
              <w:t>。</w:t>
            </w:r>
          </w:p>
          <w:p w14:paraId="23F8C871">
            <w:pPr>
              <w:pStyle w:val="6"/>
              <w:spacing w:before="78" w:line="280" w:lineRule="auto"/>
              <w:ind w:left="67" w:right="204" w:hanging="3"/>
            </w:pPr>
            <w:r>
              <w:rPr>
                <w:color w:val="222222"/>
              </w:rPr>
              <w:t>26版：</w:t>
            </w:r>
            <w:r>
              <w:rPr>
                <w:color w:val="222222"/>
                <w:spacing w:val="-54"/>
              </w:rPr>
              <w:t xml:space="preserve"> </w:t>
            </w:r>
            <w:r>
              <w:rPr>
                <w:color w:val="222222"/>
              </w:rPr>
              <w:t>(2)使设备在经济寿命内年平均资产消耗成本和年平均运行成本</w:t>
            </w:r>
            <w:r>
              <w:rPr>
                <w:color w:val="222222"/>
                <w:spacing w:val="-1"/>
              </w:rPr>
              <w:t>总和达到最小。</w:t>
            </w:r>
          </w:p>
          <w:p w14:paraId="704A684E">
            <w:pPr>
              <w:pStyle w:val="6"/>
              <w:spacing w:before="1" w:line="281" w:lineRule="auto"/>
              <w:ind w:left="78" w:right="91" w:hanging="26"/>
            </w:pPr>
            <w:r>
              <w:rPr>
                <w:color w:val="A50021"/>
                <w:spacing w:val="2"/>
                <w:u w:val="single" w:color="auto"/>
              </w:rPr>
              <w:t>P44： 4.2.2 设备经济寿命的估算 2.设备经济寿命的</w:t>
            </w:r>
            <w:r>
              <w:rPr>
                <w:color w:val="A50021"/>
                <w:spacing w:val="1"/>
                <w:u w:val="single" w:color="auto"/>
              </w:rPr>
              <w:t>确定方法</w:t>
            </w:r>
            <w:r>
              <w:rPr>
                <w:color w:val="A50021"/>
                <w:spacing w:val="1"/>
              </w:rPr>
              <w:t xml:space="preserve"> </w:t>
            </w:r>
            <w:r>
              <w:rPr>
                <w:color w:val="222222"/>
                <w:spacing w:val="1"/>
              </w:rPr>
              <w:t>表4.2-</w:t>
            </w:r>
            <w:r>
              <w:rPr>
                <w:color w:val="222222"/>
              </w:rPr>
              <w:t xml:space="preserve"> </w:t>
            </w:r>
            <w:r>
              <w:rPr>
                <w:color w:val="222222"/>
                <w:spacing w:val="2"/>
              </w:rPr>
              <w:t>1与4.2-2中</w:t>
            </w:r>
            <w:r>
              <w:rPr>
                <w:color w:val="A50021"/>
                <w:spacing w:val="2"/>
                <w:u w:val="single" w:color="auto"/>
              </w:rPr>
              <w:t>“运行成本</w:t>
            </w:r>
            <w:r>
              <w:rPr>
                <w:color w:val="A50021"/>
                <w:spacing w:val="-64"/>
                <w:u w:val="single" w:color="auto"/>
              </w:rPr>
              <w:t xml:space="preserve"> </w:t>
            </w:r>
            <w:r>
              <w:rPr>
                <w:color w:val="A50021"/>
                <w:spacing w:val="2"/>
                <w:u w:val="single" w:color="auto"/>
              </w:rPr>
              <w:t>”改成“运行成本初始值</w:t>
            </w:r>
            <w:r>
              <w:rPr>
                <w:color w:val="A50021"/>
                <w:spacing w:val="-79"/>
                <w:u w:val="single" w:color="auto"/>
              </w:rPr>
              <w:t xml:space="preserve"> </w:t>
            </w:r>
            <w:r>
              <w:rPr>
                <w:color w:val="A50021"/>
                <w:spacing w:val="2"/>
                <w:u w:val="single" w:color="auto"/>
              </w:rPr>
              <w:t>”</w:t>
            </w:r>
          </w:p>
        </w:tc>
      </w:tr>
    </w:tbl>
    <w:p w14:paraId="76CC6ED7">
      <w:pPr>
        <w:rPr>
          <w:rFonts w:ascii="Arial"/>
          <w:sz w:val="21"/>
        </w:rPr>
      </w:pPr>
    </w:p>
    <w:p w14:paraId="5C6B4ECB">
      <w:pPr>
        <w:rPr>
          <w:rFonts w:ascii="Arial" w:hAnsi="Arial" w:eastAsia="Arial" w:cs="Arial"/>
          <w:sz w:val="21"/>
          <w:szCs w:val="21"/>
        </w:rPr>
        <w:sectPr>
          <w:footerReference r:id="rId11" w:type="default"/>
          <w:pgSz w:w="11900" w:h="16840"/>
          <w:pgMar w:top="865" w:right="308" w:bottom="941" w:left="293" w:header="397" w:footer="585" w:gutter="0"/>
          <w:cols w:space="720" w:num="1"/>
        </w:sectPr>
      </w:pPr>
    </w:p>
    <w:p w14:paraId="2D0A7338">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653AF9A3">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2" w:hRule="atLeast"/>
        </w:trPr>
        <w:tc>
          <w:tcPr>
            <w:tcW w:w="1021" w:type="dxa"/>
            <w:vAlign w:val="top"/>
          </w:tcPr>
          <w:p w14:paraId="2E166CE1">
            <w:pPr>
              <w:pStyle w:val="6"/>
              <w:spacing w:before="144" w:line="221" w:lineRule="auto"/>
              <w:ind w:left="285"/>
            </w:pPr>
            <w:r>
              <w:rPr>
                <w:color w:val="222222"/>
              </w:rPr>
              <w:t>章</w:t>
            </w:r>
          </w:p>
        </w:tc>
        <w:tc>
          <w:tcPr>
            <w:tcW w:w="2019" w:type="dxa"/>
            <w:vAlign w:val="top"/>
          </w:tcPr>
          <w:p w14:paraId="509DF6C8">
            <w:pPr>
              <w:pStyle w:val="6"/>
              <w:spacing w:before="144" w:line="222" w:lineRule="auto"/>
              <w:ind w:left="885"/>
            </w:pPr>
            <w:r>
              <w:rPr>
                <w:color w:val="222222"/>
              </w:rPr>
              <w:t>节</w:t>
            </w:r>
          </w:p>
        </w:tc>
        <w:tc>
          <w:tcPr>
            <w:tcW w:w="7056" w:type="dxa"/>
            <w:vAlign w:val="top"/>
          </w:tcPr>
          <w:p w14:paraId="54C4B85A">
            <w:pPr>
              <w:pStyle w:val="6"/>
              <w:spacing w:before="145" w:line="221" w:lineRule="auto"/>
              <w:ind w:left="3073"/>
            </w:pPr>
            <w:r>
              <w:rPr>
                <w:color w:val="222222"/>
                <w:spacing w:val="-1"/>
              </w:rPr>
              <w:t>变化说明</w:t>
            </w:r>
          </w:p>
        </w:tc>
      </w:tr>
      <w:tr w14:paraId="44ACB9BE">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2" w:hRule="atLeast"/>
        </w:trPr>
        <w:tc>
          <w:tcPr>
            <w:tcW w:w="1021" w:type="dxa"/>
            <w:vMerge w:val="restart"/>
            <w:tcBorders>
              <w:bottom w:val="nil"/>
            </w:tcBorders>
            <w:vAlign w:val="top"/>
          </w:tcPr>
          <w:p w14:paraId="4448E909">
            <w:pPr>
              <w:spacing w:line="248" w:lineRule="auto"/>
              <w:rPr>
                <w:rFonts w:ascii="Arial"/>
                <w:sz w:val="21"/>
              </w:rPr>
            </w:pPr>
          </w:p>
          <w:p w14:paraId="06F90E6D">
            <w:pPr>
              <w:spacing w:line="248" w:lineRule="auto"/>
              <w:rPr>
                <w:rFonts w:ascii="Arial"/>
                <w:sz w:val="21"/>
              </w:rPr>
            </w:pPr>
          </w:p>
          <w:p w14:paraId="67CB0EAC">
            <w:pPr>
              <w:spacing w:line="248" w:lineRule="auto"/>
              <w:rPr>
                <w:rFonts w:ascii="Arial"/>
                <w:sz w:val="21"/>
              </w:rPr>
            </w:pPr>
          </w:p>
          <w:p w14:paraId="47B3F8B1">
            <w:pPr>
              <w:spacing w:line="249" w:lineRule="auto"/>
              <w:rPr>
                <w:rFonts w:ascii="Arial"/>
                <w:sz w:val="21"/>
              </w:rPr>
            </w:pPr>
          </w:p>
          <w:p w14:paraId="0D43485A">
            <w:pPr>
              <w:pStyle w:val="6"/>
              <w:spacing w:before="72" w:line="281" w:lineRule="auto"/>
              <w:ind w:left="66" w:right="277"/>
            </w:pPr>
            <w:r>
              <w:rPr>
                <w:color w:val="222222"/>
                <w:spacing w:val="-2"/>
              </w:rPr>
              <w:t>第4章设备更新分析</w:t>
            </w:r>
          </w:p>
        </w:tc>
        <w:tc>
          <w:tcPr>
            <w:tcW w:w="2019" w:type="dxa"/>
            <w:vAlign w:val="top"/>
          </w:tcPr>
          <w:p w14:paraId="28252D7C">
            <w:pPr>
              <w:pStyle w:val="6"/>
              <w:spacing w:before="136" w:line="282" w:lineRule="auto"/>
              <w:ind w:left="58" w:right="173" w:hanging="2"/>
            </w:pPr>
            <w:r>
              <w:rPr>
                <w:color w:val="222222"/>
              </w:rPr>
              <w:t>4.3 设备更新方案</w:t>
            </w:r>
            <w:r>
              <w:rPr>
                <w:color w:val="222222"/>
                <w:spacing w:val="-1"/>
              </w:rPr>
              <w:t>经济分析</w:t>
            </w:r>
          </w:p>
        </w:tc>
        <w:tc>
          <w:tcPr>
            <w:tcW w:w="7056" w:type="dxa"/>
            <w:vAlign w:val="top"/>
          </w:tcPr>
          <w:p w14:paraId="39D7CC09">
            <w:pPr>
              <w:pStyle w:val="6"/>
              <w:spacing w:before="303" w:line="222" w:lineRule="auto"/>
              <w:ind w:left="62"/>
            </w:pPr>
            <w:r>
              <w:rPr>
                <w:color w:val="222222"/>
                <w:spacing w:val="-2"/>
              </w:rPr>
              <w:t>无变化</w:t>
            </w:r>
          </w:p>
        </w:tc>
      </w:tr>
      <w:tr w14:paraId="642F678D">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2180" w:hRule="atLeast"/>
        </w:trPr>
        <w:tc>
          <w:tcPr>
            <w:tcW w:w="1021" w:type="dxa"/>
            <w:vMerge w:val="continue"/>
            <w:tcBorders>
              <w:top w:val="nil"/>
            </w:tcBorders>
            <w:vAlign w:val="top"/>
          </w:tcPr>
          <w:p w14:paraId="41AF1A02">
            <w:pPr>
              <w:rPr>
                <w:rFonts w:ascii="Arial"/>
                <w:sz w:val="21"/>
              </w:rPr>
            </w:pPr>
          </w:p>
        </w:tc>
        <w:tc>
          <w:tcPr>
            <w:tcW w:w="2019" w:type="dxa"/>
            <w:vAlign w:val="top"/>
          </w:tcPr>
          <w:p w14:paraId="246BD6D2">
            <w:pPr>
              <w:spacing w:line="244" w:lineRule="auto"/>
              <w:rPr>
                <w:rFonts w:ascii="Arial"/>
                <w:sz w:val="21"/>
              </w:rPr>
            </w:pPr>
          </w:p>
          <w:p w14:paraId="7EEB54AB">
            <w:pPr>
              <w:spacing w:line="244" w:lineRule="auto"/>
              <w:rPr>
                <w:rFonts w:ascii="Arial"/>
                <w:sz w:val="21"/>
              </w:rPr>
            </w:pPr>
          </w:p>
          <w:p w14:paraId="0044A967">
            <w:pPr>
              <w:spacing w:line="244" w:lineRule="auto"/>
              <w:rPr>
                <w:rFonts w:ascii="Arial"/>
                <w:sz w:val="21"/>
              </w:rPr>
            </w:pPr>
          </w:p>
          <w:p w14:paraId="0EC1C8C3">
            <w:pPr>
              <w:pStyle w:val="6"/>
              <w:spacing w:before="72" w:line="282" w:lineRule="auto"/>
              <w:ind w:left="58" w:right="173" w:hanging="2"/>
            </w:pPr>
            <w:r>
              <w:rPr>
                <w:color w:val="222222"/>
              </w:rPr>
              <w:t>4.4 设备租赁方案</w:t>
            </w:r>
            <w:r>
              <w:rPr>
                <w:color w:val="222222"/>
                <w:spacing w:val="-1"/>
              </w:rPr>
              <w:t>经济分析</w:t>
            </w:r>
          </w:p>
        </w:tc>
        <w:tc>
          <w:tcPr>
            <w:tcW w:w="7056" w:type="dxa"/>
            <w:vAlign w:val="top"/>
          </w:tcPr>
          <w:p w14:paraId="00AD0ADC">
            <w:pPr>
              <w:pStyle w:val="6"/>
              <w:spacing w:before="141" w:line="221" w:lineRule="auto"/>
              <w:ind w:left="57"/>
            </w:pPr>
            <w:r>
              <w:rPr>
                <w:color w:val="222222"/>
                <w:spacing w:val="1"/>
              </w:rPr>
              <w:t>P47 4.4.1 设备租赁方式 2.融资租赁</w:t>
            </w:r>
            <w:r>
              <w:rPr>
                <w:color w:val="222222"/>
                <w:spacing w:val="15"/>
              </w:rPr>
              <w:t xml:space="preserve"> </w:t>
            </w:r>
            <w:r>
              <w:rPr>
                <w:color w:val="222222"/>
                <w:spacing w:val="1"/>
              </w:rPr>
              <w:t>删除一段话</w:t>
            </w:r>
          </w:p>
          <w:p w14:paraId="2FFD2B1E">
            <w:pPr>
              <w:pStyle w:val="6"/>
              <w:spacing w:before="69" w:line="280" w:lineRule="auto"/>
              <w:ind w:left="71" w:right="204" w:hanging="8"/>
            </w:pPr>
            <w:r>
              <w:rPr>
                <w:color w:val="222222"/>
                <w:spacing w:val="2"/>
              </w:rPr>
              <w:t>26版：关于融资租赁的详细内容见本书“11</w:t>
            </w:r>
            <w:r>
              <w:rPr>
                <w:color w:val="222222"/>
                <w:spacing w:val="1"/>
              </w:rPr>
              <w:t>.2.2 长期筹资的方式和特</w:t>
            </w:r>
            <w:r>
              <w:rPr>
                <w:color w:val="222222"/>
                <w:spacing w:val="-6"/>
              </w:rPr>
              <w:t>点”。</w:t>
            </w:r>
          </w:p>
          <w:p w14:paraId="196426F1">
            <w:pPr>
              <w:pStyle w:val="6"/>
              <w:spacing w:line="221" w:lineRule="auto"/>
              <w:ind w:left="52"/>
            </w:pPr>
            <w:r>
              <w:rPr>
                <w:color w:val="A50021"/>
                <w:u w:val="single" w:color="auto"/>
              </w:rPr>
              <w:t>P47 4.4.2 设备租赁方式</w:t>
            </w:r>
            <w:r>
              <w:rPr>
                <w:color w:val="A50021"/>
                <w:spacing w:val="30"/>
                <w:u w:val="single" w:color="auto"/>
              </w:rPr>
              <w:t xml:space="preserve"> </w:t>
            </w:r>
            <w:r>
              <w:rPr>
                <w:color w:val="A50021"/>
                <w:u w:val="single" w:color="auto"/>
              </w:rPr>
              <w:t>新增一句话</w:t>
            </w:r>
          </w:p>
          <w:p w14:paraId="6358D815">
            <w:pPr>
              <w:pStyle w:val="6"/>
              <w:spacing w:before="69" w:line="282" w:lineRule="auto"/>
              <w:ind w:left="58" w:right="98" w:firstLine="5"/>
            </w:pPr>
            <w:r>
              <w:rPr>
                <w:color w:val="222222"/>
                <w:spacing w:val="2"/>
              </w:rPr>
              <w:t>26版：</w:t>
            </w:r>
            <w:r>
              <w:rPr>
                <w:color w:val="A50021"/>
                <w:spacing w:val="2"/>
                <w:u w:val="single" w:color="auto"/>
              </w:rPr>
              <w:t>现以经营租赁方式为例，从承租人角</w:t>
            </w:r>
            <w:r>
              <w:rPr>
                <w:color w:val="A50021"/>
                <w:spacing w:val="1"/>
                <w:u w:val="single" w:color="auto"/>
              </w:rPr>
              <w:t>度介绍其优缺点。同时“设</w:t>
            </w:r>
            <w:r>
              <w:rPr>
                <w:color w:val="A50021"/>
                <w:spacing w:val="4"/>
                <w:u w:val="single" w:color="auto"/>
              </w:rPr>
              <w:t>备租赁</w:t>
            </w:r>
            <w:r>
              <w:rPr>
                <w:color w:val="A50021"/>
                <w:spacing w:val="-69"/>
                <w:u w:val="single" w:color="auto"/>
              </w:rPr>
              <w:t xml:space="preserve"> </w:t>
            </w:r>
            <w:r>
              <w:rPr>
                <w:color w:val="A50021"/>
                <w:spacing w:val="4"/>
                <w:u w:val="single" w:color="auto"/>
              </w:rPr>
              <w:t>”改成“设备经营租赁</w:t>
            </w:r>
            <w:r>
              <w:rPr>
                <w:color w:val="A50021"/>
                <w:spacing w:val="-79"/>
                <w:u w:val="single" w:color="auto"/>
              </w:rPr>
              <w:t xml:space="preserve"> </w:t>
            </w:r>
            <w:r>
              <w:rPr>
                <w:color w:val="A50021"/>
                <w:spacing w:val="4"/>
                <w:u w:val="single" w:color="auto"/>
              </w:rPr>
              <w:t>”</w:t>
            </w:r>
          </w:p>
        </w:tc>
      </w:tr>
    </w:tbl>
    <w:p w14:paraId="4E3CE074">
      <w:pPr>
        <w:spacing w:line="166" w:lineRule="exact"/>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2D7C33F9">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3009F9EE">
            <w:pPr>
              <w:pStyle w:val="6"/>
              <w:spacing w:before="144" w:line="221" w:lineRule="auto"/>
              <w:ind w:left="285"/>
            </w:pPr>
            <w:r>
              <w:rPr>
                <w:color w:val="222222"/>
              </w:rPr>
              <w:t>章</w:t>
            </w:r>
          </w:p>
        </w:tc>
        <w:tc>
          <w:tcPr>
            <w:tcW w:w="2019" w:type="dxa"/>
            <w:vAlign w:val="top"/>
          </w:tcPr>
          <w:p w14:paraId="438B032A">
            <w:pPr>
              <w:pStyle w:val="6"/>
              <w:spacing w:before="144" w:line="222" w:lineRule="auto"/>
              <w:ind w:left="885"/>
            </w:pPr>
            <w:r>
              <w:rPr>
                <w:color w:val="222222"/>
              </w:rPr>
              <w:t>节</w:t>
            </w:r>
          </w:p>
        </w:tc>
        <w:tc>
          <w:tcPr>
            <w:tcW w:w="7056" w:type="dxa"/>
            <w:vAlign w:val="top"/>
          </w:tcPr>
          <w:p w14:paraId="6F7F9B2F">
            <w:pPr>
              <w:pStyle w:val="6"/>
              <w:spacing w:before="145" w:line="221" w:lineRule="auto"/>
              <w:ind w:left="3073"/>
            </w:pPr>
            <w:r>
              <w:rPr>
                <w:color w:val="222222"/>
                <w:spacing w:val="-1"/>
              </w:rPr>
              <w:t>变化说明</w:t>
            </w:r>
          </w:p>
        </w:tc>
      </w:tr>
      <w:tr w14:paraId="5602BED8">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6176" w:hRule="atLeast"/>
        </w:trPr>
        <w:tc>
          <w:tcPr>
            <w:tcW w:w="1021" w:type="dxa"/>
            <w:vAlign w:val="top"/>
          </w:tcPr>
          <w:p w14:paraId="25D99D50">
            <w:pPr>
              <w:spacing w:line="255" w:lineRule="auto"/>
              <w:rPr>
                <w:rFonts w:ascii="Arial"/>
                <w:sz w:val="21"/>
              </w:rPr>
            </w:pPr>
          </w:p>
          <w:p w14:paraId="575540E1">
            <w:pPr>
              <w:spacing w:line="255" w:lineRule="auto"/>
              <w:rPr>
                <w:rFonts w:ascii="Arial"/>
                <w:sz w:val="21"/>
              </w:rPr>
            </w:pPr>
          </w:p>
          <w:p w14:paraId="1165906D">
            <w:pPr>
              <w:spacing w:line="255" w:lineRule="auto"/>
              <w:rPr>
                <w:rFonts w:ascii="Arial"/>
                <w:sz w:val="21"/>
              </w:rPr>
            </w:pPr>
          </w:p>
          <w:p w14:paraId="5242A55C">
            <w:pPr>
              <w:spacing w:line="255" w:lineRule="auto"/>
              <w:rPr>
                <w:rFonts w:ascii="Arial"/>
                <w:sz w:val="21"/>
              </w:rPr>
            </w:pPr>
          </w:p>
          <w:p w14:paraId="7EBA7E7F">
            <w:pPr>
              <w:spacing w:line="255" w:lineRule="auto"/>
              <w:rPr>
                <w:rFonts w:ascii="Arial"/>
                <w:sz w:val="21"/>
              </w:rPr>
            </w:pPr>
          </w:p>
          <w:p w14:paraId="35FC2C2E">
            <w:pPr>
              <w:spacing w:line="255" w:lineRule="auto"/>
              <w:rPr>
                <w:rFonts w:ascii="Arial"/>
                <w:sz w:val="21"/>
              </w:rPr>
            </w:pPr>
          </w:p>
          <w:p w14:paraId="23EF1710">
            <w:pPr>
              <w:spacing w:line="255" w:lineRule="auto"/>
              <w:rPr>
                <w:rFonts w:ascii="Arial"/>
                <w:sz w:val="21"/>
              </w:rPr>
            </w:pPr>
          </w:p>
          <w:p w14:paraId="481B5535">
            <w:pPr>
              <w:spacing w:line="255" w:lineRule="auto"/>
              <w:rPr>
                <w:rFonts w:ascii="Arial"/>
                <w:sz w:val="21"/>
              </w:rPr>
            </w:pPr>
          </w:p>
          <w:p w14:paraId="45814F66">
            <w:pPr>
              <w:spacing w:line="255" w:lineRule="auto"/>
              <w:rPr>
                <w:rFonts w:ascii="Arial"/>
                <w:sz w:val="21"/>
              </w:rPr>
            </w:pPr>
          </w:p>
          <w:p w14:paraId="3B9754BA">
            <w:pPr>
              <w:spacing w:line="255" w:lineRule="auto"/>
              <w:rPr>
                <w:rFonts w:ascii="Arial"/>
                <w:sz w:val="21"/>
              </w:rPr>
            </w:pPr>
          </w:p>
          <w:p w14:paraId="7774972D">
            <w:pPr>
              <w:pStyle w:val="6"/>
              <w:spacing w:before="72" w:line="281" w:lineRule="auto"/>
              <w:ind w:left="65" w:right="277"/>
            </w:pPr>
            <w:r>
              <w:rPr>
                <w:color w:val="222222"/>
                <w:spacing w:val="-2"/>
              </w:rPr>
              <w:t>第5章</w:t>
            </w:r>
            <w:r>
              <w:rPr>
                <w:color w:val="222222"/>
                <w:spacing w:val="-1"/>
              </w:rPr>
              <w:t>价值工</w:t>
            </w:r>
            <w:r>
              <w:rPr>
                <w:color w:val="222222"/>
              </w:rPr>
              <w:t>程</w:t>
            </w:r>
          </w:p>
        </w:tc>
        <w:tc>
          <w:tcPr>
            <w:tcW w:w="2019" w:type="dxa"/>
            <w:vAlign w:val="top"/>
          </w:tcPr>
          <w:p w14:paraId="3B3E9C22">
            <w:pPr>
              <w:rPr>
                <w:rFonts w:ascii="Arial"/>
                <w:sz w:val="21"/>
              </w:rPr>
            </w:pPr>
          </w:p>
          <w:p w14:paraId="27EB658A">
            <w:pPr>
              <w:rPr>
                <w:rFonts w:ascii="Arial"/>
                <w:sz w:val="21"/>
              </w:rPr>
            </w:pPr>
          </w:p>
          <w:p w14:paraId="73F55BC6">
            <w:pPr>
              <w:rPr>
                <w:rFonts w:ascii="Arial"/>
                <w:sz w:val="21"/>
              </w:rPr>
            </w:pPr>
          </w:p>
          <w:p w14:paraId="37230C1D">
            <w:pPr>
              <w:rPr>
                <w:rFonts w:ascii="Arial"/>
                <w:sz w:val="21"/>
              </w:rPr>
            </w:pPr>
          </w:p>
          <w:p w14:paraId="72E01556">
            <w:pPr>
              <w:rPr>
                <w:rFonts w:ascii="Arial"/>
                <w:sz w:val="21"/>
              </w:rPr>
            </w:pPr>
          </w:p>
          <w:p w14:paraId="386862F7">
            <w:pPr>
              <w:rPr>
                <w:rFonts w:ascii="Arial"/>
                <w:sz w:val="21"/>
              </w:rPr>
            </w:pPr>
          </w:p>
          <w:p w14:paraId="78D67F08">
            <w:pPr>
              <w:rPr>
                <w:rFonts w:ascii="Arial"/>
                <w:sz w:val="21"/>
              </w:rPr>
            </w:pPr>
          </w:p>
          <w:p w14:paraId="1C716419">
            <w:pPr>
              <w:rPr>
                <w:rFonts w:ascii="Arial"/>
                <w:sz w:val="21"/>
              </w:rPr>
            </w:pPr>
          </w:p>
          <w:p w14:paraId="55C639A1">
            <w:pPr>
              <w:rPr>
                <w:rFonts w:ascii="Arial"/>
                <w:sz w:val="21"/>
              </w:rPr>
            </w:pPr>
          </w:p>
          <w:p w14:paraId="08A2D9FC">
            <w:pPr>
              <w:rPr>
                <w:rFonts w:ascii="Arial"/>
                <w:sz w:val="21"/>
              </w:rPr>
            </w:pPr>
          </w:p>
          <w:p w14:paraId="4145AA0F">
            <w:pPr>
              <w:rPr>
                <w:rFonts w:ascii="Arial"/>
                <w:sz w:val="21"/>
              </w:rPr>
            </w:pPr>
          </w:p>
          <w:p w14:paraId="440CAFFF">
            <w:pPr>
              <w:rPr>
                <w:rFonts w:ascii="Arial"/>
                <w:sz w:val="21"/>
              </w:rPr>
            </w:pPr>
          </w:p>
          <w:p w14:paraId="5D3D9F84">
            <w:pPr>
              <w:pStyle w:val="6"/>
              <w:spacing w:before="71" w:line="220" w:lineRule="auto"/>
              <w:ind w:left="61"/>
            </w:pPr>
            <w:r>
              <w:rPr>
                <w:color w:val="222222"/>
              </w:rPr>
              <w:t>5.1 价值工程原理</w:t>
            </w:r>
          </w:p>
        </w:tc>
        <w:tc>
          <w:tcPr>
            <w:tcW w:w="7056" w:type="dxa"/>
            <w:vAlign w:val="top"/>
          </w:tcPr>
          <w:p w14:paraId="17D74543">
            <w:pPr>
              <w:pStyle w:val="6"/>
              <w:spacing w:before="134" w:line="221" w:lineRule="auto"/>
              <w:ind w:left="52"/>
            </w:pPr>
            <w:r>
              <w:rPr>
                <w:color w:val="A50021"/>
                <w:spacing w:val="2"/>
                <w:u w:val="single" w:color="auto"/>
              </w:rPr>
              <w:t>P52-53： "费用"改成“费用（成本）</w:t>
            </w:r>
          </w:p>
          <w:p w14:paraId="7B641B15">
            <w:pPr>
              <w:pStyle w:val="6"/>
              <w:spacing w:before="70" w:line="220" w:lineRule="auto"/>
              <w:ind w:left="52"/>
            </w:pPr>
            <w:r>
              <w:rPr>
                <w:color w:val="A50021"/>
                <w:spacing w:val="2"/>
                <w:u w:val="single" w:color="auto"/>
              </w:rPr>
              <w:t>P53：5.1.1 价值工程的含义 2. 提</w:t>
            </w:r>
            <w:r>
              <w:rPr>
                <w:color w:val="A50021"/>
                <w:spacing w:val="1"/>
                <w:u w:val="single" w:color="auto"/>
              </w:rPr>
              <w:t>高价值的途径 修改一段内容</w:t>
            </w:r>
          </w:p>
          <w:p w14:paraId="44E9D7F5">
            <w:pPr>
              <w:pStyle w:val="6"/>
              <w:spacing w:before="70" w:line="280" w:lineRule="auto"/>
              <w:ind w:left="62" w:right="92" w:hanging="5"/>
            </w:pPr>
            <w:r>
              <w:rPr>
                <w:color w:val="222222"/>
                <w:spacing w:val="2"/>
              </w:rPr>
              <w:t>P25：确定何种途径提高对象价值应遵循的原则：①功能调整应以顾</w:t>
            </w:r>
            <w:r>
              <w:rPr>
                <w:color w:val="222222"/>
                <w:spacing w:val="1"/>
              </w:rPr>
              <w:t>客/</w:t>
            </w:r>
            <w:r>
              <w:rPr>
                <w:color w:val="222222"/>
                <w:spacing w:val="2"/>
              </w:rPr>
              <w:t>用户对功能的需求为依据；②提高对象价值应平衡用户体验和</w:t>
            </w:r>
            <w:r>
              <w:rPr>
                <w:color w:val="222222"/>
                <w:spacing w:val="1"/>
              </w:rPr>
              <w:t>商业价值</w:t>
            </w:r>
            <w:r>
              <w:rPr>
                <w:color w:val="222222"/>
              </w:rPr>
              <w:t xml:space="preserve"> ;</w:t>
            </w:r>
            <w:r>
              <w:rPr>
                <w:color w:val="222222"/>
                <w:spacing w:val="60"/>
              </w:rPr>
              <w:t xml:space="preserve"> </w:t>
            </w:r>
            <w:r>
              <w:rPr>
                <w:color w:val="222222"/>
              </w:rPr>
              <w:t>③应从方案创新、替代方 案选择和管理控制三方面寻求具体</w:t>
            </w:r>
            <w:r>
              <w:rPr>
                <w:color w:val="222222"/>
                <w:spacing w:val="-1"/>
              </w:rPr>
              <w:t>解决方案和办法。</w:t>
            </w:r>
          </w:p>
          <w:p w14:paraId="3D6213FA">
            <w:pPr>
              <w:pStyle w:val="6"/>
              <w:spacing w:before="4" w:line="279" w:lineRule="auto"/>
              <w:ind w:left="60" w:right="92" w:hanging="3"/>
            </w:pPr>
            <w:r>
              <w:rPr>
                <w:color w:val="222222"/>
                <w:spacing w:val="2"/>
              </w:rPr>
              <w:t>P26：确定何种途径提高对象价值应遵循的原则：①功能调整应以顾</w:t>
            </w:r>
            <w:r>
              <w:rPr>
                <w:color w:val="222222"/>
                <w:spacing w:val="1"/>
              </w:rPr>
              <w:t>客/</w:t>
            </w:r>
            <w:r>
              <w:rPr>
                <w:color w:val="222222"/>
              </w:rPr>
              <w:t>用户对功能的需求</w:t>
            </w:r>
            <w:r>
              <w:rPr>
                <w:color w:val="A50021"/>
                <w:spacing w:val="-51"/>
                <w:u w:val="single" w:color="auto"/>
              </w:rPr>
              <w:t xml:space="preserve"> </w:t>
            </w:r>
            <w:r>
              <w:rPr>
                <w:color w:val="A50021"/>
                <w:u w:val="single" w:color="auto"/>
              </w:rPr>
              <w:t>(满足顾客/用户需求)</w:t>
            </w:r>
            <w:r>
              <w:rPr>
                <w:color w:val="222222"/>
              </w:rPr>
              <w:t>为依据；②提高对象价值应平</w:t>
            </w:r>
            <w:r>
              <w:rPr>
                <w:color w:val="222222"/>
                <w:spacing w:val="2"/>
              </w:rPr>
              <w:t>衡用户体验和</w:t>
            </w:r>
            <w:r>
              <w:rPr>
                <w:color w:val="A50021"/>
                <w:spacing w:val="2"/>
                <w:u w:val="single" w:color="auto"/>
              </w:rPr>
              <w:t>企业或产品</w:t>
            </w:r>
            <w:r>
              <w:rPr>
                <w:color w:val="222222"/>
                <w:spacing w:val="2"/>
              </w:rPr>
              <w:t>的商业价值；③应从方案创新、替代方案</w:t>
            </w:r>
            <w:r>
              <w:rPr>
                <w:color w:val="222222"/>
                <w:spacing w:val="1"/>
              </w:rPr>
              <w:t>选择和管理控制三方面寻求具体解决方案和办法。</w:t>
            </w:r>
          </w:p>
          <w:p w14:paraId="78ECAECC">
            <w:pPr>
              <w:pStyle w:val="6"/>
              <w:spacing w:before="1" w:line="219" w:lineRule="auto"/>
              <w:ind w:left="52"/>
            </w:pPr>
            <w:r>
              <w:rPr>
                <w:color w:val="A50021"/>
                <w:spacing w:val="1"/>
                <w:u w:val="single" w:color="auto"/>
              </w:rPr>
              <w:t>P54：5.1.2 价值工程的特点 修改两句话</w:t>
            </w:r>
          </w:p>
          <w:p w14:paraId="1936BD4F">
            <w:pPr>
              <w:pStyle w:val="6"/>
              <w:spacing w:before="71" w:line="220" w:lineRule="auto"/>
              <w:ind w:left="64"/>
            </w:pPr>
            <w:r>
              <w:rPr>
                <w:color w:val="222222"/>
                <w:spacing w:val="1"/>
              </w:rPr>
              <w:t>25版：价值工程的出发点和目标是提高对象的价值，</w:t>
            </w:r>
          </w:p>
          <w:p w14:paraId="68FFA641">
            <w:pPr>
              <w:pStyle w:val="6"/>
              <w:spacing w:before="71" w:line="280" w:lineRule="auto"/>
              <w:ind w:left="63" w:right="98"/>
            </w:pPr>
            <w:r>
              <w:rPr>
                <w:color w:val="222222"/>
                <w:spacing w:val="2"/>
              </w:rPr>
              <w:t>26版：价值工程的出发点和目标是提高对象</w:t>
            </w:r>
            <w:r>
              <w:rPr>
                <w:color w:val="222222"/>
                <w:spacing w:val="1"/>
              </w:rPr>
              <w:t>的价值</w:t>
            </w:r>
            <w:r>
              <w:rPr>
                <w:color w:val="A50021"/>
                <w:spacing w:val="1"/>
                <w:u w:val="single" w:color="auto"/>
              </w:rPr>
              <w:t>或选择价值较高的对</w:t>
            </w:r>
            <w:r>
              <w:rPr>
                <w:color w:val="A50021"/>
                <w:spacing w:val="-1"/>
                <w:u w:val="single" w:color="auto"/>
              </w:rPr>
              <w:t>象为较优方案</w:t>
            </w:r>
            <w:r>
              <w:rPr>
                <w:color w:val="222222"/>
                <w:spacing w:val="-1"/>
              </w:rPr>
              <w:t>，</w:t>
            </w:r>
          </w:p>
          <w:p w14:paraId="2353EA79">
            <w:pPr>
              <w:pStyle w:val="6"/>
              <w:spacing w:before="2" w:line="279" w:lineRule="auto"/>
              <w:ind w:left="66" w:right="93" w:hanging="2"/>
            </w:pPr>
            <w:r>
              <w:rPr>
                <w:color w:val="222222"/>
                <w:spacing w:val="2"/>
              </w:rPr>
              <w:t>25版：功能量化分析在价值工程对象选择、功能分析、</w:t>
            </w:r>
            <w:r>
              <w:rPr>
                <w:color w:val="222222"/>
                <w:spacing w:val="1"/>
              </w:rPr>
              <w:t>功能评价、实施</w:t>
            </w:r>
            <w:r>
              <w:rPr>
                <w:color w:val="222222"/>
              </w:rPr>
              <w:t>效果评价等环节均</w:t>
            </w:r>
            <w:r>
              <w:rPr>
                <w:color w:val="A50021"/>
                <w:u w:val="single" w:color="auto"/>
              </w:rPr>
              <w:t>可能需要进行</w:t>
            </w:r>
            <w:r>
              <w:rPr>
                <w:color w:val="222222"/>
              </w:rPr>
              <w:t>。</w:t>
            </w:r>
          </w:p>
          <w:p w14:paraId="694EAFA3">
            <w:pPr>
              <w:pStyle w:val="6"/>
              <w:spacing w:before="1" w:line="281" w:lineRule="auto"/>
              <w:ind w:left="66" w:right="92" w:hanging="2"/>
            </w:pPr>
            <w:r>
              <w:rPr>
                <w:color w:val="222222"/>
                <w:spacing w:val="2"/>
              </w:rPr>
              <w:t>26版：功能量化分析在价值工程对象选择、功能分析、</w:t>
            </w:r>
            <w:r>
              <w:rPr>
                <w:color w:val="222222"/>
                <w:spacing w:val="1"/>
              </w:rPr>
              <w:t>功能评价、实施</w:t>
            </w:r>
            <w:r>
              <w:rPr>
                <w:color w:val="222222"/>
              </w:rPr>
              <w:t>效果评价等环节</w:t>
            </w:r>
            <w:r>
              <w:rPr>
                <w:color w:val="A50021"/>
                <w:u w:val="single" w:color="auto"/>
              </w:rPr>
              <w:t>均需要进行</w:t>
            </w:r>
            <w:r>
              <w:rPr>
                <w:color w:val="222222"/>
              </w:rPr>
              <w:t>。</w:t>
            </w:r>
          </w:p>
        </w:tc>
      </w:tr>
    </w:tbl>
    <w:p w14:paraId="3D3D9E8F">
      <w:pPr>
        <w:rPr>
          <w:rFonts w:ascii="Arial"/>
          <w:sz w:val="21"/>
        </w:rPr>
      </w:pPr>
    </w:p>
    <w:p w14:paraId="1D0D48C0">
      <w:pPr>
        <w:rPr>
          <w:rFonts w:ascii="Arial" w:hAnsi="Arial" w:eastAsia="Arial" w:cs="Arial"/>
          <w:sz w:val="21"/>
          <w:szCs w:val="21"/>
        </w:rPr>
        <w:sectPr>
          <w:footerReference r:id="rId12" w:type="default"/>
          <w:pgSz w:w="11900" w:h="16840"/>
          <w:pgMar w:top="865" w:right="308" w:bottom="941" w:left="293" w:header="397" w:footer="585" w:gutter="0"/>
          <w:cols w:space="720" w:num="1"/>
        </w:sectPr>
      </w:pPr>
    </w:p>
    <w:p w14:paraId="66858A45">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29C4C2BF">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096" w:type="dxa"/>
            <w:gridSpan w:val="3"/>
            <w:vAlign w:val="top"/>
          </w:tcPr>
          <w:p w14:paraId="71A9CD6B">
            <w:pPr>
              <w:pStyle w:val="6"/>
              <w:spacing w:before="145" w:line="221" w:lineRule="auto"/>
              <w:ind w:left="4263"/>
            </w:pPr>
            <w:r>
              <w:rPr>
                <w:color w:val="222222"/>
                <w:spacing w:val="-2"/>
              </w:rPr>
              <w:t>第2篇</w:t>
            </w:r>
            <w:r>
              <w:rPr>
                <w:color w:val="222222"/>
                <w:spacing w:val="18"/>
              </w:rPr>
              <w:t xml:space="preserve"> </w:t>
            </w:r>
            <w:r>
              <w:rPr>
                <w:color w:val="222222"/>
                <w:spacing w:val="-2"/>
              </w:rPr>
              <w:t>工程财务</w:t>
            </w:r>
          </w:p>
        </w:tc>
      </w:tr>
      <w:tr w14:paraId="2F32E087">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2" w:hRule="atLeast"/>
        </w:trPr>
        <w:tc>
          <w:tcPr>
            <w:tcW w:w="1021" w:type="dxa"/>
            <w:vAlign w:val="top"/>
          </w:tcPr>
          <w:p w14:paraId="3069935F">
            <w:pPr>
              <w:pStyle w:val="6"/>
              <w:spacing w:before="134" w:line="221" w:lineRule="auto"/>
              <w:ind w:left="285"/>
            </w:pPr>
            <w:r>
              <w:rPr>
                <w:color w:val="222222"/>
              </w:rPr>
              <w:t>章</w:t>
            </w:r>
          </w:p>
        </w:tc>
        <w:tc>
          <w:tcPr>
            <w:tcW w:w="2019" w:type="dxa"/>
            <w:vAlign w:val="top"/>
          </w:tcPr>
          <w:p w14:paraId="022DCEC1">
            <w:pPr>
              <w:pStyle w:val="6"/>
              <w:spacing w:before="135" w:line="222" w:lineRule="auto"/>
              <w:ind w:left="885"/>
            </w:pPr>
            <w:r>
              <w:rPr>
                <w:color w:val="222222"/>
              </w:rPr>
              <w:t>节</w:t>
            </w:r>
          </w:p>
        </w:tc>
        <w:tc>
          <w:tcPr>
            <w:tcW w:w="7056" w:type="dxa"/>
            <w:vAlign w:val="top"/>
          </w:tcPr>
          <w:p w14:paraId="0A50D434">
            <w:pPr>
              <w:pStyle w:val="6"/>
              <w:spacing w:before="135" w:line="221" w:lineRule="auto"/>
              <w:ind w:left="3073"/>
            </w:pPr>
            <w:r>
              <w:rPr>
                <w:color w:val="222222"/>
                <w:spacing w:val="-1"/>
              </w:rPr>
              <w:t>变化说明</w:t>
            </w:r>
          </w:p>
        </w:tc>
      </w:tr>
      <w:tr w14:paraId="22913E86">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6844" w:hRule="atLeast"/>
        </w:trPr>
        <w:tc>
          <w:tcPr>
            <w:tcW w:w="1021" w:type="dxa"/>
            <w:vAlign w:val="top"/>
          </w:tcPr>
          <w:p w14:paraId="40EF8472">
            <w:pPr>
              <w:rPr>
                <w:rFonts w:ascii="Arial"/>
                <w:sz w:val="21"/>
              </w:rPr>
            </w:pPr>
          </w:p>
          <w:p w14:paraId="5F647CB1">
            <w:pPr>
              <w:rPr>
                <w:rFonts w:ascii="Arial"/>
                <w:sz w:val="21"/>
              </w:rPr>
            </w:pPr>
          </w:p>
          <w:p w14:paraId="6A6DEC68">
            <w:pPr>
              <w:rPr>
                <w:rFonts w:ascii="Arial"/>
                <w:sz w:val="21"/>
              </w:rPr>
            </w:pPr>
          </w:p>
          <w:p w14:paraId="0CB43150">
            <w:pPr>
              <w:rPr>
                <w:rFonts w:ascii="Arial"/>
                <w:sz w:val="21"/>
              </w:rPr>
            </w:pPr>
          </w:p>
          <w:p w14:paraId="5E43E6C8">
            <w:pPr>
              <w:rPr>
                <w:rFonts w:ascii="Arial"/>
                <w:sz w:val="21"/>
              </w:rPr>
            </w:pPr>
          </w:p>
          <w:p w14:paraId="0C8302F1">
            <w:pPr>
              <w:rPr>
                <w:rFonts w:ascii="Arial"/>
                <w:sz w:val="21"/>
              </w:rPr>
            </w:pPr>
          </w:p>
          <w:p w14:paraId="1D5ED43B">
            <w:pPr>
              <w:rPr>
                <w:rFonts w:ascii="Arial"/>
                <w:sz w:val="21"/>
              </w:rPr>
            </w:pPr>
          </w:p>
          <w:p w14:paraId="74451D05">
            <w:pPr>
              <w:rPr>
                <w:rFonts w:ascii="Arial"/>
                <w:sz w:val="21"/>
              </w:rPr>
            </w:pPr>
          </w:p>
          <w:p w14:paraId="24CCA200">
            <w:pPr>
              <w:rPr>
                <w:rFonts w:ascii="Arial"/>
                <w:sz w:val="21"/>
              </w:rPr>
            </w:pPr>
          </w:p>
          <w:p w14:paraId="505C2411">
            <w:pPr>
              <w:spacing w:line="241" w:lineRule="auto"/>
              <w:rPr>
                <w:rFonts w:ascii="Arial"/>
                <w:sz w:val="21"/>
              </w:rPr>
            </w:pPr>
          </w:p>
          <w:p w14:paraId="72375E64">
            <w:pPr>
              <w:spacing w:line="241" w:lineRule="auto"/>
              <w:rPr>
                <w:rFonts w:ascii="Arial"/>
                <w:sz w:val="21"/>
              </w:rPr>
            </w:pPr>
          </w:p>
          <w:p w14:paraId="1AB612B8">
            <w:pPr>
              <w:spacing w:line="241" w:lineRule="auto"/>
              <w:rPr>
                <w:rFonts w:ascii="Arial"/>
                <w:sz w:val="21"/>
              </w:rPr>
            </w:pPr>
          </w:p>
          <w:p w14:paraId="5A55DEEC">
            <w:pPr>
              <w:pStyle w:val="6"/>
              <w:spacing w:before="72" w:line="281" w:lineRule="auto"/>
              <w:ind w:left="65" w:right="277"/>
            </w:pPr>
            <w:r>
              <w:rPr>
                <w:color w:val="222222"/>
                <w:spacing w:val="-2"/>
              </w:rPr>
              <w:t>第5章</w:t>
            </w:r>
            <w:r>
              <w:rPr>
                <w:color w:val="222222"/>
                <w:spacing w:val="-1"/>
              </w:rPr>
              <w:t>价值工</w:t>
            </w:r>
            <w:r>
              <w:rPr>
                <w:color w:val="222222"/>
              </w:rPr>
              <w:t>程</w:t>
            </w:r>
          </w:p>
        </w:tc>
        <w:tc>
          <w:tcPr>
            <w:tcW w:w="2019" w:type="dxa"/>
            <w:vAlign w:val="top"/>
          </w:tcPr>
          <w:p w14:paraId="34802CE0">
            <w:pPr>
              <w:spacing w:line="253" w:lineRule="auto"/>
              <w:rPr>
                <w:rFonts w:ascii="Arial"/>
                <w:sz w:val="21"/>
              </w:rPr>
            </w:pPr>
          </w:p>
          <w:p w14:paraId="0BB3C722">
            <w:pPr>
              <w:spacing w:line="254" w:lineRule="auto"/>
              <w:rPr>
                <w:rFonts w:ascii="Arial"/>
                <w:sz w:val="21"/>
              </w:rPr>
            </w:pPr>
          </w:p>
          <w:p w14:paraId="33FF35D0">
            <w:pPr>
              <w:spacing w:line="254" w:lineRule="auto"/>
              <w:rPr>
                <w:rFonts w:ascii="Arial"/>
                <w:sz w:val="21"/>
              </w:rPr>
            </w:pPr>
          </w:p>
          <w:p w14:paraId="39D56011">
            <w:pPr>
              <w:spacing w:line="254" w:lineRule="auto"/>
              <w:rPr>
                <w:rFonts w:ascii="Arial"/>
                <w:sz w:val="21"/>
              </w:rPr>
            </w:pPr>
          </w:p>
          <w:p w14:paraId="529EBC01">
            <w:pPr>
              <w:spacing w:line="254" w:lineRule="auto"/>
              <w:rPr>
                <w:rFonts w:ascii="Arial"/>
                <w:sz w:val="21"/>
              </w:rPr>
            </w:pPr>
          </w:p>
          <w:p w14:paraId="586F6459">
            <w:pPr>
              <w:spacing w:line="254" w:lineRule="auto"/>
              <w:rPr>
                <w:rFonts w:ascii="Arial"/>
                <w:sz w:val="21"/>
              </w:rPr>
            </w:pPr>
          </w:p>
          <w:p w14:paraId="4916CA54">
            <w:pPr>
              <w:spacing w:line="254" w:lineRule="auto"/>
              <w:rPr>
                <w:rFonts w:ascii="Arial"/>
                <w:sz w:val="21"/>
              </w:rPr>
            </w:pPr>
          </w:p>
          <w:p w14:paraId="785B3BDD">
            <w:pPr>
              <w:spacing w:line="254" w:lineRule="auto"/>
              <w:rPr>
                <w:rFonts w:ascii="Arial"/>
                <w:sz w:val="21"/>
              </w:rPr>
            </w:pPr>
          </w:p>
          <w:p w14:paraId="73528B16">
            <w:pPr>
              <w:spacing w:line="254" w:lineRule="auto"/>
              <w:rPr>
                <w:rFonts w:ascii="Arial"/>
                <w:sz w:val="21"/>
              </w:rPr>
            </w:pPr>
          </w:p>
          <w:p w14:paraId="447AA2FF">
            <w:pPr>
              <w:spacing w:line="254" w:lineRule="auto"/>
              <w:rPr>
                <w:rFonts w:ascii="Arial"/>
                <w:sz w:val="21"/>
              </w:rPr>
            </w:pPr>
          </w:p>
          <w:p w14:paraId="41B49BDA">
            <w:pPr>
              <w:spacing w:line="254" w:lineRule="auto"/>
              <w:rPr>
                <w:rFonts w:ascii="Arial"/>
                <w:sz w:val="21"/>
              </w:rPr>
            </w:pPr>
          </w:p>
          <w:p w14:paraId="3BAA866D">
            <w:pPr>
              <w:spacing w:line="254" w:lineRule="auto"/>
              <w:rPr>
                <w:rFonts w:ascii="Arial"/>
                <w:sz w:val="21"/>
              </w:rPr>
            </w:pPr>
          </w:p>
          <w:p w14:paraId="639F1091">
            <w:pPr>
              <w:pStyle w:val="6"/>
              <w:spacing w:before="71" w:line="282" w:lineRule="auto"/>
              <w:ind w:left="60" w:right="173" w:firstLine="1"/>
            </w:pPr>
            <w:r>
              <w:rPr>
                <w:color w:val="222222"/>
              </w:rPr>
              <w:t>5.2 价值工程实施</w:t>
            </w:r>
            <w:r>
              <w:rPr>
                <w:color w:val="222222"/>
                <w:spacing w:val="-5"/>
              </w:rPr>
              <w:t>步骤</w:t>
            </w:r>
          </w:p>
        </w:tc>
        <w:tc>
          <w:tcPr>
            <w:tcW w:w="7056" w:type="dxa"/>
            <w:vAlign w:val="top"/>
          </w:tcPr>
          <w:p w14:paraId="1FE99305">
            <w:pPr>
              <w:pStyle w:val="6"/>
              <w:spacing w:before="136" w:line="220" w:lineRule="auto"/>
              <w:ind w:left="52"/>
            </w:pPr>
            <w:r>
              <w:rPr>
                <w:color w:val="A50021"/>
                <w:spacing w:val="1"/>
                <w:u w:val="single" w:color="auto"/>
              </w:rPr>
              <w:t>P55：5.2.2 价值工程准备阶段 修改两句话</w:t>
            </w:r>
          </w:p>
          <w:p w14:paraId="39368DF7">
            <w:pPr>
              <w:pStyle w:val="6"/>
              <w:spacing w:before="71" w:line="280" w:lineRule="auto"/>
              <w:ind w:left="60" w:right="93" w:firstLine="3"/>
            </w:pPr>
            <w:r>
              <w:rPr>
                <w:color w:val="222222"/>
                <w:spacing w:val="2"/>
              </w:rPr>
              <w:t>25版：①设计维度。选择结构或构造复杂、性能和技术</w:t>
            </w:r>
            <w:r>
              <w:rPr>
                <w:color w:val="222222"/>
                <w:spacing w:val="1"/>
              </w:rPr>
              <w:t>指标差、体积和/或重量大的工程项目或其分部分项工程。</w:t>
            </w:r>
          </w:p>
          <w:p w14:paraId="1C512BE0">
            <w:pPr>
              <w:pStyle w:val="6"/>
              <w:spacing w:before="2" w:line="279" w:lineRule="auto"/>
              <w:ind w:left="66" w:right="93" w:hanging="7"/>
            </w:pPr>
            <w:r>
              <w:rPr>
                <w:color w:val="222222"/>
                <w:spacing w:val="2"/>
              </w:rPr>
              <w:t>②施工维度。选择工程量大、工序繁琐、工艺复杂、原材料和能源消耗</w:t>
            </w:r>
            <w:r>
              <w:rPr>
                <w:color w:val="222222"/>
                <w:spacing w:val="1"/>
              </w:rPr>
              <w:t>高、质量难以保证的工程项目或其分部分项工程。</w:t>
            </w:r>
          </w:p>
          <w:p w14:paraId="6514854B">
            <w:pPr>
              <w:pStyle w:val="6"/>
              <w:spacing w:before="2" w:line="279" w:lineRule="auto"/>
              <w:ind w:left="60" w:right="93" w:firstLine="3"/>
            </w:pPr>
            <w:r>
              <w:rPr>
                <w:color w:val="222222"/>
                <w:spacing w:val="2"/>
              </w:rPr>
              <w:t>26版：①设计维度。选择结构或构造复杂、性能和技术</w:t>
            </w:r>
            <w:r>
              <w:rPr>
                <w:color w:val="222222"/>
                <w:spacing w:val="1"/>
              </w:rPr>
              <w:t>指标差、体积和</w:t>
            </w:r>
            <w:r>
              <w:rPr>
                <w:color w:val="222222"/>
                <w:spacing w:val="2"/>
              </w:rPr>
              <w:t>/或重量大、</w:t>
            </w:r>
            <w:r>
              <w:rPr>
                <w:color w:val="A50021"/>
                <w:spacing w:val="2"/>
                <w:u w:val="single" w:color="auto"/>
              </w:rPr>
              <w:t>安全性能要求高</w:t>
            </w:r>
            <w:r>
              <w:rPr>
                <w:color w:val="222222"/>
                <w:spacing w:val="2"/>
              </w:rPr>
              <w:t>的工程项目或其分</w:t>
            </w:r>
            <w:r>
              <w:rPr>
                <w:color w:val="222222"/>
                <w:spacing w:val="1"/>
              </w:rPr>
              <w:t>部分项工程。</w:t>
            </w:r>
          </w:p>
          <w:p w14:paraId="621C36FD">
            <w:pPr>
              <w:pStyle w:val="6"/>
              <w:spacing w:before="2" w:line="279" w:lineRule="auto"/>
              <w:ind w:left="66" w:right="92" w:hanging="7"/>
            </w:pPr>
            <w:r>
              <w:rPr>
                <w:color w:val="222222"/>
                <w:spacing w:val="2"/>
              </w:rPr>
              <w:t>②施工维度。选择工程量大、工序繁琐、工艺复杂、原材料和能源消耗</w:t>
            </w:r>
            <w:r>
              <w:rPr>
                <w:color w:val="222222"/>
                <w:spacing w:val="1"/>
              </w:rPr>
              <w:t>高、质量难以保证、</w:t>
            </w:r>
            <w:r>
              <w:rPr>
                <w:color w:val="A50021"/>
                <w:spacing w:val="1"/>
                <w:u w:val="single" w:color="auto"/>
              </w:rPr>
              <w:t>安全风险高</w:t>
            </w:r>
            <w:r>
              <w:rPr>
                <w:color w:val="222222"/>
                <w:spacing w:val="1"/>
              </w:rPr>
              <w:t>的工程项目或其分部分项工程。</w:t>
            </w:r>
          </w:p>
          <w:p w14:paraId="39B202C0">
            <w:pPr>
              <w:pStyle w:val="6"/>
              <w:spacing w:before="1" w:line="219" w:lineRule="auto"/>
              <w:ind w:left="52"/>
            </w:pPr>
            <w:r>
              <w:rPr>
                <w:color w:val="A50021"/>
                <w:spacing w:val="2"/>
                <w:u w:val="single" w:color="auto"/>
              </w:rPr>
              <w:t xml:space="preserve">P55：5.2.2 价值工程准备阶段 </w:t>
            </w:r>
            <w:r>
              <w:rPr>
                <w:color w:val="A50021"/>
                <w:u w:val="single" w:color="auto"/>
              </w:rPr>
              <w:t>ABC</w:t>
            </w:r>
            <w:r>
              <w:rPr>
                <w:color w:val="A50021"/>
                <w:spacing w:val="1"/>
                <w:u w:val="single" w:color="auto"/>
              </w:rPr>
              <w:t>分析法新增一句话</w:t>
            </w:r>
          </w:p>
          <w:p w14:paraId="7B1A4FF9">
            <w:pPr>
              <w:pStyle w:val="6"/>
              <w:spacing w:before="71" w:line="280" w:lineRule="auto"/>
              <w:ind w:left="62" w:right="93" w:firstLine="1"/>
            </w:pPr>
            <w:r>
              <w:rPr>
                <w:color w:val="222222"/>
                <w:spacing w:val="2"/>
              </w:rPr>
              <w:t>26版：</w:t>
            </w:r>
            <w:r>
              <w:rPr>
                <w:color w:val="222222"/>
              </w:rPr>
              <w:t>ABC</w:t>
            </w:r>
            <w:r>
              <w:rPr>
                <w:color w:val="222222"/>
                <w:spacing w:val="2"/>
              </w:rPr>
              <w:t>分析法遵循二八法则，即 20%对象(如产</w:t>
            </w:r>
            <w:r>
              <w:rPr>
                <w:color w:val="222222"/>
                <w:spacing w:val="1"/>
              </w:rPr>
              <w:t>品或零部件数量占比</w:t>
            </w:r>
            <w:r>
              <w:rPr>
                <w:color w:val="222222"/>
              </w:rPr>
              <w:t xml:space="preserve"> </w:t>
            </w:r>
            <w:r>
              <w:rPr>
                <w:color w:val="222222"/>
                <w:spacing w:val="1"/>
              </w:rPr>
              <w:t>)产生80%效果(如产品销售额、零部件成本占比)。</w:t>
            </w:r>
          </w:p>
          <w:p w14:paraId="7FDD841F">
            <w:pPr>
              <w:pStyle w:val="6"/>
              <w:spacing w:before="1" w:line="219" w:lineRule="auto"/>
              <w:ind w:left="52"/>
            </w:pPr>
            <w:r>
              <w:rPr>
                <w:color w:val="A50021"/>
                <w:spacing w:val="1"/>
                <w:u w:val="single" w:color="auto"/>
              </w:rPr>
              <w:t>P56：5.2.2 价值工程准备阶段 价值指数法新增一句话</w:t>
            </w:r>
          </w:p>
          <w:p w14:paraId="215C1F17">
            <w:pPr>
              <w:pStyle w:val="6"/>
              <w:spacing w:before="71" w:line="220" w:lineRule="auto"/>
              <w:ind w:left="64"/>
            </w:pPr>
            <w:r>
              <w:rPr>
                <w:color w:val="222222"/>
                <w:spacing w:val="2"/>
              </w:rPr>
              <w:t>26版：该 方法综合考虑功能重要性和成本/</w:t>
            </w:r>
            <w:r>
              <w:rPr>
                <w:color w:val="222222"/>
                <w:spacing w:val="1"/>
              </w:rPr>
              <w:t>费用选择价值工程对象。</w:t>
            </w:r>
          </w:p>
          <w:p w14:paraId="4E07C6AC">
            <w:pPr>
              <w:pStyle w:val="6"/>
              <w:spacing w:before="71" w:line="220" w:lineRule="auto"/>
              <w:ind w:left="52"/>
            </w:pPr>
            <w:r>
              <w:rPr>
                <w:color w:val="A50021"/>
                <w:spacing w:val="2"/>
                <w:u w:val="single" w:color="auto"/>
              </w:rPr>
              <w:t>P58：5.2.3 价值工程分析阶段 2)功能</w:t>
            </w:r>
            <w:r>
              <w:rPr>
                <w:color w:val="A50021"/>
                <w:spacing w:val="1"/>
                <w:u w:val="single" w:color="auto"/>
              </w:rPr>
              <w:t>分析基本过程 修改一句话</w:t>
            </w:r>
          </w:p>
          <w:p w14:paraId="6155C7A1">
            <w:pPr>
              <w:pStyle w:val="6"/>
              <w:spacing w:before="71" w:line="219" w:lineRule="auto"/>
              <w:ind w:left="64"/>
            </w:pPr>
            <w:r>
              <w:rPr>
                <w:color w:val="222222"/>
                <w:spacing w:val="1"/>
              </w:rPr>
              <w:t>25版：①弄清产品目的，这是功能定义的前提；</w:t>
            </w:r>
          </w:p>
          <w:p w14:paraId="2EE53B13">
            <w:pPr>
              <w:pStyle w:val="6"/>
              <w:spacing w:before="73" w:line="219" w:lineRule="auto"/>
              <w:ind w:left="59"/>
            </w:pPr>
            <w:r>
              <w:rPr>
                <w:color w:val="222222"/>
                <w:spacing w:val="1"/>
              </w:rPr>
              <w:t>②明确对象或产品的整体功能；</w:t>
            </w:r>
          </w:p>
          <w:p w14:paraId="7A037A80">
            <w:pPr>
              <w:pStyle w:val="6"/>
              <w:spacing w:before="72" w:line="219" w:lineRule="auto"/>
              <w:ind w:left="64"/>
            </w:pPr>
            <w:r>
              <w:rPr>
                <w:color w:val="222222"/>
                <w:spacing w:val="2"/>
              </w:rPr>
              <w:t>26版：①弄清产品目的，功能是为目的服务的，</w:t>
            </w:r>
            <w:r>
              <w:rPr>
                <w:color w:val="222222"/>
                <w:spacing w:val="1"/>
              </w:rPr>
              <w:t>是功能定义的前提；</w:t>
            </w:r>
          </w:p>
          <w:p w14:paraId="3E59CC48">
            <w:pPr>
              <w:pStyle w:val="6"/>
              <w:spacing w:before="73" w:line="219" w:lineRule="auto"/>
              <w:ind w:left="59"/>
            </w:pPr>
            <w:r>
              <w:rPr>
                <w:color w:val="222222"/>
                <w:spacing w:val="1"/>
              </w:rPr>
              <w:t>②明确产品的整体功能；</w:t>
            </w:r>
          </w:p>
          <w:p w14:paraId="626282A1">
            <w:pPr>
              <w:pStyle w:val="6"/>
              <w:spacing w:before="72" w:line="220" w:lineRule="auto"/>
              <w:ind w:left="52"/>
            </w:pPr>
            <w:r>
              <w:rPr>
                <w:color w:val="A50021"/>
                <w:spacing w:val="2"/>
                <w:u w:val="single" w:color="auto"/>
              </w:rPr>
              <w:t>P59-62：5.2.3 价值工程分析阶段</w:t>
            </w:r>
            <w:r>
              <w:rPr>
                <w:color w:val="A50021"/>
                <w:spacing w:val="1"/>
                <w:u w:val="single" w:color="auto"/>
              </w:rPr>
              <w:t xml:space="preserve"> 3.功能评价 描述上细微调整</w:t>
            </w:r>
          </w:p>
        </w:tc>
      </w:tr>
    </w:tbl>
    <w:p w14:paraId="75AB49FE">
      <w:pPr>
        <w:rPr>
          <w:rFonts w:ascii="Arial"/>
          <w:sz w:val="21"/>
        </w:rPr>
      </w:pPr>
    </w:p>
    <w:p w14:paraId="375D88D5">
      <w:pPr>
        <w:rPr>
          <w:rFonts w:ascii="Arial" w:hAnsi="Arial" w:eastAsia="Arial" w:cs="Arial"/>
          <w:sz w:val="21"/>
          <w:szCs w:val="21"/>
        </w:rPr>
        <w:sectPr>
          <w:footerReference r:id="rId13" w:type="default"/>
          <w:pgSz w:w="11900" w:h="16840"/>
          <w:pgMar w:top="865" w:right="308" w:bottom="941" w:left="293" w:header="397" w:footer="585" w:gutter="0"/>
          <w:cols w:space="720" w:num="1"/>
        </w:sectPr>
      </w:pPr>
    </w:p>
    <w:p w14:paraId="3E381477">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406196BE">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3882C8D0">
            <w:pPr>
              <w:pStyle w:val="6"/>
              <w:spacing w:before="144" w:line="221" w:lineRule="auto"/>
              <w:ind w:left="285"/>
            </w:pPr>
            <w:r>
              <w:rPr>
                <w:color w:val="222222"/>
              </w:rPr>
              <w:t>章</w:t>
            </w:r>
          </w:p>
        </w:tc>
        <w:tc>
          <w:tcPr>
            <w:tcW w:w="2019" w:type="dxa"/>
            <w:vAlign w:val="top"/>
          </w:tcPr>
          <w:p w14:paraId="0408B71D">
            <w:pPr>
              <w:pStyle w:val="6"/>
              <w:spacing w:before="144" w:line="222" w:lineRule="auto"/>
              <w:ind w:left="885"/>
            </w:pPr>
            <w:r>
              <w:rPr>
                <w:color w:val="222222"/>
              </w:rPr>
              <w:t>节</w:t>
            </w:r>
          </w:p>
        </w:tc>
        <w:tc>
          <w:tcPr>
            <w:tcW w:w="7056" w:type="dxa"/>
            <w:vAlign w:val="top"/>
          </w:tcPr>
          <w:p w14:paraId="418B20C2">
            <w:pPr>
              <w:pStyle w:val="6"/>
              <w:spacing w:before="145" w:line="221" w:lineRule="auto"/>
              <w:ind w:left="3073"/>
            </w:pPr>
            <w:r>
              <w:rPr>
                <w:color w:val="222222"/>
                <w:spacing w:val="-1"/>
              </w:rPr>
              <w:t>变化说明</w:t>
            </w:r>
          </w:p>
        </w:tc>
      </w:tr>
      <w:tr w14:paraId="112434BB">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9844" w:hRule="atLeast"/>
        </w:trPr>
        <w:tc>
          <w:tcPr>
            <w:tcW w:w="1021" w:type="dxa"/>
            <w:vAlign w:val="top"/>
          </w:tcPr>
          <w:p w14:paraId="7EC15CF2">
            <w:pPr>
              <w:spacing w:line="242" w:lineRule="auto"/>
              <w:rPr>
                <w:rFonts w:ascii="Arial"/>
                <w:sz w:val="21"/>
              </w:rPr>
            </w:pPr>
          </w:p>
          <w:p w14:paraId="50F0CB30">
            <w:pPr>
              <w:spacing w:line="242" w:lineRule="auto"/>
              <w:rPr>
                <w:rFonts w:ascii="Arial"/>
                <w:sz w:val="21"/>
              </w:rPr>
            </w:pPr>
          </w:p>
          <w:p w14:paraId="407FC7E9">
            <w:pPr>
              <w:spacing w:line="242" w:lineRule="auto"/>
              <w:rPr>
                <w:rFonts w:ascii="Arial"/>
                <w:sz w:val="21"/>
              </w:rPr>
            </w:pPr>
          </w:p>
          <w:p w14:paraId="30E63AF9">
            <w:pPr>
              <w:spacing w:line="242" w:lineRule="auto"/>
              <w:rPr>
                <w:rFonts w:ascii="Arial"/>
                <w:sz w:val="21"/>
              </w:rPr>
            </w:pPr>
          </w:p>
          <w:p w14:paraId="778F6E7B">
            <w:pPr>
              <w:spacing w:line="243" w:lineRule="auto"/>
              <w:rPr>
                <w:rFonts w:ascii="Arial"/>
                <w:sz w:val="21"/>
              </w:rPr>
            </w:pPr>
          </w:p>
          <w:p w14:paraId="0E9E26DE">
            <w:pPr>
              <w:spacing w:line="243" w:lineRule="auto"/>
              <w:rPr>
                <w:rFonts w:ascii="Arial"/>
                <w:sz w:val="21"/>
              </w:rPr>
            </w:pPr>
          </w:p>
          <w:p w14:paraId="7CFCC648">
            <w:pPr>
              <w:spacing w:line="243" w:lineRule="auto"/>
              <w:rPr>
                <w:rFonts w:ascii="Arial"/>
                <w:sz w:val="21"/>
              </w:rPr>
            </w:pPr>
          </w:p>
          <w:p w14:paraId="3194F942">
            <w:pPr>
              <w:spacing w:line="243" w:lineRule="auto"/>
              <w:rPr>
                <w:rFonts w:ascii="Arial"/>
                <w:sz w:val="21"/>
              </w:rPr>
            </w:pPr>
          </w:p>
          <w:p w14:paraId="0F833F8F">
            <w:pPr>
              <w:spacing w:line="243" w:lineRule="auto"/>
              <w:rPr>
                <w:rFonts w:ascii="Arial"/>
                <w:sz w:val="21"/>
              </w:rPr>
            </w:pPr>
          </w:p>
          <w:p w14:paraId="4710CF70">
            <w:pPr>
              <w:spacing w:line="243" w:lineRule="auto"/>
              <w:rPr>
                <w:rFonts w:ascii="Arial"/>
                <w:sz w:val="21"/>
              </w:rPr>
            </w:pPr>
          </w:p>
          <w:p w14:paraId="12470E72">
            <w:pPr>
              <w:spacing w:line="243" w:lineRule="auto"/>
              <w:rPr>
                <w:rFonts w:ascii="Arial"/>
                <w:sz w:val="21"/>
              </w:rPr>
            </w:pPr>
          </w:p>
          <w:p w14:paraId="69E54308">
            <w:pPr>
              <w:spacing w:line="243" w:lineRule="auto"/>
              <w:rPr>
                <w:rFonts w:ascii="Arial"/>
                <w:sz w:val="21"/>
              </w:rPr>
            </w:pPr>
          </w:p>
          <w:p w14:paraId="7AC08C4B">
            <w:pPr>
              <w:spacing w:line="243" w:lineRule="auto"/>
              <w:rPr>
                <w:rFonts w:ascii="Arial"/>
                <w:sz w:val="21"/>
              </w:rPr>
            </w:pPr>
          </w:p>
          <w:p w14:paraId="55C201E1">
            <w:pPr>
              <w:spacing w:line="243" w:lineRule="auto"/>
              <w:rPr>
                <w:rFonts w:ascii="Arial"/>
                <w:sz w:val="21"/>
              </w:rPr>
            </w:pPr>
          </w:p>
          <w:p w14:paraId="4172D147">
            <w:pPr>
              <w:spacing w:line="243" w:lineRule="auto"/>
              <w:rPr>
                <w:rFonts w:ascii="Arial"/>
                <w:sz w:val="21"/>
              </w:rPr>
            </w:pPr>
          </w:p>
          <w:p w14:paraId="03893E93">
            <w:pPr>
              <w:spacing w:line="243" w:lineRule="auto"/>
              <w:rPr>
                <w:rFonts w:ascii="Arial"/>
                <w:sz w:val="21"/>
              </w:rPr>
            </w:pPr>
          </w:p>
          <w:p w14:paraId="052BDC99">
            <w:pPr>
              <w:spacing w:line="243" w:lineRule="auto"/>
              <w:rPr>
                <w:rFonts w:ascii="Arial"/>
                <w:sz w:val="21"/>
              </w:rPr>
            </w:pPr>
          </w:p>
          <w:p w14:paraId="3CF75B99">
            <w:pPr>
              <w:spacing w:line="243" w:lineRule="auto"/>
              <w:rPr>
                <w:rFonts w:ascii="Arial"/>
                <w:sz w:val="21"/>
              </w:rPr>
            </w:pPr>
          </w:p>
          <w:p w14:paraId="5CDF6D4A">
            <w:pPr>
              <w:pStyle w:val="6"/>
              <w:spacing w:before="72" w:line="282" w:lineRule="auto"/>
              <w:ind w:left="66" w:right="277"/>
            </w:pPr>
            <w:r>
              <w:rPr>
                <w:color w:val="222222"/>
                <w:spacing w:val="-2"/>
              </w:rPr>
              <w:t>第6章财务会计基础</w:t>
            </w:r>
          </w:p>
        </w:tc>
        <w:tc>
          <w:tcPr>
            <w:tcW w:w="2019" w:type="dxa"/>
            <w:vAlign w:val="top"/>
          </w:tcPr>
          <w:p w14:paraId="68F0CF1C">
            <w:pPr>
              <w:spacing w:line="252" w:lineRule="auto"/>
              <w:rPr>
                <w:rFonts w:ascii="Arial"/>
                <w:sz w:val="21"/>
              </w:rPr>
            </w:pPr>
          </w:p>
          <w:p w14:paraId="2550C5DF">
            <w:pPr>
              <w:spacing w:line="252" w:lineRule="auto"/>
              <w:rPr>
                <w:rFonts w:ascii="Arial"/>
                <w:sz w:val="21"/>
              </w:rPr>
            </w:pPr>
          </w:p>
          <w:p w14:paraId="4E601406">
            <w:pPr>
              <w:spacing w:line="252" w:lineRule="auto"/>
              <w:rPr>
                <w:rFonts w:ascii="Arial"/>
                <w:sz w:val="21"/>
              </w:rPr>
            </w:pPr>
          </w:p>
          <w:p w14:paraId="32B08E72">
            <w:pPr>
              <w:spacing w:line="252" w:lineRule="auto"/>
              <w:rPr>
                <w:rFonts w:ascii="Arial"/>
                <w:sz w:val="21"/>
              </w:rPr>
            </w:pPr>
          </w:p>
          <w:p w14:paraId="509B7C00">
            <w:pPr>
              <w:spacing w:line="252" w:lineRule="auto"/>
              <w:rPr>
                <w:rFonts w:ascii="Arial"/>
                <w:sz w:val="21"/>
              </w:rPr>
            </w:pPr>
          </w:p>
          <w:p w14:paraId="330AAA01">
            <w:pPr>
              <w:spacing w:line="252" w:lineRule="auto"/>
              <w:rPr>
                <w:rFonts w:ascii="Arial"/>
                <w:sz w:val="21"/>
              </w:rPr>
            </w:pPr>
          </w:p>
          <w:p w14:paraId="344DDACE">
            <w:pPr>
              <w:spacing w:line="252" w:lineRule="auto"/>
              <w:rPr>
                <w:rFonts w:ascii="Arial"/>
                <w:sz w:val="21"/>
              </w:rPr>
            </w:pPr>
          </w:p>
          <w:p w14:paraId="00EBA37E">
            <w:pPr>
              <w:spacing w:line="252" w:lineRule="auto"/>
              <w:rPr>
                <w:rFonts w:ascii="Arial"/>
                <w:sz w:val="21"/>
              </w:rPr>
            </w:pPr>
          </w:p>
          <w:p w14:paraId="2D12E5B1">
            <w:pPr>
              <w:spacing w:line="252" w:lineRule="auto"/>
              <w:rPr>
                <w:rFonts w:ascii="Arial"/>
                <w:sz w:val="21"/>
              </w:rPr>
            </w:pPr>
          </w:p>
          <w:p w14:paraId="37F2CD7C">
            <w:pPr>
              <w:spacing w:line="252" w:lineRule="auto"/>
              <w:rPr>
                <w:rFonts w:ascii="Arial"/>
                <w:sz w:val="21"/>
              </w:rPr>
            </w:pPr>
          </w:p>
          <w:p w14:paraId="40D16F73">
            <w:pPr>
              <w:spacing w:line="252" w:lineRule="auto"/>
              <w:rPr>
                <w:rFonts w:ascii="Arial"/>
                <w:sz w:val="21"/>
              </w:rPr>
            </w:pPr>
          </w:p>
          <w:p w14:paraId="42E1EA61">
            <w:pPr>
              <w:spacing w:line="252" w:lineRule="auto"/>
              <w:rPr>
                <w:rFonts w:ascii="Arial"/>
                <w:sz w:val="21"/>
              </w:rPr>
            </w:pPr>
          </w:p>
          <w:p w14:paraId="768D204B">
            <w:pPr>
              <w:spacing w:line="252" w:lineRule="auto"/>
              <w:rPr>
                <w:rFonts w:ascii="Arial"/>
                <w:sz w:val="21"/>
              </w:rPr>
            </w:pPr>
          </w:p>
          <w:p w14:paraId="3722B545">
            <w:pPr>
              <w:spacing w:line="252" w:lineRule="auto"/>
              <w:rPr>
                <w:rFonts w:ascii="Arial"/>
                <w:sz w:val="21"/>
              </w:rPr>
            </w:pPr>
          </w:p>
          <w:p w14:paraId="04027A3C">
            <w:pPr>
              <w:spacing w:line="252" w:lineRule="auto"/>
              <w:rPr>
                <w:rFonts w:ascii="Arial"/>
                <w:sz w:val="21"/>
              </w:rPr>
            </w:pPr>
          </w:p>
          <w:p w14:paraId="4A80E16D">
            <w:pPr>
              <w:spacing w:line="253" w:lineRule="auto"/>
              <w:rPr>
                <w:rFonts w:ascii="Arial"/>
                <w:sz w:val="21"/>
              </w:rPr>
            </w:pPr>
          </w:p>
          <w:p w14:paraId="1113F428">
            <w:pPr>
              <w:spacing w:line="253" w:lineRule="auto"/>
              <w:rPr>
                <w:rFonts w:ascii="Arial"/>
                <w:sz w:val="21"/>
              </w:rPr>
            </w:pPr>
          </w:p>
          <w:p w14:paraId="5CB97C3E">
            <w:pPr>
              <w:spacing w:line="253" w:lineRule="auto"/>
              <w:rPr>
                <w:rFonts w:ascii="Arial"/>
                <w:sz w:val="21"/>
              </w:rPr>
            </w:pPr>
          </w:p>
          <w:p w14:paraId="786C399D">
            <w:pPr>
              <w:pStyle w:val="6"/>
              <w:spacing w:before="71" w:line="282" w:lineRule="auto"/>
              <w:ind w:left="56" w:right="173" w:firstLine="2"/>
            </w:pPr>
            <w:r>
              <w:rPr>
                <w:color w:val="222222"/>
              </w:rPr>
              <w:t>6.1 会计要素组成</w:t>
            </w:r>
            <w:r>
              <w:rPr>
                <w:color w:val="222222"/>
                <w:spacing w:val="-1"/>
              </w:rPr>
              <w:t>及计量</w:t>
            </w:r>
          </w:p>
        </w:tc>
        <w:tc>
          <w:tcPr>
            <w:tcW w:w="7056" w:type="dxa"/>
            <w:vAlign w:val="top"/>
          </w:tcPr>
          <w:p w14:paraId="28DABA93">
            <w:pPr>
              <w:pStyle w:val="6"/>
              <w:spacing w:before="134" w:line="221" w:lineRule="auto"/>
              <w:ind w:left="52"/>
            </w:pPr>
            <w:r>
              <w:rPr>
                <w:color w:val="A50021"/>
                <w:spacing w:val="1"/>
                <w:u w:val="single" w:color="auto"/>
              </w:rPr>
              <w:t>P65 6.1.1 会计要素的组成 修改两句话</w:t>
            </w:r>
          </w:p>
          <w:p w14:paraId="2D9A5686">
            <w:pPr>
              <w:pStyle w:val="6"/>
              <w:spacing w:before="70" w:line="221" w:lineRule="auto"/>
              <w:ind w:left="64"/>
            </w:pPr>
            <w:r>
              <w:rPr>
                <w:color w:val="222222"/>
                <w:spacing w:val="1"/>
              </w:rPr>
              <w:t>25版：企业财务会计的对象是能够以货币计量的经济活动，</w:t>
            </w:r>
          </w:p>
          <w:p w14:paraId="7E12309A">
            <w:pPr>
              <w:pStyle w:val="6"/>
              <w:spacing w:before="70" w:line="280" w:lineRule="auto"/>
              <w:ind w:left="65" w:right="204" w:hanging="2"/>
            </w:pPr>
            <w:r>
              <w:rPr>
                <w:color w:val="222222"/>
                <w:spacing w:val="2"/>
              </w:rPr>
              <w:t>经济活动(具体为交易或者事项)、会计要素、财务会计</w:t>
            </w:r>
            <w:r>
              <w:rPr>
                <w:color w:val="222222"/>
                <w:spacing w:val="1"/>
              </w:rPr>
              <w:t>工作 之间的关</w:t>
            </w:r>
            <w:r>
              <w:rPr>
                <w:color w:val="222222"/>
              </w:rPr>
              <w:t>系如图6.1-1所示。</w:t>
            </w:r>
          </w:p>
          <w:p w14:paraId="0F91B354">
            <w:pPr>
              <w:pStyle w:val="6"/>
              <w:spacing w:before="2" w:line="279" w:lineRule="auto"/>
              <w:ind w:left="59" w:right="98" w:firstLine="4"/>
            </w:pPr>
            <w:r>
              <w:rPr>
                <w:color w:val="222222"/>
                <w:spacing w:val="2"/>
              </w:rPr>
              <w:t>26版：企业财务会计的对象是能够以货币计</w:t>
            </w:r>
            <w:r>
              <w:rPr>
                <w:color w:val="222222"/>
                <w:spacing w:val="1"/>
              </w:rPr>
              <w:t>量的经济活动，</w:t>
            </w:r>
            <w:r>
              <w:rPr>
                <w:color w:val="A50021"/>
                <w:spacing w:val="1"/>
                <w:u w:val="single" w:color="auto"/>
              </w:rPr>
              <w:t>即企业经营</w:t>
            </w:r>
            <w:r>
              <w:rPr>
                <w:color w:val="A50021"/>
                <w:spacing w:val="-1"/>
                <w:u w:val="single" w:color="auto"/>
              </w:rPr>
              <w:t>活动或业务活动</w:t>
            </w:r>
            <w:r>
              <w:rPr>
                <w:color w:val="A50021"/>
                <w:spacing w:val="40"/>
                <w:u w:val="single" w:color="auto"/>
              </w:rPr>
              <w:t xml:space="preserve"> </w:t>
            </w:r>
            <w:r>
              <w:rPr>
                <w:color w:val="A50021"/>
                <w:spacing w:val="-1"/>
                <w:u w:val="single" w:color="auto"/>
              </w:rPr>
              <w:t>中表现出的资金运动</w:t>
            </w:r>
            <w:r>
              <w:rPr>
                <w:color w:val="222222"/>
                <w:spacing w:val="-1"/>
              </w:rPr>
              <w:t>。</w:t>
            </w:r>
          </w:p>
          <w:p w14:paraId="00162349">
            <w:pPr>
              <w:pStyle w:val="6"/>
              <w:spacing w:before="2" w:line="279" w:lineRule="auto"/>
              <w:ind w:left="61" w:right="92" w:firstLine="1"/>
            </w:pPr>
            <w:r>
              <w:rPr>
                <w:color w:val="222222"/>
                <w:spacing w:val="2"/>
              </w:rPr>
              <w:t>经济活动(具体为交易或者事项，</w:t>
            </w:r>
            <w:r>
              <w:rPr>
                <w:color w:val="A50021"/>
                <w:spacing w:val="2"/>
                <w:u w:val="single" w:color="auto"/>
              </w:rPr>
              <w:t>企业财务会计中统称为经</w:t>
            </w:r>
            <w:r>
              <w:rPr>
                <w:color w:val="A50021"/>
                <w:spacing w:val="1"/>
                <w:u w:val="single" w:color="auto"/>
              </w:rPr>
              <w:t>济业务</w:t>
            </w:r>
            <w:r>
              <w:rPr>
                <w:color w:val="222222"/>
                <w:spacing w:val="1"/>
              </w:rPr>
              <w:t>)、会计要素、财务会计工作之间的关系如图6.1-1所示。</w:t>
            </w:r>
          </w:p>
          <w:p w14:paraId="3C9C4DDE">
            <w:pPr>
              <w:pStyle w:val="6"/>
              <w:spacing w:line="220" w:lineRule="auto"/>
              <w:ind w:left="52"/>
            </w:pPr>
            <w:r>
              <w:rPr>
                <w:color w:val="A50021"/>
                <w:spacing w:val="2"/>
                <w:u w:val="single" w:color="auto"/>
              </w:rPr>
              <w:t>P66 6.1.1 会计要素的组成</w:t>
            </w:r>
            <w:r>
              <w:rPr>
                <w:color w:val="A50021"/>
                <w:spacing w:val="66"/>
                <w:u w:val="single" w:color="auto"/>
              </w:rPr>
              <w:t xml:space="preserve"> </w:t>
            </w:r>
            <w:r>
              <w:rPr>
                <w:color w:val="A50021"/>
                <w:spacing w:val="2"/>
                <w:u w:val="single" w:color="auto"/>
              </w:rPr>
              <w:t>(2)非流动资产 新增“使用权资产</w:t>
            </w:r>
            <w:r>
              <w:rPr>
                <w:color w:val="A50021"/>
                <w:spacing w:val="-79"/>
                <w:u w:val="single" w:color="auto"/>
              </w:rPr>
              <w:t xml:space="preserve"> </w:t>
            </w:r>
            <w:r>
              <w:rPr>
                <w:color w:val="A50021"/>
                <w:spacing w:val="2"/>
                <w:u w:val="single" w:color="auto"/>
              </w:rPr>
              <w:t>”</w:t>
            </w:r>
          </w:p>
          <w:p w14:paraId="54244C1B">
            <w:pPr>
              <w:pStyle w:val="6"/>
              <w:spacing w:before="69" w:line="280" w:lineRule="auto"/>
              <w:ind w:left="60" w:right="93" w:firstLine="3"/>
              <w:jc w:val="both"/>
            </w:pPr>
            <w:r>
              <w:rPr>
                <w:color w:val="222222"/>
                <w:spacing w:val="2"/>
              </w:rPr>
              <w:t>26版：非流动资产包括债权投资、其他债权投资、长期</w:t>
            </w:r>
            <w:r>
              <w:rPr>
                <w:color w:val="222222"/>
                <w:spacing w:val="1"/>
              </w:rPr>
              <w:t>应收款、长期股</w:t>
            </w:r>
            <w:r>
              <w:rPr>
                <w:color w:val="222222"/>
                <w:spacing w:val="2"/>
              </w:rPr>
              <w:t>权投资、其他权益工具投资、其他非流动金融资产、投资性房地产、固定资产、在建工程、生产性生物资产、油气资产、</w:t>
            </w:r>
            <w:r>
              <w:rPr>
                <w:color w:val="A50021"/>
                <w:spacing w:val="2"/>
                <w:u w:val="single" w:color="auto"/>
              </w:rPr>
              <w:t>使用权资产</w:t>
            </w:r>
            <w:r>
              <w:rPr>
                <w:color w:val="222222"/>
                <w:spacing w:val="2"/>
              </w:rPr>
              <w:t>、无形资产、开发支出、商誉、长期待摊费用、递延所 得税资产、其他非</w:t>
            </w:r>
            <w:r>
              <w:rPr>
                <w:color w:val="222222"/>
                <w:spacing w:val="1"/>
              </w:rPr>
              <w:t>流动</w:t>
            </w:r>
            <w:r>
              <w:rPr>
                <w:color w:val="222222"/>
                <w:spacing w:val="-2"/>
              </w:rPr>
              <w:t>资产。</w:t>
            </w:r>
          </w:p>
          <w:p w14:paraId="67E1FCE7">
            <w:pPr>
              <w:pStyle w:val="6"/>
              <w:spacing w:before="1" w:line="220" w:lineRule="auto"/>
              <w:ind w:left="52"/>
            </w:pPr>
            <w:r>
              <w:rPr>
                <w:color w:val="A50021"/>
                <w:spacing w:val="1"/>
                <w:u w:val="single" w:color="auto"/>
              </w:rPr>
              <w:t>P68：6.1.2 会计要素计量属性 2. 重置成本 新增两句话</w:t>
            </w:r>
          </w:p>
          <w:p w14:paraId="76F0C0B5">
            <w:pPr>
              <w:pStyle w:val="6"/>
              <w:spacing w:before="70" w:line="221" w:lineRule="auto"/>
              <w:ind w:left="62"/>
            </w:pPr>
            <w:r>
              <w:rPr>
                <w:color w:val="222222"/>
                <w:spacing w:val="1"/>
              </w:rPr>
              <w:t>重置成本也称现时成本。</w:t>
            </w:r>
          </w:p>
          <w:p w14:paraId="40C3F43A">
            <w:pPr>
              <w:pStyle w:val="6"/>
              <w:spacing w:before="70" w:line="280" w:lineRule="auto"/>
              <w:ind w:left="61" w:right="93"/>
            </w:pPr>
            <w:r>
              <w:rPr>
                <w:color w:val="222222"/>
                <w:spacing w:val="2"/>
              </w:rPr>
              <w:t>财务会计中，重置成本多用于盘盈固定资产计量，盘盈固定资产</w:t>
            </w:r>
            <w:r>
              <w:rPr>
                <w:color w:val="222222"/>
                <w:spacing w:val="1"/>
              </w:rPr>
              <w:t>无证据</w:t>
            </w:r>
            <w:r>
              <w:rPr>
                <w:color w:val="222222"/>
                <w:spacing w:val="2"/>
              </w:rPr>
              <w:t>证明其原始价值甚至无法查明盘盈原因 时，一般按相同或相近</w:t>
            </w:r>
            <w:r>
              <w:rPr>
                <w:color w:val="222222"/>
                <w:spacing w:val="1"/>
              </w:rPr>
              <w:t>全新资</w:t>
            </w:r>
            <w:r>
              <w:rPr>
                <w:color w:val="222222"/>
                <w:spacing w:val="2"/>
              </w:rPr>
              <w:t>产现行价格/成本确定重置成本，再根据成新程度</w:t>
            </w:r>
            <w:r>
              <w:rPr>
                <w:color w:val="222222"/>
                <w:spacing w:val="1"/>
              </w:rPr>
              <w:t>确定其价值。</w:t>
            </w:r>
          </w:p>
          <w:p w14:paraId="509714E4">
            <w:pPr>
              <w:pStyle w:val="6"/>
              <w:spacing w:before="1" w:line="220" w:lineRule="auto"/>
              <w:ind w:left="52"/>
            </w:pPr>
            <w:r>
              <w:rPr>
                <w:color w:val="A50021"/>
                <w:spacing w:val="2"/>
                <w:u w:val="single" w:color="auto"/>
              </w:rPr>
              <w:t xml:space="preserve">P68：6.1.2 会计要素计量属性 </w:t>
            </w:r>
            <w:r>
              <w:rPr>
                <w:color w:val="A50021"/>
                <w:spacing w:val="1"/>
                <w:u w:val="single" w:color="auto"/>
              </w:rPr>
              <w:t>3. 可变现净值 新增一句话</w:t>
            </w:r>
          </w:p>
          <w:p w14:paraId="55101CAC">
            <w:pPr>
              <w:pStyle w:val="6"/>
              <w:spacing w:before="70" w:line="280" w:lineRule="auto"/>
              <w:ind w:left="61" w:right="93"/>
              <w:jc w:val="both"/>
            </w:pPr>
            <w:r>
              <w:rPr>
                <w:color w:val="222222"/>
                <w:spacing w:val="2"/>
              </w:rPr>
              <w:t>财务会计中，可变现净值主要用于存货的计价和减值测试，可变</w:t>
            </w:r>
            <w:r>
              <w:rPr>
                <w:color w:val="222222"/>
                <w:spacing w:val="1"/>
              </w:rPr>
              <w:t>现净值</w:t>
            </w:r>
            <w:r>
              <w:rPr>
                <w:color w:val="222222"/>
                <w:spacing w:val="2"/>
              </w:rPr>
              <w:t>计量使企业可以更准确地评估其资产的实际价值而不是账面价值，</w:t>
            </w:r>
            <w:r>
              <w:rPr>
                <w:color w:val="222222"/>
                <w:spacing w:val="1"/>
              </w:rPr>
              <w:t>从而为管理层和投资者提供更为可靠的信息。</w:t>
            </w:r>
          </w:p>
          <w:p w14:paraId="223816F6">
            <w:pPr>
              <w:pStyle w:val="6"/>
              <w:spacing w:before="1" w:line="220" w:lineRule="auto"/>
              <w:ind w:left="52"/>
            </w:pPr>
            <w:r>
              <w:rPr>
                <w:color w:val="A50021"/>
                <w:spacing w:val="1"/>
                <w:u w:val="single" w:color="auto"/>
              </w:rPr>
              <w:t>P69：6.1.2 会计要素计量属性 4. 现值</w:t>
            </w:r>
            <w:r>
              <w:rPr>
                <w:color w:val="A50021"/>
                <w:spacing w:val="16"/>
                <w:u w:val="single" w:color="auto"/>
              </w:rPr>
              <w:t xml:space="preserve"> </w:t>
            </w:r>
            <w:r>
              <w:rPr>
                <w:color w:val="A50021"/>
                <w:spacing w:val="1"/>
                <w:u w:val="single" w:color="auto"/>
              </w:rPr>
              <w:t>新增一句话</w:t>
            </w:r>
          </w:p>
          <w:p w14:paraId="2B9146CC">
            <w:pPr>
              <w:pStyle w:val="6"/>
              <w:spacing w:before="70" w:line="280" w:lineRule="auto"/>
              <w:ind w:left="86" w:right="1031" w:hanging="23"/>
            </w:pPr>
            <w:r>
              <w:rPr>
                <w:color w:val="222222"/>
              </w:rPr>
              <w:t>现值计量主要用于资产减值测试、融资租赁资产入账等场景，</w:t>
            </w:r>
            <w:r>
              <w:rPr>
                <w:color w:val="222222"/>
                <w:spacing w:val="-2"/>
              </w:rPr>
              <w:t>以更准确评估其价值。</w:t>
            </w:r>
          </w:p>
          <w:p w14:paraId="578E1147">
            <w:pPr>
              <w:pStyle w:val="6"/>
              <w:spacing w:before="1" w:line="219" w:lineRule="auto"/>
              <w:ind w:left="52"/>
            </w:pPr>
            <w:r>
              <w:rPr>
                <w:color w:val="A50021"/>
                <w:spacing w:val="1"/>
                <w:u w:val="single" w:color="auto"/>
              </w:rPr>
              <w:t>P69：6.1.2 会计要素计量属性 5. 公允价值</w:t>
            </w:r>
            <w:r>
              <w:rPr>
                <w:color w:val="A50021"/>
                <w:spacing w:val="19"/>
                <w:u w:val="single" w:color="auto"/>
              </w:rPr>
              <w:t xml:space="preserve"> </w:t>
            </w:r>
            <w:r>
              <w:rPr>
                <w:color w:val="A50021"/>
                <w:spacing w:val="1"/>
                <w:u w:val="single" w:color="auto"/>
              </w:rPr>
              <w:t>新增一句话</w:t>
            </w:r>
          </w:p>
          <w:p w14:paraId="7A302AA0">
            <w:pPr>
              <w:pStyle w:val="6"/>
              <w:spacing w:before="72" w:line="220" w:lineRule="auto"/>
              <w:ind w:left="60"/>
            </w:pPr>
            <w:r>
              <w:rPr>
                <w:color w:val="222222"/>
                <w:spacing w:val="2"/>
              </w:rPr>
              <w:t>评估通常采用公平市价法以及前述重置成本法、现值法等确定公允价值</w:t>
            </w:r>
          </w:p>
          <w:p w14:paraId="5C6CE706">
            <w:pPr>
              <w:pStyle w:val="6"/>
              <w:spacing w:before="215" w:line="111" w:lineRule="exact"/>
              <w:ind w:left="83"/>
            </w:pPr>
            <w:r>
              <w:rPr>
                <w:color w:val="222222"/>
                <w:position w:val="1"/>
              </w:rPr>
              <w:t>。</w:t>
            </w:r>
          </w:p>
        </w:tc>
      </w:tr>
    </w:tbl>
    <w:p w14:paraId="2F9BA4C5">
      <w:pPr>
        <w:rPr>
          <w:rFonts w:ascii="Arial"/>
          <w:sz w:val="21"/>
        </w:rPr>
      </w:pPr>
    </w:p>
    <w:p w14:paraId="4D0F2565">
      <w:pPr>
        <w:rPr>
          <w:rFonts w:ascii="Arial" w:hAnsi="Arial" w:eastAsia="Arial" w:cs="Arial"/>
          <w:sz w:val="21"/>
          <w:szCs w:val="21"/>
        </w:rPr>
        <w:sectPr>
          <w:footerReference r:id="rId14" w:type="default"/>
          <w:pgSz w:w="11900" w:h="16840"/>
          <w:pgMar w:top="865" w:right="308" w:bottom="941" w:left="293" w:header="397" w:footer="585" w:gutter="0"/>
          <w:cols w:space="720" w:num="1"/>
        </w:sectPr>
      </w:pPr>
    </w:p>
    <w:p w14:paraId="4CAC0AD0">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0CF915D2">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2" w:hRule="atLeast"/>
        </w:trPr>
        <w:tc>
          <w:tcPr>
            <w:tcW w:w="1021" w:type="dxa"/>
            <w:vAlign w:val="top"/>
          </w:tcPr>
          <w:p w14:paraId="04CDEA42">
            <w:pPr>
              <w:pStyle w:val="6"/>
              <w:spacing w:before="144" w:line="221" w:lineRule="auto"/>
              <w:ind w:left="285"/>
            </w:pPr>
            <w:r>
              <w:rPr>
                <w:color w:val="222222"/>
              </w:rPr>
              <w:t>章</w:t>
            </w:r>
          </w:p>
        </w:tc>
        <w:tc>
          <w:tcPr>
            <w:tcW w:w="2019" w:type="dxa"/>
            <w:vAlign w:val="top"/>
          </w:tcPr>
          <w:p w14:paraId="60A39548">
            <w:pPr>
              <w:pStyle w:val="6"/>
              <w:spacing w:before="144" w:line="222" w:lineRule="auto"/>
              <w:ind w:left="885"/>
            </w:pPr>
            <w:r>
              <w:rPr>
                <w:color w:val="222222"/>
              </w:rPr>
              <w:t>节</w:t>
            </w:r>
          </w:p>
        </w:tc>
        <w:tc>
          <w:tcPr>
            <w:tcW w:w="7056" w:type="dxa"/>
            <w:vAlign w:val="top"/>
          </w:tcPr>
          <w:p w14:paraId="67A60D48">
            <w:pPr>
              <w:pStyle w:val="6"/>
              <w:spacing w:before="145" w:line="221" w:lineRule="auto"/>
              <w:ind w:left="3073"/>
            </w:pPr>
            <w:r>
              <w:rPr>
                <w:color w:val="222222"/>
                <w:spacing w:val="-1"/>
              </w:rPr>
              <w:t>变化说明</w:t>
            </w:r>
          </w:p>
        </w:tc>
      </w:tr>
      <w:tr w14:paraId="70B3A9DC">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3" w:hRule="atLeast"/>
        </w:trPr>
        <w:tc>
          <w:tcPr>
            <w:tcW w:w="1021" w:type="dxa"/>
            <w:vMerge w:val="restart"/>
            <w:tcBorders>
              <w:bottom w:val="nil"/>
            </w:tcBorders>
            <w:vAlign w:val="top"/>
          </w:tcPr>
          <w:p w14:paraId="34860BD9">
            <w:pPr>
              <w:spacing w:line="284" w:lineRule="auto"/>
              <w:rPr>
                <w:rFonts w:ascii="Arial"/>
                <w:sz w:val="21"/>
              </w:rPr>
            </w:pPr>
          </w:p>
          <w:p w14:paraId="58DD193E">
            <w:pPr>
              <w:spacing w:line="284" w:lineRule="auto"/>
              <w:rPr>
                <w:rFonts w:ascii="Arial"/>
                <w:sz w:val="21"/>
              </w:rPr>
            </w:pPr>
          </w:p>
          <w:p w14:paraId="3409B975">
            <w:pPr>
              <w:spacing w:line="284" w:lineRule="auto"/>
              <w:rPr>
                <w:rFonts w:ascii="Arial"/>
                <w:sz w:val="21"/>
              </w:rPr>
            </w:pPr>
          </w:p>
          <w:p w14:paraId="3BF2CD05">
            <w:pPr>
              <w:spacing w:line="284" w:lineRule="auto"/>
              <w:rPr>
                <w:rFonts w:ascii="Arial"/>
                <w:sz w:val="21"/>
              </w:rPr>
            </w:pPr>
          </w:p>
          <w:p w14:paraId="30C9E6C0">
            <w:pPr>
              <w:spacing w:line="285" w:lineRule="auto"/>
              <w:rPr>
                <w:rFonts w:ascii="Arial"/>
                <w:sz w:val="21"/>
              </w:rPr>
            </w:pPr>
          </w:p>
          <w:p w14:paraId="503C704E">
            <w:pPr>
              <w:pStyle w:val="6"/>
              <w:spacing w:before="72" w:line="282" w:lineRule="auto"/>
              <w:ind w:left="66" w:right="277"/>
            </w:pPr>
            <w:r>
              <w:rPr>
                <w:color w:val="222222"/>
                <w:spacing w:val="-2"/>
              </w:rPr>
              <w:t>第6章财务会计基础</w:t>
            </w:r>
          </w:p>
        </w:tc>
        <w:tc>
          <w:tcPr>
            <w:tcW w:w="2019" w:type="dxa"/>
            <w:vAlign w:val="top"/>
          </w:tcPr>
          <w:p w14:paraId="107CF55D">
            <w:pPr>
              <w:pStyle w:val="6"/>
              <w:spacing w:before="137" w:line="281" w:lineRule="auto"/>
              <w:ind w:left="57" w:right="173" w:firstLine="1"/>
            </w:pPr>
            <w:r>
              <w:rPr>
                <w:color w:val="222222"/>
              </w:rPr>
              <w:t>6.2 财务会计工作</w:t>
            </w:r>
            <w:r>
              <w:rPr>
                <w:color w:val="222222"/>
                <w:spacing w:val="-1"/>
              </w:rPr>
              <w:t>基本内容</w:t>
            </w:r>
          </w:p>
        </w:tc>
        <w:tc>
          <w:tcPr>
            <w:tcW w:w="7056" w:type="dxa"/>
            <w:vAlign w:val="top"/>
          </w:tcPr>
          <w:p w14:paraId="6C642B25">
            <w:pPr>
              <w:pStyle w:val="6"/>
              <w:spacing w:before="303" w:line="222" w:lineRule="auto"/>
              <w:ind w:left="62"/>
            </w:pPr>
            <w:r>
              <w:rPr>
                <w:color w:val="222222"/>
                <w:spacing w:val="-2"/>
              </w:rPr>
              <w:t>无变化</w:t>
            </w:r>
          </w:p>
        </w:tc>
      </w:tr>
      <w:tr w14:paraId="323FC85B">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3" w:hRule="atLeast"/>
        </w:trPr>
        <w:tc>
          <w:tcPr>
            <w:tcW w:w="1021" w:type="dxa"/>
            <w:vMerge w:val="continue"/>
            <w:tcBorders>
              <w:top w:val="nil"/>
              <w:bottom w:val="nil"/>
            </w:tcBorders>
            <w:vAlign w:val="top"/>
          </w:tcPr>
          <w:p w14:paraId="3AA02D7B">
            <w:pPr>
              <w:rPr>
                <w:rFonts w:ascii="Arial"/>
                <w:sz w:val="21"/>
              </w:rPr>
            </w:pPr>
          </w:p>
        </w:tc>
        <w:tc>
          <w:tcPr>
            <w:tcW w:w="2019" w:type="dxa"/>
            <w:vAlign w:val="top"/>
          </w:tcPr>
          <w:p w14:paraId="7E401612">
            <w:pPr>
              <w:pStyle w:val="6"/>
              <w:spacing w:before="141" w:line="282" w:lineRule="auto"/>
              <w:ind w:left="57" w:right="173" w:firstLine="1"/>
            </w:pPr>
            <w:r>
              <w:rPr>
                <w:color w:val="222222"/>
              </w:rPr>
              <w:t>6.3 会计假设与会</w:t>
            </w:r>
            <w:r>
              <w:rPr>
                <w:color w:val="222222"/>
                <w:spacing w:val="-2"/>
              </w:rPr>
              <w:t>计基础</w:t>
            </w:r>
          </w:p>
        </w:tc>
        <w:tc>
          <w:tcPr>
            <w:tcW w:w="7056" w:type="dxa"/>
            <w:vAlign w:val="top"/>
          </w:tcPr>
          <w:p w14:paraId="20D2C2AD">
            <w:pPr>
              <w:pStyle w:val="6"/>
              <w:spacing w:before="306" w:line="221" w:lineRule="auto"/>
              <w:ind w:left="52"/>
            </w:pPr>
            <w:r>
              <w:rPr>
                <w:color w:val="A50021"/>
                <w:spacing w:val="1"/>
                <w:u w:val="single" w:color="auto"/>
              </w:rPr>
              <w:t>P72-73：6.3.1 会计假设</w:t>
            </w:r>
            <w:r>
              <w:rPr>
                <w:color w:val="A50021"/>
                <w:spacing w:val="45"/>
                <w:u w:val="single" w:color="auto"/>
              </w:rPr>
              <w:t xml:space="preserve"> </w:t>
            </w:r>
            <w:r>
              <w:rPr>
                <w:color w:val="A50021"/>
                <w:spacing w:val="1"/>
                <w:u w:val="single" w:color="auto"/>
              </w:rPr>
              <w:t>内容描述上面有调整。</w:t>
            </w:r>
          </w:p>
        </w:tc>
      </w:tr>
      <w:tr w14:paraId="2493F07B">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2183" w:hRule="atLeast"/>
        </w:trPr>
        <w:tc>
          <w:tcPr>
            <w:tcW w:w="1021" w:type="dxa"/>
            <w:vMerge w:val="continue"/>
            <w:tcBorders>
              <w:top w:val="nil"/>
            </w:tcBorders>
            <w:vAlign w:val="top"/>
          </w:tcPr>
          <w:p w14:paraId="08BAEC00">
            <w:pPr>
              <w:rPr>
                <w:rFonts w:ascii="Arial"/>
                <w:sz w:val="21"/>
              </w:rPr>
            </w:pPr>
          </w:p>
        </w:tc>
        <w:tc>
          <w:tcPr>
            <w:tcW w:w="2019" w:type="dxa"/>
            <w:vAlign w:val="top"/>
          </w:tcPr>
          <w:p w14:paraId="05C55AB8">
            <w:pPr>
              <w:spacing w:line="245" w:lineRule="auto"/>
              <w:rPr>
                <w:rFonts w:ascii="Arial"/>
                <w:sz w:val="21"/>
              </w:rPr>
            </w:pPr>
          </w:p>
          <w:p w14:paraId="36F4B1C0">
            <w:pPr>
              <w:spacing w:line="245" w:lineRule="auto"/>
              <w:rPr>
                <w:rFonts w:ascii="Arial"/>
                <w:sz w:val="21"/>
              </w:rPr>
            </w:pPr>
          </w:p>
          <w:p w14:paraId="7E7F3537">
            <w:pPr>
              <w:spacing w:line="246" w:lineRule="auto"/>
              <w:rPr>
                <w:rFonts w:ascii="Arial"/>
                <w:sz w:val="21"/>
              </w:rPr>
            </w:pPr>
          </w:p>
          <w:p w14:paraId="38D1F16B">
            <w:pPr>
              <w:pStyle w:val="6"/>
              <w:spacing w:before="72" w:line="281" w:lineRule="auto"/>
              <w:ind w:left="60" w:right="173" w:hanging="2"/>
            </w:pPr>
            <w:r>
              <w:rPr>
                <w:color w:val="222222"/>
              </w:rPr>
              <w:t>6.4 会计核算过程</w:t>
            </w:r>
            <w:r>
              <w:rPr>
                <w:color w:val="222222"/>
                <w:spacing w:val="-1"/>
              </w:rPr>
              <w:t>与会计等式</w:t>
            </w:r>
          </w:p>
        </w:tc>
        <w:tc>
          <w:tcPr>
            <w:tcW w:w="7056" w:type="dxa"/>
            <w:vAlign w:val="top"/>
          </w:tcPr>
          <w:p w14:paraId="0A552910">
            <w:pPr>
              <w:pStyle w:val="6"/>
              <w:spacing w:before="144" w:line="280" w:lineRule="auto"/>
              <w:ind w:left="56" w:right="209" w:hanging="4"/>
            </w:pPr>
            <w:r>
              <w:rPr>
                <w:color w:val="A50021"/>
                <w:u w:val="single" w:color="auto"/>
              </w:rPr>
              <w:t>P74-75：6.4.1 会计假设</w:t>
            </w:r>
            <w:r>
              <w:rPr>
                <w:color w:val="A50021"/>
                <w:spacing w:val="28"/>
                <w:u w:val="single" w:color="auto"/>
              </w:rPr>
              <w:t xml:space="preserve"> </w:t>
            </w:r>
            <w:r>
              <w:rPr>
                <w:color w:val="A50021"/>
                <w:u w:val="single" w:color="auto"/>
              </w:rPr>
              <w:t>1. 重要性原则与4.可比性原则</w:t>
            </w:r>
            <w:r>
              <w:rPr>
                <w:color w:val="A50021"/>
                <w:spacing w:val="39"/>
                <w:u w:val="single" w:color="auto"/>
              </w:rPr>
              <w:t xml:space="preserve"> </w:t>
            </w:r>
            <w:r>
              <w:rPr>
                <w:color w:val="A50021"/>
                <w:u w:val="single" w:color="auto"/>
              </w:rPr>
              <w:t>内</w:t>
            </w:r>
            <w:r>
              <w:rPr>
                <w:color w:val="A50021"/>
                <w:spacing w:val="-1"/>
                <w:u w:val="single" w:color="auto"/>
              </w:rPr>
              <w:t>容描述上</w:t>
            </w:r>
            <w:r>
              <w:rPr>
                <w:color w:val="A50021"/>
                <w:spacing w:val="6"/>
                <w:u w:val="single" w:color="auto"/>
              </w:rPr>
              <w:t>面有调整。</w:t>
            </w:r>
          </w:p>
          <w:p w14:paraId="7F2C3502">
            <w:pPr>
              <w:pStyle w:val="6"/>
              <w:spacing w:before="2" w:line="279" w:lineRule="auto"/>
              <w:ind w:left="55" w:right="98" w:hanging="3"/>
            </w:pPr>
            <w:r>
              <w:rPr>
                <w:color w:val="A50021"/>
                <w:spacing w:val="2"/>
                <w:u w:val="single" w:color="auto"/>
              </w:rPr>
              <w:t>P77：6.4.2 会计核算的基本过程 3. 登记账</w:t>
            </w:r>
            <w:r>
              <w:rPr>
                <w:color w:val="A50021"/>
                <w:spacing w:val="1"/>
                <w:u w:val="single" w:color="auto"/>
              </w:rPr>
              <w:t>簿、对账和结账 新增一句</w:t>
            </w:r>
            <w:r>
              <w:rPr>
                <w:color w:val="A50021"/>
                <w:u w:val="single" w:color="auto"/>
              </w:rPr>
              <w:t>话</w:t>
            </w:r>
          </w:p>
          <w:p w14:paraId="192509E9">
            <w:pPr>
              <w:pStyle w:val="6"/>
              <w:spacing w:before="1" w:line="281" w:lineRule="auto"/>
              <w:ind w:left="63" w:right="93" w:hanging="3"/>
            </w:pPr>
            <w:r>
              <w:rPr>
                <w:color w:val="222222"/>
                <w:spacing w:val="2"/>
              </w:rPr>
              <w:t>对账目的在于确保账证相符、账账相符、账实相符，包括内部对账与外</w:t>
            </w:r>
            <w:r>
              <w:rPr>
                <w:color w:val="222222"/>
                <w:spacing w:val="-2"/>
              </w:rPr>
              <w:t>部对账。</w:t>
            </w:r>
          </w:p>
        </w:tc>
      </w:tr>
    </w:tbl>
    <w:p w14:paraId="6F300404">
      <w:pPr>
        <w:spacing w:line="166" w:lineRule="exact"/>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637EB716">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2158934E">
            <w:pPr>
              <w:pStyle w:val="6"/>
              <w:spacing w:before="144" w:line="221" w:lineRule="auto"/>
              <w:ind w:left="285"/>
            </w:pPr>
            <w:r>
              <w:rPr>
                <w:color w:val="222222"/>
              </w:rPr>
              <w:t>章</w:t>
            </w:r>
          </w:p>
        </w:tc>
        <w:tc>
          <w:tcPr>
            <w:tcW w:w="2019" w:type="dxa"/>
            <w:vAlign w:val="top"/>
          </w:tcPr>
          <w:p w14:paraId="6036982A">
            <w:pPr>
              <w:pStyle w:val="6"/>
              <w:spacing w:before="144" w:line="222" w:lineRule="auto"/>
              <w:ind w:left="885"/>
            </w:pPr>
            <w:r>
              <w:rPr>
                <w:color w:val="222222"/>
              </w:rPr>
              <w:t>节</w:t>
            </w:r>
          </w:p>
        </w:tc>
        <w:tc>
          <w:tcPr>
            <w:tcW w:w="7056" w:type="dxa"/>
            <w:vAlign w:val="top"/>
          </w:tcPr>
          <w:p w14:paraId="21A90207">
            <w:pPr>
              <w:pStyle w:val="6"/>
              <w:spacing w:before="145" w:line="221" w:lineRule="auto"/>
              <w:ind w:left="3073"/>
            </w:pPr>
            <w:r>
              <w:rPr>
                <w:color w:val="222222"/>
                <w:spacing w:val="-1"/>
              </w:rPr>
              <w:t>变化说明</w:t>
            </w:r>
          </w:p>
        </w:tc>
      </w:tr>
      <w:tr w14:paraId="06C48FC5">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75" w:hRule="atLeast"/>
        </w:trPr>
        <w:tc>
          <w:tcPr>
            <w:tcW w:w="1021" w:type="dxa"/>
            <w:vAlign w:val="top"/>
          </w:tcPr>
          <w:p w14:paraId="2596ED0D">
            <w:pPr>
              <w:spacing w:line="256" w:lineRule="auto"/>
              <w:rPr>
                <w:rFonts w:ascii="Arial"/>
                <w:sz w:val="21"/>
              </w:rPr>
            </w:pPr>
          </w:p>
          <w:p w14:paraId="1EF5AA84">
            <w:pPr>
              <w:spacing w:line="256" w:lineRule="auto"/>
              <w:rPr>
                <w:rFonts w:ascii="Arial"/>
                <w:sz w:val="21"/>
              </w:rPr>
            </w:pPr>
          </w:p>
          <w:p w14:paraId="748117D8">
            <w:pPr>
              <w:spacing w:line="256" w:lineRule="auto"/>
              <w:rPr>
                <w:rFonts w:ascii="Arial"/>
                <w:sz w:val="21"/>
              </w:rPr>
            </w:pPr>
          </w:p>
          <w:p w14:paraId="4BBB5F7C">
            <w:pPr>
              <w:spacing w:line="256" w:lineRule="auto"/>
              <w:rPr>
                <w:rFonts w:ascii="Arial"/>
                <w:sz w:val="21"/>
              </w:rPr>
            </w:pPr>
          </w:p>
          <w:p w14:paraId="2B1DDFE0">
            <w:pPr>
              <w:spacing w:line="256" w:lineRule="auto"/>
              <w:rPr>
                <w:rFonts w:ascii="Arial"/>
                <w:sz w:val="21"/>
              </w:rPr>
            </w:pPr>
          </w:p>
          <w:p w14:paraId="0A2B413C">
            <w:pPr>
              <w:spacing w:line="256" w:lineRule="auto"/>
              <w:rPr>
                <w:rFonts w:ascii="Arial"/>
                <w:sz w:val="21"/>
              </w:rPr>
            </w:pPr>
          </w:p>
          <w:p w14:paraId="36886663">
            <w:pPr>
              <w:spacing w:line="257" w:lineRule="auto"/>
              <w:rPr>
                <w:rFonts w:ascii="Arial"/>
                <w:sz w:val="21"/>
              </w:rPr>
            </w:pPr>
          </w:p>
          <w:p w14:paraId="311F980D">
            <w:pPr>
              <w:spacing w:line="257" w:lineRule="auto"/>
              <w:rPr>
                <w:rFonts w:ascii="Arial"/>
                <w:sz w:val="21"/>
              </w:rPr>
            </w:pPr>
          </w:p>
          <w:p w14:paraId="5188F30B">
            <w:pPr>
              <w:pStyle w:val="6"/>
              <w:spacing w:before="72" w:line="282" w:lineRule="auto"/>
              <w:ind w:left="66" w:right="277"/>
            </w:pPr>
            <w:r>
              <w:rPr>
                <w:color w:val="222222"/>
                <w:spacing w:val="-2"/>
              </w:rPr>
              <w:t>第6章财务会计基础</w:t>
            </w:r>
          </w:p>
        </w:tc>
        <w:tc>
          <w:tcPr>
            <w:tcW w:w="2019" w:type="dxa"/>
            <w:vAlign w:val="top"/>
          </w:tcPr>
          <w:p w14:paraId="18550780">
            <w:pPr>
              <w:spacing w:line="264" w:lineRule="auto"/>
              <w:rPr>
                <w:rFonts w:ascii="Arial"/>
                <w:sz w:val="21"/>
              </w:rPr>
            </w:pPr>
          </w:p>
          <w:p w14:paraId="1FF771DA">
            <w:pPr>
              <w:spacing w:line="264" w:lineRule="auto"/>
              <w:rPr>
                <w:rFonts w:ascii="Arial"/>
                <w:sz w:val="21"/>
              </w:rPr>
            </w:pPr>
          </w:p>
          <w:p w14:paraId="0E6CC372">
            <w:pPr>
              <w:spacing w:line="264" w:lineRule="auto"/>
              <w:rPr>
                <w:rFonts w:ascii="Arial"/>
                <w:sz w:val="21"/>
              </w:rPr>
            </w:pPr>
          </w:p>
          <w:p w14:paraId="22086335">
            <w:pPr>
              <w:spacing w:line="265" w:lineRule="auto"/>
              <w:rPr>
                <w:rFonts w:ascii="Arial"/>
                <w:sz w:val="21"/>
              </w:rPr>
            </w:pPr>
          </w:p>
          <w:p w14:paraId="56F53AF3">
            <w:pPr>
              <w:spacing w:line="265" w:lineRule="auto"/>
              <w:rPr>
                <w:rFonts w:ascii="Arial"/>
                <w:sz w:val="21"/>
              </w:rPr>
            </w:pPr>
          </w:p>
          <w:p w14:paraId="115CD68D">
            <w:pPr>
              <w:spacing w:line="265" w:lineRule="auto"/>
              <w:rPr>
                <w:rFonts w:ascii="Arial"/>
                <w:sz w:val="21"/>
              </w:rPr>
            </w:pPr>
          </w:p>
          <w:p w14:paraId="19D7C633">
            <w:pPr>
              <w:spacing w:line="265" w:lineRule="auto"/>
              <w:rPr>
                <w:rFonts w:ascii="Arial"/>
                <w:sz w:val="21"/>
              </w:rPr>
            </w:pPr>
          </w:p>
          <w:p w14:paraId="31F8CA84">
            <w:pPr>
              <w:spacing w:line="265" w:lineRule="auto"/>
              <w:rPr>
                <w:rFonts w:ascii="Arial"/>
                <w:sz w:val="21"/>
              </w:rPr>
            </w:pPr>
          </w:p>
          <w:p w14:paraId="5F81CB42">
            <w:pPr>
              <w:spacing w:line="265" w:lineRule="auto"/>
              <w:rPr>
                <w:rFonts w:ascii="Arial"/>
                <w:sz w:val="21"/>
              </w:rPr>
            </w:pPr>
          </w:p>
          <w:p w14:paraId="19102E6B">
            <w:pPr>
              <w:pStyle w:val="6"/>
              <w:spacing w:before="72" w:line="221" w:lineRule="auto"/>
              <w:ind w:left="59"/>
            </w:pPr>
            <w:r>
              <w:rPr>
                <w:color w:val="222222"/>
              </w:rPr>
              <w:t>6.5 会计监督</w:t>
            </w:r>
          </w:p>
        </w:tc>
        <w:tc>
          <w:tcPr>
            <w:tcW w:w="7056" w:type="dxa"/>
            <w:vAlign w:val="top"/>
          </w:tcPr>
          <w:p w14:paraId="114FABB0">
            <w:pPr>
              <w:pStyle w:val="6"/>
              <w:spacing w:before="134" w:line="221" w:lineRule="auto"/>
              <w:ind w:left="57"/>
            </w:pPr>
            <w:r>
              <w:rPr>
                <w:color w:val="222222"/>
              </w:rPr>
              <w:t>P79-80：6.5.1</w:t>
            </w:r>
            <w:r>
              <w:rPr>
                <w:color w:val="222222"/>
                <w:spacing w:val="37"/>
              </w:rPr>
              <w:t xml:space="preserve"> </w:t>
            </w:r>
            <w:r>
              <w:rPr>
                <w:color w:val="222222"/>
              </w:rPr>
              <w:t>内部会计控制 新增一段内容</w:t>
            </w:r>
          </w:p>
          <w:p w14:paraId="2F84C9DF">
            <w:pPr>
              <w:pStyle w:val="6"/>
              <w:spacing w:before="70" w:line="280" w:lineRule="auto"/>
              <w:ind w:left="61" w:right="93" w:firstLine="26"/>
            </w:pPr>
            <w:r>
              <w:rPr>
                <w:color w:val="222222"/>
                <w:spacing w:val="1"/>
              </w:rPr>
              <w:t>内部会计控制是企业内部控制的核心，对于防范企业资金活动风险、客</w:t>
            </w:r>
            <w:r>
              <w:rPr>
                <w:color w:val="222222"/>
                <w:spacing w:val="2"/>
              </w:rPr>
              <w:t>观真实提供财务信息具有重要作用。针对企业资金活动，内部会计</w:t>
            </w:r>
            <w:r>
              <w:rPr>
                <w:color w:val="222222"/>
                <w:spacing w:val="1"/>
              </w:rPr>
              <w:t>控制至少应当关注下列风险：</w:t>
            </w:r>
          </w:p>
          <w:p w14:paraId="093541B3">
            <w:pPr>
              <w:pStyle w:val="6"/>
              <w:spacing w:before="7" w:line="279" w:lineRule="auto"/>
              <w:ind w:left="60" w:right="93" w:firstLine="40"/>
            </w:pPr>
            <w:r>
              <w:rPr>
                <w:color w:val="222222"/>
                <w:spacing w:val="1"/>
              </w:rPr>
              <w:t>(1)筹资决策不当，引发资本结构不合理或</w:t>
            </w:r>
            <w:r>
              <w:rPr>
                <w:color w:val="222222"/>
              </w:rPr>
              <w:t>无效融资，可能导致企业筹资成本过高或债 务危机；</w:t>
            </w:r>
            <w:r>
              <w:rPr>
                <w:color w:val="222222"/>
                <w:spacing w:val="-49"/>
              </w:rPr>
              <w:t xml:space="preserve"> </w:t>
            </w:r>
            <w:r>
              <w:rPr>
                <w:color w:val="222222"/>
              </w:rPr>
              <w:t>(2)投资决策失误，引发盲目扩张或丧失发展机遇，可能导致资金链断裂或资 金使用效益低下；</w:t>
            </w:r>
            <w:r>
              <w:rPr>
                <w:color w:val="222222"/>
                <w:spacing w:val="-49"/>
              </w:rPr>
              <w:t xml:space="preserve"> </w:t>
            </w:r>
            <w:r>
              <w:rPr>
                <w:color w:val="222222"/>
              </w:rPr>
              <w:t>(3)资金调度不合理 、营运不畅，可能导致企业陷入财务困境或资金 冗余；</w:t>
            </w:r>
            <w:r>
              <w:rPr>
                <w:color w:val="222222"/>
                <w:spacing w:val="-49"/>
              </w:rPr>
              <w:t xml:space="preserve"> </w:t>
            </w:r>
            <w:r>
              <w:rPr>
                <w:color w:val="222222"/>
              </w:rPr>
              <w:t>(4)资金活动管</w:t>
            </w:r>
            <w:r>
              <w:rPr>
                <w:color w:val="222222"/>
                <w:spacing w:val="2"/>
              </w:rPr>
              <w:t xml:space="preserve">控不严，可能导致资金被挪用、侵占、抽逃或遭受欺诈。针对企 </w:t>
            </w:r>
            <w:r>
              <w:rPr>
                <w:color w:val="222222"/>
                <w:spacing w:val="1"/>
              </w:rPr>
              <w:t>业编</w:t>
            </w:r>
            <w:r>
              <w:rPr>
                <w:color w:val="222222"/>
                <w:spacing w:val="2"/>
              </w:rPr>
              <w:t>制、对外提供和分析利用财务报告，内部会计控制至少应当关注下列风</w:t>
            </w:r>
            <w:r>
              <w:rPr>
                <w:color w:val="222222"/>
              </w:rPr>
              <w:t>险：</w:t>
            </w:r>
            <w:r>
              <w:rPr>
                <w:color w:val="222222"/>
                <w:spacing w:val="-53"/>
              </w:rPr>
              <w:t xml:space="preserve"> </w:t>
            </w:r>
            <w:r>
              <w:rPr>
                <w:color w:val="222222"/>
              </w:rPr>
              <w:t>(1)编制财务报告违反会计法律法规和国家统一的会计准则制度，</w:t>
            </w:r>
          </w:p>
          <w:p w14:paraId="3C5DF19E">
            <w:pPr>
              <w:pStyle w:val="6"/>
              <w:spacing w:before="3" w:line="280" w:lineRule="auto"/>
              <w:ind w:left="62" w:right="93"/>
            </w:pPr>
            <w:r>
              <w:rPr>
                <w:color w:val="222222"/>
              </w:rPr>
              <w:t>可能导致企业承担法律责任和声誉受损；</w:t>
            </w:r>
            <w:r>
              <w:rPr>
                <w:color w:val="222222"/>
                <w:spacing w:val="-53"/>
              </w:rPr>
              <w:t xml:space="preserve"> </w:t>
            </w:r>
            <w:r>
              <w:rPr>
                <w:color w:val="222222"/>
              </w:rPr>
              <w:t>(2)提供虚假财务报告，误导财务报告使用者，造成决策失误，干扰市场 秩序；</w:t>
            </w:r>
            <w:r>
              <w:rPr>
                <w:color w:val="222222"/>
                <w:spacing w:val="-51"/>
              </w:rPr>
              <w:t xml:space="preserve"> </w:t>
            </w:r>
            <w:r>
              <w:rPr>
                <w:color w:val="222222"/>
              </w:rPr>
              <w:t>(3)不能有效利用财</w:t>
            </w:r>
            <w:r>
              <w:rPr>
                <w:color w:val="222222"/>
                <w:spacing w:val="2"/>
              </w:rPr>
              <w:t xml:space="preserve">务报告，难以及时发现企业经营管理中存在的问题，可能导 </w:t>
            </w:r>
            <w:r>
              <w:rPr>
                <w:color w:val="222222"/>
                <w:spacing w:val="1"/>
              </w:rPr>
              <w:t>致企业财</w:t>
            </w:r>
            <w:r>
              <w:rPr>
                <w:color w:val="222222"/>
              </w:rPr>
              <w:t>务和经营风险失控。</w:t>
            </w:r>
          </w:p>
        </w:tc>
      </w:tr>
    </w:tbl>
    <w:p w14:paraId="254A1F36">
      <w:pPr>
        <w:rPr>
          <w:rFonts w:ascii="Arial"/>
          <w:sz w:val="21"/>
        </w:rPr>
      </w:pPr>
    </w:p>
    <w:p w14:paraId="24908FE6">
      <w:pPr>
        <w:rPr>
          <w:rFonts w:ascii="Arial" w:hAnsi="Arial" w:eastAsia="Arial" w:cs="Arial"/>
          <w:sz w:val="21"/>
          <w:szCs w:val="21"/>
        </w:rPr>
        <w:sectPr>
          <w:footerReference r:id="rId15" w:type="default"/>
          <w:pgSz w:w="11900" w:h="16840"/>
          <w:pgMar w:top="865" w:right="308" w:bottom="941" w:left="293" w:header="397" w:footer="585" w:gutter="0"/>
          <w:cols w:space="720" w:num="1"/>
        </w:sectPr>
      </w:pPr>
    </w:p>
    <w:p w14:paraId="2F3D3C03">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67290077">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15686DE9">
            <w:pPr>
              <w:pStyle w:val="6"/>
              <w:spacing w:before="144" w:line="221" w:lineRule="auto"/>
              <w:ind w:left="285"/>
            </w:pPr>
            <w:r>
              <w:rPr>
                <w:color w:val="222222"/>
              </w:rPr>
              <w:t>章</w:t>
            </w:r>
          </w:p>
        </w:tc>
        <w:tc>
          <w:tcPr>
            <w:tcW w:w="2019" w:type="dxa"/>
            <w:vAlign w:val="top"/>
          </w:tcPr>
          <w:p w14:paraId="4EFBA04B">
            <w:pPr>
              <w:pStyle w:val="6"/>
              <w:spacing w:before="144" w:line="222" w:lineRule="auto"/>
              <w:ind w:left="885"/>
            </w:pPr>
            <w:r>
              <w:rPr>
                <w:color w:val="222222"/>
              </w:rPr>
              <w:t>节</w:t>
            </w:r>
          </w:p>
        </w:tc>
        <w:tc>
          <w:tcPr>
            <w:tcW w:w="7056" w:type="dxa"/>
            <w:vAlign w:val="top"/>
          </w:tcPr>
          <w:p w14:paraId="4CC4FEAC">
            <w:pPr>
              <w:pStyle w:val="6"/>
              <w:spacing w:before="145" w:line="221" w:lineRule="auto"/>
              <w:ind w:left="3073"/>
            </w:pPr>
            <w:r>
              <w:rPr>
                <w:color w:val="222222"/>
                <w:spacing w:val="-1"/>
              </w:rPr>
              <w:t>变化说明</w:t>
            </w:r>
          </w:p>
        </w:tc>
      </w:tr>
      <w:tr w14:paraId="455C291A">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4" w:hRule="atLeast"/>
        </w:trPr>
        <w:tc>
          <w:tcPr>
            <w:tcW w:w="1021" w:type="dxa"/>
            <w:vMerge w:val="restart"/>
            <w:tcBorders>
              <w:bottom w:val="nil"/>
            </w:tcBorders>
            <w:vAlign w:val="top"/>
          </w:tcPr>
          <w:p w14:paraId="6B1CD527">
            <w:pPr>
              <w:spacing w:line="268" w:lineRule="auto"/>
              <w:rPr>
                <w:rFonts w:ascii="Arial"/>
                <w:sz w:val="21"/>
              </w:rPr>
            </w:pPr>
          </w:p>
          <w:p w14:paraId="6AC87AB6">
            <w:pPr>
              <w:spacing w:line="269" w:lineRule="auto"/>
              <w:rPr>
                <w:rFonts w:ascii="Arial"/>
                <w:sz w:val="21"/>
              </w:rPr>
            </w:pPr>
          </w:p>
          <w:p w14:paraId="02A58A4F">
            <w:pPr>
              <w:spacing w:line="269" w:lineRule="auto"/>
              <w:rPr>
                <w:rFonts w:ascii="Arial"/>
                <w:sz w:val="21"/>
              </w:rPr>
            </w:pPr>
          </w:p>
          <w:p w14:paraId="597113B6">
            <w:pPr>
              <w:spacing w:line="269" w:lineRule="auto"/>
              <w:rPr>
                <w:rFonts w:ascii="Arial"/>
                <w:sz w:val="21"/>
              </w:rPr>
            </w:pPr>
          </w:p>
          <w:p w14:paraId="047745EC">
            <w:pPr>
              <w:spacing w:line="269" w:lineRule="auto"/>
              <w:rPr>
                <w:rFonts w:ascii="Arial"/>
                <w:sz w:val="21"/>
              </w:rPr>
            </w:pPr>
          </w:p>
          <w:p w14:paraId="5905A6F8">
            <w:pPr>
              <w:spacing w:line="269" w:lineRule="auto"/>
              <w:rPr>
                <w:rFonts w:ascii="Arial"/>
                <w:sz w:val="21"/>
              </w:rPr>
            </w:pPr>
          </w:p>
          <w:p w14:paraId="29E620F8">
            <w:pPr>
              <w:spacing w:line="269" w:lineRule="auto"/>
              <w:rPr>
                <w:rFonts w:ascii="Arial"/>
                <w:sz w:val="21"/>
              </w:rPr>
            </w:pPr>
          </w:p>
          <w:p w14:paraId="671D1CB6">
            <w:pPr>
              <w:spacing w:line="269" w:lineRule="auto"/>
              <w:rPr>
                <w:rFonts w:ascii="Arial"/>
                <w:sz w:val="21"/>
              </w:rPr>
            </w:pPr>
          </w:p>
          <w:p w14:paraId="46F0E8BF">
            <w:pPr>
              <w:pStyle w:val="6"/>
              <w:spacing w:before="71" w:line="281" w:lineRule="auto"/>
              <w:ind w:left="67" w:right="277" w:hanging="1"/>
            </w:pPr>
            <w:r>
              <w:rPr>
                <w:color w:val="222222"/>
                <w:spacing w:val="-2"/>
              </w:rPr>
              <w:t>第7章费用与</w:t>
            </w:r>
            <w:r>
              <w:rPr>
                <w:color w:val="222222"/>
                <w:spacing w:val="-4"/>
              </w:rPr>
              <w:t>成本</w:t>
            </w:r>
          </w:p>
        </w:tc>
        <w:tc>
          <w:tcPr>
            <w:tcW w:w="2019" w:type="dxa"/>
            <w:vAlign w:val="top"/>
          </w:tcPr>
          <w:p w14:paraId="691B8A8C">
            <w:pPr>
              <w:pStyle w:val="6"/>
              <w:spacing w:before="135" w:line="282" w:lineRule="auto"/>
              <w:ind w:left="60" w:right="173" w:firstLine="1"/>
            </w:pPr>
            <w:r>
              <w:rPr>
                <w:color w:val="222222"/>
                <w:spacing w:val="-3"/>
              </w:rPr>
              <w:t>7.1</w:t>
            </w:r>
            <w:r>
              <w:rPr>
                <w:color w:val="222222"/>
                <w:spacing w:val="28"/>
              </w:rPr>
              <w:t xml:space="preserve"> </w:t>
            </w:r>
            <w:r>
              <w:rPr>
                <w:color w:val="222222"/>
                <w:spacing w:val="-3"/>
              </w:rPr>
              <w:t>费用与成本的</w:t>
            </w:r>
            <w:r>
              <w:rPr>
                <w:color w:val="222222"/>
                <w:spacing w:val="-5"/>
              </w:rPr>
              <w:t>关系</w:t>
            </w:r>
          </w:p>
        </w:tc>
        <w:tc>
          <w:tcPr>
            <w:tcW w:w="7056" w:type="dxa"/>
            <w:vAlign w:val="top"/>
          </w:tcPr>
          <w:p w14:paraId="07993285">
            <w:pPr>
              <w:pStyle w:val="6"/>
              <w:spacing w:before="301" w:line="221" w:lineRule="auto"/>
              <w:ind w:left="52"/>
            </w:pPr>
            <w:r>
              <w:rPr>
                <w:color w:val="A50021"/>
                <w:u w:val="single" w:color="auto"/>
              </w:rPr>
              <w:t>P84-85：7.1.2 费用与成本</w:t>
            </w:r>
            <w:r>
              <w:rPr>
                <w:color w:val="A50021"/>
                <w:spacing w:val="28"/>
                <w:u w:val="single" w:color="auto"/>
              </w:rPr>
              <w:t xml:space="preserve"> </w:t>
            </w:r>
            <w:r>
              <w:rPr>
                <w:color w:val="A50021"/>
                <w:u w:val="single" w:color="auto"/>
              </w:rPr>
              <w:t>1. 费用与成本的联系</w:t>
            </w:r>
            <w:r>
              <w:rPr>
                <w:color w:val="A50021"/>
                <w:spacing w:val="38"/>
                <w:u w:val="single" w:color="auto"/>
              </w:rPr>
              <w:t xml:space="preserve"> </w:t>
            </w:r>
            <w:r>
              <w:rPr>
                <w:color w:val="A50021"/>
                <w:u w:val="single" w:color="auto"/>
              </w:rPr>
              <w:t>内</w:t>
            </w:r>
            <w:r>
              <w:rPr>
                <w:color w:val="A50021"/>
                <w:spacing w:val="-1"/>
                <w:u w:val="single" w:color="auto"/>
              </w:rPr>
              <w:t>容描述有调整</w:t>
            </w:r>
          </w:p>
        </w:tc>
      </w:tr>
      <w:tr w14:paraId="7012D7EA">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4511" w:hRule="atLeast"/>
        </w:trPr>
        <w:tc>
          <w:tcPr>
            <w:tcW w:w="1021" w:type="dxa"/>
            <w:vMerge w:val="continue"/>
            <w:tcBorders>
              <w:top w:val="nil"/>
            </w:tcBorders>
            <w:vAlign w:val="top"/>
          </w:tcPr>
          <w:p w14:paraId="1F201956">
            <w:pPr>
              <w:rPr>
                <w:rFonts w:ascii="Arial"/>
                <w:sz w:val="21"/>
              </w:rPr>
            </w:pPr>
          </w:p>
        </w:tc>
        <w:tc>
          <w:tcPr>
            <w:tcW w:w="2019" w:type="dxa"/>
            <w:vAlign w:val="top"/>
          </w:tcPr>
          <w:p w14:paraId="1ED524A6">
            <w:pPr>
              <w:spacing w:line="269" w:lineRule="auto"/>
              <w:rPr>
                <w:rFonts w:ascii="Arial"/>
                <w:sz w:val="21"/>
              </w:rPr>
            </w:pPr>
          </w:p>
          <w:p w14:paraId="5AE9089D">
            <w:pPr>
              <w:spacing w:line="270" w:lineRule="auto"/>
              <w:rPr>
                <w:rFonts w:ascii="Arial"/>
                <w:sz w:val="21"/>
              </w:rPr>
            </w:pPr>
          </w:p>
          <w:p w14:paraId="19D4BB2E">
            <w:pPr>
              <w:spacing w:line="270" w:lineRule="auto"/>
              <w:rPr>
                <w:rFonts w:ascii="Arial"/>
                <w:sz w:val="21"/>
              </w:rPr>
            </w:pPr>
          </w:p>
          <w:p w14:paraId="4F93E239">
            <w:pPr>
              <w:spacing w:line="270" w:lineRule="auto"/>
              <w:rPr>
                <w:rFonts w:ascii="Arial"/>
                <w:sz w:val="21"/>
              </w:rPr>
            </w:pPr>
          </w:p>
          <w:p w14:paraId="77885CBE">
            <w:pPr>
              <w:spacing w:line="270" w:lineRule="auto"/>
              <w:rPr>
                <w:rFonts w:ascii="Arial"/>
                <w:sz w:val="21"/>
              </w:rPr>
            </w:pPr>
          </w:p>
          <w:p w14:paraId="2652994D">
            <w:pPr>
              <w:spacing w:line="270" w:lineRule="auto"/>
              <w:rPr>
                <w:rFonts w:ascii="Arial"/>
                <w:sz w:val="21"/>
              </w:rPr>
            </w:pPr>
          </w:p>
          <w:p w14:paraId="25E13C9C">
            <w:pPr>
              <w:spacing w:line="270" w:lineRule="auto"/>
              <w:rPr>
                <w:rFonts w:ascii="Arial"/>
                <w:sz w:val="21"/>
              </w:rPr>
            </w:pPr>
          </w:p>
          <w:p w14:paraId="78675D0A">
            <w:pPr>
              <w:pStyle w:val="6"/>
              <w:spacing w:before="72" w:line="282" w:lineRule="auto"/>
              <w:ind w:left="57" w:right="173" w:firstLine="5"/>
            </w:pPr>
            <w:r>
              <w:rPr>
                <w:color w:val="222222"/>
              </w:rPr>
              <w:t>7.2 施工企业费用确认及计量</w:t>
            </w:r>
          </w:p>
        </w:tc>
        <w:tc>
          <w:tcPr>
            <w:tcW w:w="7056" w:type="dxa"/>
            <w:vAlign w:val="top"/>
          </w:tcPr>
          <w:p w14:paraId="17507081">
            <w:pPr>
              <w:pStyle w:val="6"/>
              <w:spacing w:before="138" w:line="221" w:lineRule="auto"/>
              <w:ind w:left="52"/>
            </w:pPr>
            <w:r>
              <w:rPr>
                <w:color w:val="A50021"/>
                <w:spacing w:val="-1"/>
                <w:u w:val="single" w:color="auto"/>
              </w:rPr>
              <w:t>P90：7.2.2 费用计量 3.</w:t>
            </w:r>
            <w:r>
              <w:rPr>
                <w:color w:val="A50021"/>
                <w:spacing w:val="30"/>
                <w:u w:val="single" w:color="auto"/>
              </w:rPr>
              <w:t xml:space="preserve"> </w:t>
            </w:r>
            <w:r>
              <w:rPr>
                <w:color w:val="A50021"/>
                <w:spacing w:val="-1"/>
                <w:u w:val="single" w:color="auto"/>
              </w:rPr>
              <w:t>固定资产</w:t>
            </w:r>
            <w:r>
              <w:rPr>
                <w:color w:val="A50021"/>
                <w:spacing w:val="51"/>
                <w:u w:val="single" w:color="auto"/>
              </w:rPr>
              <w:t xml:space="preserve"> </w:t>
            </w:r>
            <w:r>
              <w:rPr>
                <w:color w:val="A50021"/>
                <w:spacing w:val="-1"/>
                <w:u w:val="single" w:color="auto"/>
              </w:rPr>
              <w:t>(1)年限平均法</w:t>
            </w:r>
            <w:r>
              <w:rPr>
                <w:color w:val="A50021"/>
                <w:spacing w:val="12"/>
                <w:u w:val="single" w:color="auto"/>
              </w:rPr>
              <w:t xml:space="preserve"> </w:t>
            </w:r>
            <w:r>
              <w:rPr>
                <w:color w:val="A50021"/>
                <w:spacing w:val="-1"/>
                <w:u w:val="single" w:color="auto"/>
              </w:rPr>
              <w:t>新增一</w:t>
            </w:r>
            <w:r>
              <w:rPr>
                <w:color w:val="A50021"/>
                <w:spacing w:val="-2"/>
                <w:u w:val="single" w:color="auto"/>
              </w:rPr>
              <w:t>句话</w:t>
            </w:r>
          </w:p>
          <w:p w14:paraId="29288A07">
            <w:pPr>
              <w:pStyle w:val="6"/>
              <w:spacing w:before="69" w:line="280" w:lineRule="auto"/>
              <w:ind w:left="80" w:right="93" w:hanging="18"/>
            </w:pPr>
            <w:r>
              <w:rPr>
                <w:color w:val="222222"/>
                <w:spacing w:val="2"/>
              </w:rPr>
              <w:t>年限平均法适用于各个时期使用价值消耗均匀、受技术进步影响</w:t>
            </w:r>
            <w:r>
              <w:rPr>
                <w:color w:val="222222"/>
                <w:spacing w:val="1"/>
              </w:rPr>
              <w:t>较小的</w:t>
            </w:r>
            <w:r>
              <w:rPr>
                <w:color w:val="222222"/>
              </w:rPr>
              <w:t>固定资产 折旧，如房屋、构筑物。</w:t>
            </w:r>
          </w:p>
          <w:p w14:paraId="7ECA1802">
            <w:pPr>
              <w:pStyle w:val="6"/>
              <w:spacing w:line="221" w:lineRule="auto"/>
              <w:ind w:left="52"/>
            </w:pPr>
            <w:r>
              <w:rPr>
                <w:color w:val="A50021"/>
                <w:spacing w:val="1"/>
                <w:u w:val="single" w:color="auto"/>
              </w:rPr>
              <w:t>P91：7.2.2 费用计量 3.</w:t>
            </w:r>
            <w:r>
              <w:rPr>
                <w:color w:val="A50021"/>
                <w:spacing w:val="30"/>
                <w:u w:val="single" w:color="auto"/>
              </w:rPr>
              <w:t xml:space="preserve"> </w:t>
            </w:r>
            <w:r>
              <w:rPr>
                <w:color w:val="A50021"/>
                <w:spacing w:val="1"/>
                <w:u w:val="single" w:color="auto"/>
              </w:rPr>
              <w:t>固定资产(3)双倍余额递减</w:t>
            </w:r>
            <w:r>
              <w:rPr>
                <w:color w:val="A50021"/>
                <w:u w:val="single" w:color="auto"/>
              </w:rPr>
              <w:t>法 新增一句话</w:t>
            </w:r>
          </w:p>
          <w:p w14:paraId="0B65487B">
            <w:pPr>
              <w:pStyle w:val="6"/>
              <w:spacing w:before="69" w:line="280" w:lineRule="auto"/>
              <w:ind w:left="61" w:right="93" w:firstLine="19"/>
            </w:pPr>
            <w:r>
              <w:rPr>
                <w:color w:val="222222"/>
                <w:spacing w:val="1"/>
              </w:rPr>
              <w:t>固定资产折余价值为固定资产原价减去累计折旧的余额，未扣除预计净</w:t>
            </w:r>
            <w:r>
              <w:rPr>
                <w:color w:val="222222"/>
                <w:spacing w:val="2"/>
              </w:rPr>
              <w:t>残值。即：固定资产折余价值=固定资产原价</w:t>
            </w:r>
            <w:r>
              <w:rPr>
                <w:color w:val="222222"/>
                <w:spacing w:val="1"/>
              </w:rPr>
              <w:t>一累计折旧</w:t>
            </w:r>
          </w:p>
          <w:p w14:paraId="707D9D2C">
            <w:pPr>
              <w:pStyle w:val="6"/>
              <w:spacing w:line="221" w:lineRule="auto"/>
              <w:ind w:left="52"/>
            </w:pPr>
            <w:r>
              <w:rPr>
                <w:color w:val="A50021"/>
                <w:spacing w:val="1"/>
                <w:u w:val="single" w:color="auto"/>
              </w:rPr>
              <w:t>P91：7.2.2 费用计量 3.</w:t>
            </w:r>
            <w:r>
              <w:rPr>
                <w:color w:val="A50021"/>
                <w:spacing w:val="35"/>
                <w:u w:val="single" w:color="auto"/>
              </w:rPr>
              <w:t xml:space="preserve"> </w:t>
            </w:r>
            <w:r>
              <w:rPr>
                <w:color w:val="A50021"/>
                <w:spacing w:val="1"/>
                <w:u w:val="single" w:color="auto"/>
              </w:rPr>
              <w:t>固定资产</w:t>
            </w:r>
            <w:r>
              <w:rPr>
                <w:color w:val="A50021"/>
                <w:spacing w:val="12"/>
                <w:u w:val="single" w:color="auto"/>
              </w:rPr>
              <w:t xml:space="preserve"> </w:t>
            </w:r>
            <w:r>
              <w:rPr>
                <w:color w:val="A50021"/>
                <w:spacing w:val="1"/>
                <w:u w:val="single" w:color="auto"/>
              </w:rPr>
              <w:t>新增一段内容。</w:t>
            </w:r>
          </w:p>
          <w:p w14:paraId="789C0868">
            <w:pPr>
              <w:pStyle w:val="6"/>
              <w:spacing w:before="70" w:line="221" w:lineRule="auto"/>
              <w:ind w:left="74"/>
            </w:pPr>
            <w:r>
              <w:rPr>
                <w:color w:val="A50021"/>
                <w:spacing w:val="1"/>
                <w:u w:val="single" w:color="auto"/>
              </w:rPr>
              <w:t>固定资产加速折旧的优点有：</w:t>
            </w:r>
            <w:r>
              <w:rPr>
                <w:color w:val="222222"/>
                <w:spacing w:val="1"/>
              </w:rPr>
              <w:t>(1)在固定资产使用初期提取较多折旧，</w:t>
            </w:r>
          </w:p>
          <w:p w14:paraId="12524552">
            <w:pPr>
              <w:pStyle w:val="6"/>
              <w:spacing w:before="73" w:line="280" w:lineRule="auto"/>
              <w:ind w:left="60" w:right="92"/>
            </w:pPr>
            <w:r>
              <w:rPr>
                <w:color w:val="222222"/>
              </w:rPr>
              <w:t>减少应缴 纳的所得税，降低税负；</w:t>
            </w:r>
            <w:r>
              <w:rPr>
                <w:color w:val="222222"/>
                <w:spacing w:val="-50"/>
              </w:rPr>
              <w:t xml:space="preserve"> </w:t>
            </w:r>
            <w:r>
              <w:rPr>
                <w:color w:val="222222"/>
              </w:rPr>
              <w:t>(2)投入固定资产的成本在有效使用年限中更快得到补偿，加 快成本回收；</w:t>
            </w:r>
            <w:r>
              <w:rPr>
                <w:color w:val="222222"/>
                <w:spacing w:val="-49"/>
              </w:rPr>
              <w:t xml:space="preserve"> </w:t>
            </w:r>
            <w:r>
              <w:rPr>
                <w:color w:val="222222"/>
              </w:rPr>
              <w:t>(3)固定资产账面与实际价值更</w:t>
            </w:r>
            <w:r>
              <w:rPr>
                <w:color w:val="222222"/>
                <w:spacing w:val="2"/>
              </w:rPr>
              <w:t>接近，降低技术进步带来的固定资产贬值 风险。但加速折旧计算</w:t>
            </w:r>
            <w:r>
              <w:rPr>
                <w:color w:val="222222"/>
                <w:spacing w:val="1"/>
              </w:rPr>
              <w:t>较复</w:t>
            </w:r>
            <w:r>
              <w:rPr>
                <w:color w:val="222222"/>
                <w:spacing w:val="2"/>
              </w:rPr>
              <w:t>杂，可能导致企业财务报表中固定资产账面价值下降过快， 只适</w:t>
            </w:r>
            <w:r>
              <w:rPr>
                <w:color w:val="222222"/>
                <w:spacing w:val="1"/>
              </w:rPr>
              <w:t>用于技术进步较快的几大类企业且需向有关管理机关备案。</w:t>
            </w:r>
          </w:p>
        </w:tc>
      </w:tr>
    </w:tbl>
    <w:p w14:paraId="625F6A77">
      <w:pPr>
        <w:spacing w:line="166" w:lineRule="exact"/>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5B82A6B1">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4994D8EB">
            <w:pPr>
              <w:pStyle w:val="6"/>
              <w:spacing w:before="144" w:line="221" w:lineRule="auto"/>
              <w:ind w:left="285"/>
            </w:pPr>
            <w:r>
              <w:rPr>
                <w:color w:val="222222"/>
              </w:rPr>
              <w:t>章</w:t>
            </w:r>
          </w:p>
        </w:tc>
        <w:tc>
          <w:tcPr>
            <w:tcW w:w="2019" w:type="dxa"/>
            <w:vAlign w:val="top"/>
          </w:tcPr>
          <w:p w14:paraId="601AF0C3">
            <w:pPr>
              <w:pStyle w:val="6"/>
              <w:spacing w:before="144" w:line="222" w:lineRule="auto"/>
              <w:ind w:left="885"/>
            </w:pPr>
            <w:r>
              <w:rPr>
                <w:color w:val="222222"/>
              </w:rPr>
              <w:t>节</w:t>
            </w:r>
          </w:p>
        </w:tc>
        <w:tc>
          <w:tcPr>
            <w:tcW w:w="7056" w:type="dxa"/>
            <w:vAlign w:val="top"/>
          </w:tcPr>
          <w:p w14:paraId="6F16390E">
            <w:pPr>
              <w:pStyle w:val="6"/>
              <w:spacing w:before="144" w:line="221" w:lineRule="auto"/>
              <w:ind w:left="3074"/>
            </w:pPr>
            <w:r>
              <w:rPr>
                <w:color w:val="222222"/>
                <w:spacing w:val="-1"/>
              </w:rPr>
              <w:t>变化说明</w:t>
            </w:r>
          </w:p>
        </w:tc>
      </w:tr>
      <w:tr w14:paraId="0227EFCD">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68" w:hRule="atLeast"/>
        </w:trPr>
        <w:tc>
          <w:tcPr>
            <w:tcW w:w="1021" w:type="dxa"/>
            <w:vMerge w:val="restart"/>
            <w:tcBorders>
              <w:bottom w:val="nil"/>
            </w:tcBorders>
            <w:vAlign w:val="top"/>
          </w:tcPr>
          <w:p w14:paraId="5AD7266F">
            <w:pPr>
              <w:spacing w:line="255" w:lineRule="auto"/>
              <w:rPr>
                <w:rFonts w:ascii="Arial"/>
                <w:sz w:val="21"/>
              </w:rPr>
            </w:pPr>
          </w:p>
          <w:p w14:paraId="6E484908">
            <w:pPr>
              <w:spacing w:line="255" w:lineRule="auto"/>
              <w:rPr>
                <w:rFonts w:ascii="Arial"/>
                <w:sz w:val="21"/>
              </w:rPr>
            </w:pPr>
          </w:p>
          <w:p w14:paraId="10F2F512">
            <w:pPr>
              <w:spacing w:line="255" w:lineRule="auto"/>
              <w:rPr>
                <w:rFonts w:ascii="Arial"/>
                <w:sz w:val="21"/>
              </w:rPr>
            </w:pPr>
          </w:p>
          <w:p w14:paraId="3E3259A7">
            <w:pPr>
              <w:spacing w:line="256" w:lineRule="auto"/>
              <w:rPr>
                <w:rFonts w:ascii="Arial"/>
                <w:sz w:val="21"/>
              </w:rPr>
            </w:pPr>
          </w:p>
          <w:p w14:paraId="57482993">
            <w:pPr>
              <w:spacing w:line="256" w:lineRule="auto"/>
              <w:rPr>
                <w:rFonts w:ascii="Arial"/>
                <w:sz w:val="21"/>
              </w:rPr>
            </w:pPr>
          </w:p>
          <w:p w14:paraId="6B654C70">
            <w:pPr>
              <w:spacing w:line="256" w:lineRule="auto"/>
              <w:rPr>
                <w:rFonts w:ascii="Arial"/>
                <w:sz w:val="21"/>
              </w:rPr>
            </w:pPr>
          </w:p>
          <w:p w14:paraId="20CFC7EE">
            <w:pPr>
              <w:spacing w:line="256" w:lineRule="auto"/>
              <w:rPr>
                <w:rFonts w:ascii="Arial"/>
                <w:sz w:val="21"/>
              </w:rPr>
            </w:pPr>
          </w:p>
          <w:p w14:paraId="239D45C6">
            <w:pPr>
              <w:spacing w:line="256" w:lineRule="auto"/>
              <w:rPr>
                <w:rFonts w:ascii="Arial"/>
                <w:sz w:val="21"/>
              </w:rPr>
            </w:pPr>
          </w:p>
          <w:p w14:paraId="5557A423">
            <w:pPr>
              <w:spacing w:line="256" w:lineRule="auto"/>
              <w:rPr>
                <w:rFonts w:ascii="Arial"/>
                <w:sz w:val="21"/>
              </w:rPr>
            </w:pPr>
          </w:p>
          <w:p w14:paraId="7CCDE129">
            <w:pPr>
              <w:spacing w:line="256" w:lineRule="auto"/>
              <w:rPr>
                <w:rFonts w:ascii="Arial"/>
                <w:sz w:val="21"/>
              </w:rPr>
            </w:pPr>
          </w:p>
          <w:p w14:paraId="2A861531">
            <w:pPr>
              <w:spacing w:line="256" w:lineRule="auto"/>
              <w:rPr>
                <w:rFonts w:ascii="Arial"/>
                <w:sz w:val="21"/>
              </w:rPr>
            </w:pPr>
          </w:p>
          <w:p w14:paraId="55BFAA15">
            <w:pPr>
              <w:pStyle w:val="6"/>
              <w:spacing w:before="72" w:line="281" w:lineRule="auto"/>
              <w:ind w:left="67" w:right="277" w:hanging="1"/>
            </w:pPr>
            <w:r>
              <w:rPr>
                <w:color w:val="222222"/>
                <w:spacing w:val="-2"/>
              </w:rPr>
              <w:t>第7章费用与</w:t>
            </w:r>
            <w:r>
              <w:rPr>
                <w:color w:val="222222"/>
                <w:spacing w:val="-4"/>
              </w:rPr>
              <w:t>成本</w:t>
            </w:r>
          </w:p>
        </w:tc>
        <w:tc>
          <w:tcPr>
            <w:tcW w:w="2019" w:type="dxa"/>
            <w:vAlign w:val="top"/>
          </w:tcPr>
          <w:p w14:paraId="38B28EBD">
            <w:pPr>
              <w:spacing w:line="264" w:lineRule="auto"/>
              <w:rPr>
                <w:rFonts w:ascii="Arial"/>
                <w:sz w:val="21"/>
              </w:rPr>
            </w:pPr>
          </w:p>
          <w:p w14:paraId="37324433">
            <w:pPr>
              <w:spacing w:line="264" w:lineRule="auto"/>
              <w:rPr>
                <w:rFonts w:ascii="Arial"/>
                <w:sz w:val="21"/>
              </w:rPr>
            </w:pPr>
          </w:p>
          <w:p w14:paraId="489A995D">
            <w:pPr>
              <w:spacing w:line="264" w:lineRule="auto"/>
              <w:rPr>
                <w:rFonts w:ascii="Arial"/>
                <w:sz w:val="21"/>
              </w:rPr>
            </w:pPr>
          </w:p>
          <w:p w14:paraId="350BD58F">
            <w:pPr>
              <w:spacing w:line="265" w:lineRule="auto"/>
              <w:rPr>
                <w:rFonts w:ascii="Arial"/>
                <w:sz w:val="21"/>
              </w:rPr>
            </w:pPr>
          </w:p>
          <w:p w14:paraId="427F73DD">
            <w:pPr>
              <w:spacing w:line="265" w:lineRule="auto"/>
              <w:rPr>
                <w:rFonts w:ascii="Arial"/>
                <w:sz w:val="21"/>
              </w:rPr>
            </w:pPr>
          </w:p>
          <w:p w14:paraId="145D932D">
            <w:pPr>
              <w:spacing w:line="265" w:lineRule="auto"/>
              <w:rPr>
                <w:rFonts w:ascii="Arial"/>
                <w:sz w:val="21"/>
              </w:rPr>
            </w:pPr>
          </w:p>
          <w:p w14:paraId="30BCAEDE">
            <w:pPr>
              <w:spacing w:line="265" w:lineRule="auto"/>
              <w:rPr>
                <w:rFonts w:ascii="Arial"/>
                <w:sz w:val="21"/>
              </w:rPr>
            </w:pPr>
          </w:p>
          <w:p w14:paraId="70FACDE8">
            <w:pPr>
              <w:spacing w:line="265" w:lineRule="auto"/>
              <w:rPr>
                <w:rFonts w:ascii="Arial"/>
                <w:sz w:val="21"/>
              </w:rPr>
            </w:pPr>
          </w:p>
          <w:p w14:paraId="12F59F22">
            <w:pPr>
              <w:spacing w:line="265" w:lineRule="auto"/>
              <w:rPr>
                <w:rFonts w:ascii="Arial"/>
                <w:sz w:val="21"/>
              </w:rPr>
            </w:pPr>
          </w:p>
          <w:p w14:paraId="1A941257">
            <w:pPr>
              <w:pStyle w:val="6"/>
              <w:spacing w:before="72" w:line="221" w:lineRule="auto"/>
              <w:ind w:left="62"/>
            </w:pPr>
            <w:r>
              <w:rPr>
                <w:color w:val="222222"/>
              </w:rPr>
              <w:t>7.3 工程成本核算</w:t>
            </w:r>
          </w:p>
        </w:tc>
        <w:tc>
          <w:tcPr>
            <w:tcW w:w="7056" w:type="dxa"/>
            <w:vAlign w:val="top"/>
          </w:tcPr>
          <w:p w14:paraId="247837E8">
            <w:pPr>
              <w:pStyle w:val="6"/>
              <w:spacing w:before="134" w:line="221" w:lineRule="auto"/>
              <w:ind w:left="52"/>
            </w:pPr>
            <w:r>
              <w:rPr>
                <w:color w:val="A50021"/>
                <w:spacing w:val="1"/>
                <w:u w:val="single" w:color="auto"/>
              </w:rPr>
              <w:t>P91： 7.3.1 施工成本构成</w:t>
            </w:r>
            <w:r>
              <w:rPr>
                <w:color w:val="A50021"/>
                <w:spacing w:val="29"/>
                <w:u w:val="single" w:color="auto"/>
              </w:rPr>
              <w:t xml:space="preserve"> </w:t>
            </w:r>
            <w:r>
              <w:rPr>
                <w:color w:val="A50021"/>
                <w:spacing w:val="1"/>
                <w:u w:val="single" w:color="auto"/>
              </w:rPr>
              <w:t>1.成本</w:t>
            </w:r>
            <w:r>
              <w:rPr>
                <w:color w:val="A50021"/>
                <w:u w:val="single" w:color="auto"/>
              </w:rPr>
              <w:t>核算方法 修改一句话</w:t>
            </w:r>
          </w:p>
          <w:p w14:paraId="6F2EE3F9">
            <w:pPr>
              <w:pStyle w:val="6"/>
              <w:spacing w:before="70" w:line="280" w:lineRule="auto"/>
              <w:ind w:left="63" w:right="204"/>
            </w:pPr>
            <w:r>
              <w:rPr>
                <w:color w:val="222222"/>
                <w:spacing w:val="1"/>
              </w:rPr>
              <w:t>25版：成本是对象化</w:t>
            </w:r>
            <w:r>
              <w:rPr>
                <w:color w:val="222222"/>
                <w:spacing w:val="31"/>
              </w:rPr>
              <w:t xml:space="preserve"> </w:t>
            </w:r>
            <w:r>
              <w:rPr>
                <w:color w:val="222222"/>
                <w:spacing w:val="1"/>
              </w:rPr>
              <w:t>了的费用，这部分费用通常也称为</w:t>
            </w:r>
            <w:r>
              <w:rPr>
                <w:color w:val="222222"/>
              </w:rPr>
              <w:t>生产费用。按</w:t>
            </w:r>
            <w:r>
              <w:rPr>
                <w:color w:val="222222"/>
                <w:spacing w:val="2"/>
              </w:rPr>
              <w:t>生产费用计入成本核算对象的过程和方 法区分，成本分为</w:t>
            </w:r>
            <w:r>
              <w:rPr>
                <w:color w:val="222222"/>
                <w:spacing w:val="1"/>
              </w:rPr>
              <w:t>直接成本和</w:t>
            </w:r>
            <w:r>
              <w:rPr>
                <w:color w:val="222222"/>
                <w:spacing w:val="-1"/>
              </w:rPr>
              <w:t>间接成本。</w:t>
            </w:r>
          </w:p>
          <w:p w14:paraId="6F373181">
            <w:pPr>
              <w:pStyle w:val="6"/>
              <w:spacing w:before="2" w:line="279" w:lineRule="auto"/>
              <w:ind w:left="60" w:right="93" w:firstLine="3"/>
            </w:pPr>
            <w:r>
              <w:rPr>
                <w:color w:val="222222"/>
                <w:spacing w:val="2"/>
              </w:rPr>
              <w:t>26版：成本是计入成本核算对象的费用，按费用计入成</w:t>
            </w:r>
            <w:r>
              <w:rPr>
                <w:color w:val="222222"/>
                <w:spacing w:val="1"/>
              </w:rPr>
              <w:t>本核算对象的过程和方法区分，成本分为直接成本和间接成本。</w:t>
            </w:r>
          </w:p>
          <w:p w14:paraId="671B965D">
            <w:pPr>
              <w:pStyle w:val="6"/>
              <w:spacing w:before="2" w:line="279" w:lineRule="auto"/>
              <w:ind w:left="57" w:right="98" w:hanging="5"/>
            </w:pPr>
            <w:r>
              <w:rPr>
                <w:color w:val="A50021"/>
                <w:u w:val="single" w:color="auto"/>
              </w:rPr>
              <w:t>P94： 7.3.1 施工成本构成</w:t>
            </w:r>
            <w:r>
              <w:rPr>
                <w:color w:val="A50021"/>
                <w:spacing w:val="28"/>
                <w:u w:val="single" w:color="auto"/>
              </w:rPr>
              <w:t xml:space="preserve"> </w:t>
            </w:r>
            <w:r>
              <w:rPr>
                <w:color w:val="A50021"/>
                <w:u w:val="single" w:color="auto"/>
              </w:rPr>
              <w:t>1.成本核算</w:t>
            </w:r>
            <w:r>
              <w:rPr>
                <w:color w:val="A50021"/>
                <w:spacing w:val="-1"/>
                <w:u w:val="single" w:color="auto"/>
              </w:rPr>
              <w:t>方法</w:t>
            </w:r>
            <w:r>
              <w:rPr>
                <w:color w:val="A50021"/>
                <w:spacing w:val="51"/>
                <w:u w:val="single" w:color="auto"/>
              </w:rPr>
              <w:t xml:space="preserve"> </w:t>
            </w:r>
            <w:r>
              <w:rPr>
                <w:color w:val="A50021"/>
                <w:spacing w:val="-1"/>
                <w:u w:val="single" w:color="auto"/>
              </w:rPr>
              <w:t>(2)完全成本法 描述有所</w:t>
            </w:r>
            <w:r>
              <w:rPr>
                <w:color w:val="A50021"/>
                <w:spacing w:val="8"/>
                <w:u w:val="single" w:color="auto"/>
              </w:rPr>
              <w:t>调整。</w:t>
            </w:r>
          </w:p>
          <w:p w14:paraId="3969F8A2">
            <w:pPr>
              <w:pStyle w:val="6"/>
              <w:spacing w:before="2" w:line="279" w:lineRule="auto"/>
              <w:ind w:left="55" w:right="98" w:hanging="3"/>
            </w:pPr>
            <w:r>
              <w:rPr>
                <w:color w:val="A50021"/>
                <w:u w:val="single" w:color="auto"/>
              </w:rPr>
              <w:t>P94： 7.3.1 施工成本构成</w:t>
            </w:r>
            <w:r>
              <w:rPr>
                <w:color w:val="A50021"/>
                <w:spacing w:val="28"/>
                <w:u w:val="single" w:color="auto"/>
              </w:rPr>
              <w:t xml:space="preserve"> </w:t>
            </w:r>
            <w:r>
              <w:rPr>
                <w:color w:val="A50021"/>
                <w:u w:val="single" w:color="auto"/>
              </w:rPr>
              <w:t>1.成本核算</w:t>
            </w:r>
            <w:r>
              <w:rPr>
                <w:color w:val="A50021"/>
                <w:spacing w:val="-1"/>
                <w:u w:val="single" w:color="auto"/>
              </w:rPr>
              <w:t>方法</w:t>
            </w:r>
            <w:r>
              <w:rPr>
                <w:color w:val="A50021"/>
                <w:spacing w:val="51"/>
                <w:u w:val="single" w:color="auto"/>
              </w:rPr>
              <w:t xml:space="preserve"> </w:t>
            </w:r>
            <w:r>
              <w:rPr>
                <w:color w:val="A50021"/>
                <w:spacing w:val="-1"/>
                <w:u w:val="single" w:color="auto"/>
              </w:rPr>
              <w:t>(3)作业成本法 新增一句</w:t>
            </w:r>
            <w:r>
              <w:rPr>
                <w:color w:val="A50021"/>
                <w:spacing w:val="12"/>
                <w:u w:val="single" w:color="auto"/>
              </w:rPr>
              <w:t>话。</w:t>
            </w:r>
          </w:p>
          <w:p w14:paraId="494021C6">
            <w:pPr>
              <w:pStyle w:val="6"/>
              <w:spacing w:before="2" w:line="279" w:lineRule="auto"/>
              <w:ind w:left="63" w:right="204" w:firstLine="37"/>
            </w:pPr>
            <w:r>
              <w:rPr>
                <w:color w:val="222222"/>
                <w:spacing w:val="1"/>
              </w:rPr>
              <w:t>(作业消耗的资源，如设备作业消耗的资本分</w:t>
            </w:r>
            <w:r>
              <w:rPr>
                <w:color w:val="222222"/>
              </w:rPr>
              <w:t>摊、动力成本、厂房占用</w:t>
            </w:r>
            <w:r>
              <w:rPr>
                <w:color w:val="222222"/>
                <w:spacing w:val="1"/>
              </w:rPr>
              <w:t>成本、人工操作成本等)</w:t>
            </w:r>
          </w:p>
          <w:p w14:paraId="568EEE89">
            <w:pPr>
              <w:pStyle w:val="6"/>
              <w:spacing w:before="2" w:line="279" w:lineRule="auto"/>
              <w:ind w:left="56" w:right="209" w:hanging="4"/>
            </w:pPr>
            <w:r>
              <w:rPr>
                <w:color w:val="A50021"/>
                <w:u w:val="single" w:color="auto"/>
              </w:rPr>
              <w:t>P97 7.3.2 工程成本核算过程 3</w:t>
            </w:r>
            <w:r>
              <w:rPr>
                <w:color w:val="A50021"/>
                <w:spacing w:val="-1"/>
                <w:u w:val="single" w:color="auto"/>
              </w:rPr>
              <w:t>.成本归集、分配和结转</w:t>
            </w:r>
            <w:r>
              <w:rPr>
                <w:color w:val="A50021"/>
                <w:spacing w:val="51"/>
                <w:u w:val="single" w:color="auto"/>
              </w:rPr>
              <w:t xml:space="preserve"> </w:t>
            </w:r>
            <w:r>
              <w:rPr>
                <w:color w:val="A50021"/>
                <w:spacing w:val="-1"/>
                <w:u w:val="single" w:color="auto"/>
              </w:rPr>
              <w:t>(2)</w:t>
            </w:r>
            <w:r>
              <w:rPr>
                <w:color w:val="A50021"/>
                <w:spacing w:val="16"/>
                <w:u w:val="single" w:color="auto"/>
              </w:rPr>
              <w:t xml:space="preserve"> </w:t>
            </w:r>
            <w:r>
              <w:rPr>
                <w:color w:val="A50021"/>
                <w:spacing w:val="-1"/>
                <w:u w:val="single" w:color="auto"/>
              </w:rPr>
              <w:t>结转</w:t>
            </w:r>
            <w:r>
              <w:rPr>
                <w:color w:val="A50021"/>
                <w:spacing w:val="13"/>
                <w:u w:val="single" w:color="auto"/>
              </w:rPr>
              <w:t xml:space="preserve"> </w:t>
            </w:r>
            <w:r>
              <w:rPr>
                <w:color w:val="A50021"/>
                <w:spacing w:val="-1"/>
                <w:u w:val="single" w:color="auto"/>
              </w:rPr>
              <w:t>新增一句话</w:t>
            </w:r>
          </w:p>
          <w:p w14:paraId="18763C4B">
            <w:pPr>
              <w:pStyle w:val="6"/>
              <w:spacing w:line="220" w:lineRule="auto"/>
              <w:ind w:left="78"/>
            </w:pPr>
            <w:r>
              <w:rPr>
                <w:color w:val="222222"/>
                <w:spacing w:val="1"/>
              </w:rPr>
              <w:t>因此，成本结转方式和金额应当以收入确认基础和方式为依据确定。</w:t>
            </w:r>
          </w:p>
        </w:tc>
      </w:tr>
      <w:tr w14:paraId="6A9F47F9">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1521" w:hRule="atLeast"/>
        </w:trPr>
        <w:tc>
          <w:tcPr>
            <w:tcW w:w="1021" w:type="dxa"/>
            <w:vMerge w:val="continue"/>
            <w:tcBorders>
              <w:top w:val="nil"/>
            </w:tcBorders>
            <w:vAlign w:val="top"/>
          </w:tcPr>
          <w:p w14:paraId="43CBBF8A">
            <w:pPr>
              <w:rPr>
                <w:rFonts w:ascii="Arial"/>
                <w:sz w:val="21"/>
              </w:rPr>
            </w:pPr>
          </w:p>
        </w:tc>
        <w:tc>
          <w:tcPr>
            <w:tcW w:w="2019" w:type="dxa"/>
            <w:vAlign w:val="top"/>
          </w:tcPr>
          <w:p w14:paraId="2095A3EE">
            <w:pPr>
              <w:spacing w:line="408" w:lineRule="auto"/>
              <w:rPr>
                <w:rFonts w:ascii="Arial"/>
                <w:sz w:val="21"/>
              </w:rPr>
            </w:pPr>
          </w:p>
          <w:p w14:paraId="3425919E">
            <w:pPr>
              <w:pStyle w:val="6"/>
              <w:spacing w:before="72" w:line="282" w:lineRule="auto"/>
              <w:ind w:left="68" w:right="173" w:hanging="6"/>
            </w:pPr>
            <w:r>
              <w:rPr>
                <w:color w:val="222222"/>
              </w:rPr>
              <w:t>7.4 施工企业期间</w:t>
            </w:r>
            <w:r>
              <w:rPr>
                <w:color w:val="222222"/>
                <w:spacing w:val="-4"/>
              </w:rPr>
              <w:t>费用核算</w:t>
            </w:r>
          </w:p>
        </w:tc>
        <w:tc>
          <w:tcPr>
            <w:tcW w:w="7056" w:type="dxa"/>
            <w:vAlign w:val="top"/>
          </w:tcPr>
          <w:p w14:paraId="70A14D6D">
            <w:pPr>
              <w:pStyle w:val="6"/>
              <w:spacing w:before="150" w:line="221" w:lineRule="auto"/>
              <w:ind w:left="57"/>
            </w:pPr>
            <w:r>
              <w:rPr>
                <w:color w:val="222222"/>
                <w:spacing w:val="1"/>
              </w:rPr>
              <w:t>P98：7.4.1 期间费用构成 2. 财务费用</w:t>
            </w:r>
            <w:r>
              <w:rPr>
                <w:color w:val="222222"/>
                <w:spacing w:val="17"/>
              </w:rPr>
              <w:t xml:space="preserve"> </w:t>
            </w:r>
            <w:r>
              <w:rPr>
                <w:color w:val="222222"/>
                <w:spacing w:val="1"/>
              </w:rPr>
              <w:t>新增一段内容</w:t>
            </w:r>
          </w:p>
          <w:p w14:paraId="20F7C87A">
            <w:pPr>
              <w:pStyle w:val="6"/>
              <w:spacing w:before="70" w:line="281" w:lineRule="auto"/>
              <w:ind w:left="62" w:right="100" w:firstLine="1"/>
            </w:pPr>
            <w:r>
              <w:rPr>
                <w:color w:val="222222"/>
                <w:spacing w:val="-18"/>
              </w:rPr>
              <w:t>《企业所得税法实施条例》规定， · ·</w:t>
            </w:r>
            <w:r>
              <w:rPr>
                <w:color w:val="222222"/>
                <w:spacing w:val="-23"/>
              </w:rPr>
              <w:t xml:space="preserve"> </w:t>
            </w:r>
            <w:r>
              <w:rPr>
                <w:color w:val="222222"/>
                <w:spacing w:val="-19"/>
              </w:rPr>
              <w:t>·</w:t>
            </w:r>
            <w:r>
              <w:rPr>
                <w:color w:val="222222"/>
                <w:spacing w:val="-23"/>
              </w:rPr>
              <w:t xml:space="preserve"> </w:t>
            </w:r>
            <w:r>
              <w:rPr>
                <w:color w:val="222222"/>
                <w:spacing w:val="-19"/>
              </w:rPr>
              <w:t>·</w:t>
            </w:r>
            <w:r>
              <w:rPr>
                <w:color w:val="222222"/>
                <w:spacing w:val="-23"/>
              </w:rPr>
              <w:t xml:space="preserve"> </w:t>
            </w:r>
            <w:r>
              <w:rPr>
                <w:color w:val="222222"/>
                <w:spacing w:val="-19"/>
              </w:rPr>
              <w:t>·</w:t>
            </w:r>
            <w:r>
              <w:rPr>
                <w:color w:val="222222"/>
                <w:spacing w:val="-23"/>
              </w:rPr>
              <w:t xml:space="preserve"> </w:t>
            </w:r>
            <w:r>
              <w:rPr>
                <w:color w:val="222222"/>
                <w:spacing w:val="-19"/>
              </w:rPr>
              <w:t>·</w:t>
            </w:r>
            <w:r>
              <w:rPr>
                <w:color w:val="222222"/>
                <w:spacing w:val="-82"/>
              </w:rPr>
              <w:t xml:space="preserve"> </w:t>
            </w:r>
            <w:r>
              <w:rPr>
                <w:color w:val="222222"/>
                <w:spacing w:val="-19"/>
              </w:rPr>
              <w:t>,</w:t>
            </w:r>
            <w:r>
              <w:rPr>
                <w:color w:val="222222"/>
                <w:spacing w:val="62"/>
              </w:rPr>
              <w:t xml:space="preserve"> </w:t>
            </w:r>
            <w:r>
              <w:rPr>
                <w:color w:val="222222"/>
                <w:spacing w:val="-19"/>
              </w:rPr>
              <w:t>为使资产达到预定可</w:t>
            </w:r>
            <w:r>
              <w:rPr>
                <w:color w:val="222222"/>
                <w:spacing w:val="2"/>
              </w:rPr>
              <w:t>使用或者可销售状态所必要的购建或者生产活动已经开始(实</w:t>
            </w:r>
            <w:r>
              <w:rPr>
                <w:color w:val="222222"/>
                <w:spacing w:val="1"/>
              </w:rPr>
              <w:t>体建造或</w:t>
            </w:r>
            <w:r>
              <w:rPr>
                <w:color w:val="222222"/>
              </w:rPr>
              <w:t>生产工作已经开始)。</w:t>
            </w:r>
          </w:p>
        </w:tc>
      </w:tr>
    </w:tbl>
    <w:p w14:paraId="4D53013F">
      <w:pPr>
        <w:rPr>
          <w:rFonts w:ascii="Arial"/>
          <w:sz w:val="21"/>
        </w:rPr>
      </w:pPr>
    </w:p>
    <w:p w14:paraId="785A4D36">
      <w:pPr>
        <w:rPr>
          <w:rFonts w:ascii="Arial" w:hAnsi="Arial" w:eastAsia="Arial" w:cs="Arial"/>
          <w:sz w:val="21"/>
          <w:szCs w:val="21"/>
        </w:rPr>
        <w:sectPr>
          <w:footerReference r:id="rId16" w:type="default"/>
          <w:pgSz w:w="11900" w:h="16840"/>
          <w:pgMar w:top="865" w:right="308" w:bottom="941" w:left="293" w:header="397" w:footer="585" w:gutter="0"/>
          <w:cols w:space="720" w:num="1"/>
        </w:sectPr>
      </w:pPr>
    </w:p>
    <w:p w14:paraId="15222217">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450F0E82">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9" w:hRule="atLeast"/>
        </w:trPr>
        <w:tc>
          <w:tcPr>
            <w:tcW w:w="1021" w:type="dxa"/>
            <w:vAlign w:val="top"/>
          </w:tcPr>
          <w:p w14:paraId="67797E38">
            <w:pPr>
              <w:pStyle w:val="6"/>
              <w:spacing w:before="144" w:line="221" w:lineRule="auto"/>
              <w:ind w:left="285"/>
            </w:pPr>
            <w:r>
              <w:rPr>
                <w:color w:val="222222"/>
              </w:rPr>
              <w:t>章</w:t>
            </w:r>
          </w:p>
        </w:tc>
        <w:tc>
          <w:tcPr>
            <w:tcW w:w="2019" w:type="dxa"/>
            <w:vAlign w:val="top"/>
          </w:tcPr>
          <w:p w14:paraId="3E75848D">
            <w:pPr>
              <w:pStyle w:val="6"/>
              <w:spacing w:before="144" w:line="222" w:lineRule="auto"/>
              <w:ind w:left="885"/>
            </w:pPr>
            <w:r>
              <w:rPr>
                <w:color w:val="222222"/>
              </w:rPr>
              <w:t>节</w:t>
            </w:r>
          </w:p>
        </w:tc>
        <w:tc>
          <w:tcPr>
            <w:tcW w:w="7056" w:type="dxa"/>
            <w:vAlign w:val="top"/>
          </w:tcPr>
          <w:p w14:paraId="11ABB76D">
            <w:pPr>
              <w:pStyle w:val="6"/>
              <w:spacing w:before="145" w:line="221" w:lineRule="auto"/>
              <w:ind w:left="3073"/>
            </w:pPr>
            <w:r>
              <w:rPr>
                <w:color w:val="222222"/>
                <w:spacing w:val="-1"/>
              </w:rPr>
              <w:t>变化说明</w:t>
            </w:r>
          </w:p>
        </w:tc>
      </w:tr>
      <w:tr w14:paraId="4A27B143">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38" w:hRule="atLeast"/>
        </w:trPr>
        <w:tc>
          <w:tcPr>
            <w:tcW w:w="1021" w:type="dxa"/>
            <w:vMerge w:val="restart"/>
            <w:tcBorders>
              <w:bottom w:val="nil"/>
            </w:tcBorders>
            <w:vAlign w:val="top"/>
          </w:tcPr>
          <w:p w14:paraId="561E0E62">
            <w:pPr>
              <w:spacing w:line="332" w:lineRule="auto"/>
              <w:rPr>
                <w:rFonts w:ascii="Arial"/>
                <w:sz w:val="21"/>
              </w:rPr>
            </w:pPr>
          </w:p>
          <w:p w14:paraId="00744551">
            <w:pPr>
              <w:pStyle w:val="6"/>
              <w:spacing w:before="71" w:line="282" w:lineRule="auto"/>
              <w:ind w:left="73" w:right="389" w:hanging="7"/>
            </w:pPr>
            <w:r>
              <w:rPr>
                <w:color w:val="222222"/>
                <w:spacing w:val="-2"/>
              </w:rPr>
              <w:t>第8章</w:t>
            </w:r>
            <w:r>
              <w:rPr>
                <w:color w:val="222222"/>
                <w:spacing w:val="-7"/>
              </w:rPr>
              <w:t>收入</w:t>
            </w:r>
          </w:p>
        </w:tc>
        <w:tc>
          <w:tcPr>
            <w:tcW w:w="2019" w:type="dxa"/>
            <w:vAlign w:val="top"/>
          </w:tcPr>
          <w:p w14:paraId="49B49941">
            <w:pPr>
              <w:pStyle w:val="6"/>
              <w:spacing w:before="139" w:line="282" w:lineRule="auto"/>
              <w:ind w:left="57" w:right="205"/>
            </w:pPr>
            <w:r>
              <w:rPr>
                <w:color w:val="222222"/>
                <w:spacing w:val="-5"/>
              </w:rPr>
              <w:t>8.1</w:t>
            </w:r>
            <w:r>
              <w:rPr>
                <w:color w:val="222222"/>
                <w:spacing w:val="19"/>
              </w:rPr>
              <w:t xml:space="preserve"> </w:t>
            </w:r>
            <w:r>
              <w:rPr>
                <w:color w:val="222222"/>
                <w:spacing w:val="-5"/>
              </w:rPr>
              <w:t>收入的分类、</w:t>
            </w:r>
            <w:r>
              <w:rPr>
                <w:color w:val="222222"/>
              </w:rPr>
              <w:t>确认及计量</w:t>
            </w:r>
          </w:p>
        </w:tc>
        <w:tc>
          <w:tcPr>
            <w:tcW w:w="7056" w:type="dxa"/>
            <w:vAlign w:val="top"/>
          </w:tcPr>
          <w:p w14:paraId="12536012">
            <w:pPr>
              <w:pStyle w:val="6"/>
              <w:spacing w:before="306" w:line="221" w:lineRule="auto"/>
              <w:ind w:left="52"/>
            </w:pPr>
            <w:r>
              <w:rPr>
                <w:color w:val="A50021"/>
                <w:spacing w:val="4"/>
                <w:u w:val="single" w:color="auto"/>
              </w:rPr>
              <w:t>P101 8.1.1 收入的概念及特点 删除“狭义与广义收入定义</w:t>
            </w:r>
            <w:r>
              <w:rPr>
                <w:color w:val="A50021"/>
                <w:spacing w:val="-77"/>
                <w:u w:val="single" w:color="auto"/>
              </w:rPr>
              <w:t xml:space="preserve"> </w:t>
            </w:r>
            <w:r>
              <w:rPr>
                <w:color w:val="A50021"/>
                <w:spacing w:val="4"/>
                <w:u w:val="single" w:color="auto"/>
              </w:rPr>
              <w:t>”</w:t>
            </w:r>
          </w:p>
        </w:tc>
      </w:tr>
      <w:tr w14:paraId="0A17B14E">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9" w:hRule="atLeast"/>
        </w:trPr>
        <w:tc>
          <w:tcPr>
            <w:tcW w:w="1021" w:type="dxa"/>
            <w:vMerge w:val="continue"/>
            <w:tcBorders>
              <w:top w:val="nil"/>
            </w:tcBorders>
            <w:vAlign w:val="top"/>
          </w:tcPr>
          <w:p w14:paraId="6B4B209A">
            <w:pPr>
              <w:rPr>
                <w:rFonts w:ascii="Arial"/>
                <w:sz w:val="21"/>
              </w:rPr>
            </w:pPr>
          </w:p>
        </w:tc>
        <w:tc>
          <w:tcPr>
            <w:tcW w:w="2019" w:type="dxa"/>
            <w:vAlign w:val="top"/>
          </w:tcPr>
          <w:p w14:paraId="1EF1F2AC">
            <w:pPr>
              <w:pStyle w:val="6"/>
              <w:spacing w:before="148" w:line="221" w:lineRule="auto"/>
              <w:ind w:left="58"/>
            </w:pPr>
            <w:r>
              <w:rPr>
                <w:color w:val="222222"/>
              </w:rPr>
              <w:t>8.2 建造合同收入</w:t>
            </w:r>
          </w:p>
        </w:tc>
        <w:tc>
          <w:tcPr>
            <w:tcW w:w="7056" w:type="dxa"/>
            <w:vAlign w:val="top"/>
          </w:tcPr>
          <w:p w14:paraId="2A78FCE9">
            <w:pPr>
              <w:pStyle w:val="6"/>
              <w:spacing w:before="148" w:line="222" w:lineRule="auto"/>
              <w:ind w:left="63"/>
            </w:pPr>
            <w:r>
              <w:rPr>
                <w:color w:val="222222"/>
                <w:spacing w:val="-2"/>
              </w:rPr>
              <w:t>无变化</w:t>
            </w:r>
          </w:p>
        </w:tc>
      </w:tr>
    </w:tbl>
    <w:p w14:paraId="3C752548">
      <w:pPr>
        <w:spacing w:line="166" w:lineRule="exact"/>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37B54B40">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1F477AE7">
            <w:pPr>
              <w:pStyle w:val="6"/>
              <w:spacing w:before="144" w:line="221" w:lineRule="auto"/>
              <w:ind w:left="285"/>
            </w:pPr>
            <w:r>
              <w:rPr>
                <w:color w:val="222222"/>
              </w:rPr>
              <w:t>章</w:t>
            </w:r>
          </w:p>
        </w:tc>
        <w:tc>
          <w:tcPr>
            <w:tcW w:w="2019" w:type="dxa"/>
            <w:vAlign w:val="top"/>
          </w:tcPr>
          <w:p w14:paraId="333CDD5A">
            <w:pPr>
              <w:pStyle w:val="6"/>
              <w:spacing w:before="144" w:line="222" w:lineRule="auto"/>
              <w:ind w:left="885"/>
            </w:pPr>
            <w:r>
              <w:rPr>
                <w:color w:val="222222"/>
              </w:rPr>
              <w:t>节</w:t>
            </w:r>
          </w:p>
        </w:tc>
        <w:tc>
          <w:tcPr>
            <w:tcW w:w="7056" w:type="dxa"/>
            <w:vAlign w:val="top"/>
          </w:tcPr>
          <w:p w14:paraId="37BC4BBB">
            <w:pPr>
              <w:pStyle w:val="6"/>
              <w:spacing w:before="145" w:line="221" w:lineRule="auto"/>
              <w:ind w:left="3073"/>
            </w:pPr>
            <w:r>
              <w:rPr>
                <w:color w:val="222222"/>
                <w:spacing w:val="-1"/>
              </w:rPr>
              <w:t>变化说明</w:t>
            </w:r>
          </w:p>
        </w:tc>
      </w:tr>
      <w:tr w14:paraId="0A15637B">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2839" w:hRule="atLeast"/>
        </w:trPr>
        <w:tc>
          <w:tcPr>
            <w:tcW w:w="1021" w:type="dxa"/>
            <w:vMerge w:val="restart"/>
            <w:tcBorders>
              <w:bottom w:val="nil"/>
            </w:tcBorders>
            <w:vAlign w:val="top"/>
          </w:tcPr>
          <w:p w14:paraId="1C8E0157">
            <w:pPr>
              <w:spacing w:line="268" w:lineRule="auto"/>
              <w:rPr>
                <w:rFonts w:ascii="Arial"/>
                <w:sz w:val="21"/>
              </w:rPr>
            </w:pPr>
          </w:p>
          <w:p w14:paraId="4E724DC8">
            <w:pPr>
              <w:spacing w:line="269" w:lineRule="auto"/>
              <w:rPr>
                <w:rFonts w:ascii="Arial"/>
                <w:sz w:val="21"/>
              </w:rPr>
            </w:pPr>
          </w:p>
          <w:p w14:paraId="4ED8C49F">
            <w:pPr>
              <w:spacing w:line="269" w:lineRule="auto"/>
              <w:rPr>
                <w:rFonts w:ascii="Arial"/>
                <w:sz w:val="21"/>
              </w:rPr>
            </w:pPr>
          </w:p>
          <w:p w14:paraId="26EEC147">
            <w:pPr>
              <w:spacing w:line="269" w:lineRule="auto"/>
              <w:rPr>
                <w:rFonts w:ascii="Arial"/>
                <w:sz w:val="21"/>
              </w:rPr>
            </w:pPr>
          </w:p>
          <w:p w14:paraId="1C6E8B21">
            <w:pPr>
              <w:spacing w:line="269" w:lineRule="auto"/>
              <w:rPr>
                <w:rFonts w:ascii="Arial"/>
                <w:sz w:val="21"/>
              </w:rPr>
            </w:pPr>
          </w:p>
          <w:p w14:paraId="5958B046">
            <w:pPr>
              <w:spacing w:line="269" w:lineRule="auto"/>
              <w:rPr>
                <w:rFonts w:ascii="Arial"/>
                <w:sz w:val="21"/>
              </w:rPr>
            </w:pPr>
          </w:p>
          <w:p w14:paraId="66416C60">
            <w:pPr>
              <w:spacing w:line="269" w:lineRule="auto"/>
              <w:rPr>
                <w:rFonts w:ascii="Arial"/>
                <w:sz w:val="21"/>
              </w:rPr>
            </w:pPr>
          </w:p>
          <w:p w14:paraId="62BAA15E">
            <w:pPr>
              <w:spacing w:line="269" w:lineRule="auto"/>
              <w:rPr>
                <w:rFonts w:ascii="Arial"/>
                <w:sz w:val="21"/>
              </w:rPr>
            </w:pPr>
          </w:p>
          <w:p w14:paraId="62B8B5FE">
            <w:pPr>
              <w:pStyle w:val="6"/>
              <w:spacing w:before="71" w:line="281" w:lineRule="auto"/>
              <w:ind w:left="66" w:right="277"/>
            </w:pPr>
            <w:r>
              <w:rPr>
                <w:color w:val="222222"/>
                <w:spacing w:val="-2"/>
              </w:rPr>
              <w:t>第9章利润与所得税</w:t>
            </w:r>
            <w:r>
              <w:rPr>
                <w:color w:val="222222"/>
                <w:spacing w:val="-3"/>
              </w:rPr>
              <w:t>费用</w:t>
            </w:r>
          </w:p>
        </w:tc>
        <w:tc>
          <w:tcPr>
            <w:tcW w:w="2019" w:type="dxa"/>
            <w:vAlign w:val="top"/>
          </w:tcPr>
          <w:p w14:paraId="1AB99A00">
            <w:pPr>
              <w:spacing w:line="244" w:lineRule="auto"/>
              <w:rPr>
                <w:rFonts w:ascii="Arial"/>
                <w:sz w:val="21"/>
              </w:rPr>
            </w:pPr>
          </w:p>
          <w:p w14:paraId="1E2E3E92">
            <w:pPr>
              <w:spacing w:line="244" w:lineRule="auto"/>
              <w:rPr>
                <w:rFonts w:ascii="Arial"/>
                <w:sz w:val="21"/>
              </w:rPr>
            </w:pPr>
          </w:p>
          <w:p w14:paraId="6A91BCF4">
            <w:pPr>
              <w:spacing w:line="245" w:lineRule="auto"/>
              <w:rPr>
                <w:rFonts w:ascii="Arial"/>
                <w:sz w:val="21"/>
              </w:rPr>
            </w:pPr>
          </w:p>
          <w:p w14:paraId="0BCDB2EB">
            <w:pPr>
              <w:spacing w:line="245" w:lineRule="auto"/>
              <w:rPr>
                <w:rFonts w:ascii="Arial"/>
                <w:sz w:val="21"/>
              </w:rPr>
            </w:pPr>
          </w:p>
          <w:p w14:paraId="593B3CB2">
            <w:pPr>
              <w:spacing w:line="245" w:lineRule="auto"/>
              <w:rPr>
                <w:rFonts w:ascii="Arial"/>
                <w:sz w:val="21"/>
              </w:rPr>
            </w:pPr>
          </w:p>
          <w:p w14:paraId="4D36D4F3">
            <w:pPr>
              <w:pStyle w:val="6"/>
              <w:spacing w:before="71" w:line="222" w:lineRule="auto"/>
              <w:ind w:left="58"/>
            </w:pPr>
            <w:r>
              <w:rPr>
                <w:color w:val="222222"/>
                <w:spacing w:val="-3"/>
              </w:rPr>
              <w:t>9.1</w:t>
            </w:r>
            <w:r>
              <w:rPr>
                <w:color w:val="222222"/>
                <w:spacing w:val="11"/>
              </w:rPr>
              <w:t xml:space="preserve"> </w:t>
            </w:r>
            <w:r>
              <w:rPr>
                <w:color w:val="222222"/>
                <w:spacing w:val="-3"/>
              </w:rPr>
              <w:t>利润</w:t>
            </w:r>
          </w:p>
        </w:tc>
        <w:tc>
          <w:tcPr>
            <w:tcW w:w="7056" w:type="dxa"/>
            <w:vAlign w:val="top"/>
          </w:tcPr>
          <w:p w14:paraId="6313482F">
            <w:pPr>
              <w:pStyle w:val="6"/>
              <w:spacing w:before="135" w:line="221" w:lineRule="auto"/>
              <w:ind w:left="52"/>
            </w:pPr>
            <w:r>
              <w:rPr>
                <w:color w:val="A50021"/>
                <w:spacing w:val="1"/>
                <w:u w:val="single" w:color="auto"/>
              </w:rPr>
              <w:t>P109：9.1.1 利润的概念 利得和损失分类删除</w:t>
            </w:r>
          </w:p>
          <w:p w14:paraId="2E42100D">
            <w:pPr>
              <w:pStyle w:val="6"/>
              <w:spacing w:before="69" w:line="280" w:lineRule="auto"/>
              <w:ind w:left="60" w:right="209" w:hanging="8"/>
            </w:pPr>
            <w:r>
              <w:rPr>
                <w:color w:val="A50021"/>
                <w:spacing w:val="1"/>
                <w:u w:val="single" w:color="auto"/>
              </w:rPr>
              <w:t>P109-110 9.1.2 利润的计算 1.营业利润</w:t>
            </w:r>
            <w:r>
              <w:rPr>
                <w:color w:val="A50021"/>
                <w:spacing w:val="24"/>
                <w:u w:val="single" w:color="auto"/>
              </w:rPr>
              <w:t xml:space="preserve"> </w:t>
            </w:r>
            <w:r>
              <w:rPr>
                <w:color w:val="A50021"/>
                <w:spacing w:val="1"/>
                <w:u w:val="single" w:color="auto"/>
              </w:rPr>
              <w:t>新增计算公式，内容描述上</w:t>
            </w:r>
            <w:r>
              <w:rPr>
                <w:color w:val="A50021"/>
                <w:spacing w:val="4"/>
                <w:u w:val="single" w:color="auto"/>
              </w:rPr>
              <w:t>也有所变化。</w:t>
            </w:r>
          </w:p>
          <w:p w14:paraId="7C755BD6">
            <w:pPr>
              <w:pStyle w:val="6"/>
              <w:spacing w:line="221" w:lineRule="auto"/>
              <w:ind w:left="100"/>
            </w:pPr>
            <w:r>
              <w:rPr>
                <w:color w:val="222222"/>
                <w:spacing w:val="-1"/>
              </w:rPr>
              <w:t>(1)已执行新金融准则或新收入准则的企业</w:t>
            </w:r>
          </w:p>
          <w:p w14:paraId="0AAF4794">
            <w:pPr>
              <w:pStyle w:val="6"/>
              <w:spacing w:before="68" w:line="281" w:lineRule="auto"/>
              <w:ind w:left="61" w:right="93" w:firstLine="6"/>
            </w:pPr>
            <w:r>
              <w:rPr>
                <w:color w:val="222222"/>
                <w:spacing w:val="2"/>
              </w:rPr>
              <w:t>营业利润=营业收入一营业成本一税金及附加一</w:t>
            </w:r>
            <w:r>
              <w:rPr>
                <w:color w:val="222222"/>
                <w:spacing w:val="1"/>
              </w:rPr>
              <w:t>销售费用一管理费用一</w:t>
            </w:r>
            <w:r>
              <w:rPr>
                <w:color w:val="222222"/>
                <w:spacing w:val="2"/>
              </w:rPr>
              <w:t>研发费用一财务费用一资产减值损失一信用减值损失+其他收益</w:t>
            </w:r>
            <w:r>
              <w:rPr>
                <w:color w:val="222222"/>
                <w:spacing w:val="1"/>
              </w:rPr>
              <w:t>+投资收</w:t>
            </w:r>
            <w:r>
              <w:rPr>
                <w:color w:val="222222"/>
                <w:spacing w:val="2"/>
              </w:rPr>
              <w:t>益(损失为负)+ 净敞口套期收益(损失为负)+公允</w:t>
            </w:r>
            <w:r>
              <w:rPr>
                <w:color w:val="222222"/>
                <w:spacing w:val="1"/>
              </w:rPr>
              <w:t>价值变动收益(损失为负)+资产处置 收益(损失为负)</w:t>
            </w:r>
          </w:p>
        </w:tc>
      </w:tr>
      <w:tr w14:paraId="2315643C">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2850" w:hRule="atLeast"/>
        </w:trPr>
        <w:tc>
          <w:tcPr>
            <w:tcW w:w="1021" w:type="dxa"/>
            <w:vMerge w:val="continue"/>
            <w:tcBorders>
              <w:top w:val="nil"/>
            </w:tcBorders>
            <w:vAlign w:val="top"/>
          </w:tcPr>
          <w:p w14:paraId="7BCCF40F">
            <w:pPr>
              <w:rPr>
                <w:rFonts w:ascii="Arial"/>
                <w:sz w:val="21"/>
              </w:rPr>
            </w:pPr>
          </w:p>
        </w:tc>
        <w:tc>
          <w:tcPr>
            <w:tcW w:w="2019" w:type="dxa"/>
            <w:vAlign w:val="top"/>
          </w:tcPr>
          <w:p w14:paraId="76FB00BB">
            <w:pPr>
              <w:spacing w:line="246" w:lineRule="auto"/>
              <w:rPr>
                <w:rFonts w:ascii="Arial"/>
                <w:sz w:val="21"/>
              </w:rPr>
            </w:pPr>
          </w:p>
          <w:p w14:paraId="02F150E2">
            <w:pPr>
              <w:spacing w:line="246" w:lineRule="auto"/>
              <w:rPr>
                <w:rFonts w:ascii="Arial"/>
                <w:sz w:val="21"/>
              </w:rPr>
            </w:pPr>
          </w:p>
          <w:p w14:paraId="3FCBF0B3">
            <w:pPr>
              <w:spacing w:line="246" w:lineRule="auto"/>
              <w:rPr>
                <w:rFonts w:ascii="Arial"/>
                <w:sz w:val="21"/>
              </w:rPr>
            </w:pPr>
          </w:p>
          <w:p w14:paraId="31F70A3D">
            <w:pPr>
              <w:spacing w:line="247" w:lineRule="auto"/>
              <w:rPr>
                <w:rFonts w:ascii="Arial"/>
                <w:sz w:val="21"/>
              </w:rPr>
            </w:pPr>
          </w:p>
          <w:p w14:paraId="2BE3B7AE">
            <w:pPr>
              <w:spacing w:line="247" w:lineRule="auto"/>
              <w:rPr>
                <w:rFonts w:ascii="Arial"/>
                <w:sz w:val="21"/>
              </w:rPr>
            </w:pPr>
          </w:p>
          <w:p w14:paraId="4027A984">
            <w:pPr>
              <w:pStyle w:val="6"/>
              <w:spacing w:before="72" w:line="221" w:lineRule="auto"/>
              <w:ind w:left="58"/>
            </w:pPr>
            <w:r>
              <w:rPr>
                <w:color w:val="222222"/>
              </w:rPr>
              <w:t>9.2 所得税费用</w:t>
            </w:r>
          </w:p>
        </w:tc>
        <w:tc>
          <w:tcPr>
            <w:tcW w:w="7056" w:type="dxa"/>
            <w:vAlign w:val="top"/>
          </w:tcPr>
          <w:p w14:paraId="24E2E07A">
            <w:pPr>
              <w:pStyle w:val="6"/>
              <w:spacing w:before="144" w:line="280" w:lineRule="auto"/>
              <w:ind w:left="52" w:right="529"/>
            </w:pPr>
            <w:r>
              <w:rPr>
                <w:color w:val="A50021"/>
                <w:spacing w:val="2"/>
                <w:u w:val="single" w:color="auto"/>
              </w:rPr>
              <w:t>P113~115：9.2.2 所得税的计税基础 2.扣除 整体内容变</w:t>
            </w:r>
            <w:r>
              <w:rPr>
                <w:color w:val="A50021"/>
                <w:spacing w:val="1"/>
                <w:u w:val="single" w:color="auto"/>
              </w:rPr>
              <w:t>化较大。</w:t>
            </w:r>
            <w:r>
              <w:rPr>
                <w:color w:val="A50021"/>
              </w:rPr>
              <w:t xml:space="preserve"> </w:t>
            </w:r>
            <w:r>
              <w:rPr>
                <w:color w:val="A50021"/>
                <w:spacing w:val="2"/>
                <w:u w:val="single" w:color="auto"/>
              </w:rPr>
              <w:t>P116：9.2.2 所得税的计税基础 3.应纳税额 新增两句话。</w:t>
            </w:r>
          </w:p>
          <w:p w14:paraId="76CE2123">
            <w:pPr>
              <w:pStyle w:val="6"/>
              <w:spacing w:before="3" w:line="279" w:lineRule="auto"/>
              <w:ind w:left="55" w:right="93" w:firstLine="4"/>
              <w:jc w:val="both"/>
            </w:pPr>
            <w:r>
              <w:rPr>
                <w:color w:val="222222"/>
                <w:spacing w:val="2"/>
              </w:rPr>
              <w:t>超过抵免限 额的部分，可以在以后5个年度内，用每年度抵免限</w:t>
            </w:r>
            <w:r>
              <w:rPr>
                <w:color w:val="222222"/>
                <w:spacing w:val="1"/>
              </w:rPr>
              <w:t>额抵免</w:t>
            </w:r>
            <w:r>
              <w:rPr>
                <w:color w:val="222222"/>
                <w:spacing w:val="2"/>
              </w:rPr>
              <w:t>当年应抵税额后的余额进行 抵补：</w:t>
            </w:r>
            <w:r>
              <w:rPr>
                <w:color w:val="A50021"/>
                <w:spacing w:val="2"/>
                <w:u w:val="single" w:color="auto"/>
              </w:rPr>
              <w:t>①居民企业来源于中国境外</w:t>
            </w:r>
            <w:r>
              <w:rPr>
                <w:color w:val="A50021"/>
                <w:spacing w:val="1"/>
                <w:u w:val="single" w:color="auto"/>
              </w:rPr>
              <w:t>的应税</w:t>
            </w:r>
            <w:r>
              <w:rPr>
                <w:color w:val="A50021"/>
                <w:spacing w:val="3"/>
                <w:u w:val="single" w:color="auto"/>
              </w:rPr>
              <w:t>所得；</w:t>
            </w:r>
          </w:p>
          <w:p w14:paraId="7EBA1F8C">
            <w:pPr>
              <w:pStyle w:val="6"/>
              <w:spacing w:before="2" w:line="279" w:lineRule="auto"/>
              <w:ind w:left="54" w:right="98"/>
            </w:pPr>
            <w:r>
              <w:rPr>
                <w:color w:val="A50021"/>
                <w:spacing w:val="2"/>
                <w:u w:val="single" w:color="auto"/>
              </w:rPr>
              <w:t>②非居民企业在中国境内设立机构、场所，取得发生在中国境外但与该</w:t>
            </w:r>
            <w:r>
              <w:rPr>
                <w:color w:val="A50021"/>
                <w:spacing w:val="3"/>
                <w:u w:val="single" w:color="auto"/>
              </w:rPr>
              <w:t>机构、场所有实际联系的应税所得。</w:t>
            </w:r>
          </w:p>
          <w:p w14:paraId="54BAE019">
            <w:pPr>
              <w:pStyle w:val="6"/>
              <w:spacing w:line="221" w:lineRule="auto"/>
              <w:ind w:left="52"/>
            </w:pPr>
            <w:r>
              <w:rPr>
                <w:color w:val="A50021"/>
                <w:spacing w:val="1"/>
                <w:u w:val="single" w:color="auto"/>
              </w:rPr>
              <w:t>P119：9.2.4 税收优惠</w:t>
            </w:r>
            <w:r>
              <w:rPr>
                <w:color w:val="A50021"/>
                <w:spacing w:val="39"/>
                <w:u w:val="single" w:color="auto"/>
              </w:rPr>
              <w:t xml:space="preserve"> </w:t>
            </w:r>
            <w:r>
              <w:rPr>
                <w:color w:val="A50021"/>
                <w:spacing w:val="1"/>
                <w:u w:val="single" w:color="auto"/>
              </w:rPr>
              <w:t>内容有调整。</w:t>
            </w:r>
          </w:p>
        </w:tc>
      </w:tr>
    </w:tbl>
    <w:p w14:paraId="05DF03AF">
      <w:pPr>
        <w:spacing w:line="166" w:lineRule="exact"/>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02723319">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2" w:hRule="atLeast"/>
        </w:trPr>
        <w:tc>
          <w:tcPr>
            <w:tcW w:w="1021" w:type="dxa"/>
            <w:vAlign w:val="top"/>
          </w:tcPr>
          <w:p w14:paraId="0E536E3C">
            <w:pPr>
              <w:pStyle w:val="6"/>
              <w:spacing w:before="144" w:line="221" w:lineRule="auto"/>
              <w:ind w:left="285"/>
            </w:pPr>
            <w:r>
              <w:rPr>
                <w:color w:val="222222"/>
              </w:rPr>
              <w:t>章</w:t>
            </w:r>
          </w:p>
        </w:tc>
        <w:tc>
          <w:tcPr>
            <w:tcW w:w="2019" w:type="dxa"/>
            <w:vAlign w:val="top"/>
          </w:tcPr>
          <w:p w14:paraId="6CB61C57">
            <w:pPr>
              <w:pStyle w:val="6"/>
              <w:spacing w:before="144" w:line="222" w:lineRule="auto"/>
              <w:ind w:left="885"/>
            </w:pPr>
            <w:r>
              <w:rPr>
                <w:color w:val="222222"/>
              </w:rPr>
              <w:t>节</w:t>
            </w:r>
          </w:p>
        </w:tc>
        <w:tc>
          <w:tcPr>
            <w:tcW w:w="7056" w:type="dxa"/>
            <w:vAlign w:val="top"/>
          </w:tcPr>
          <w:p w14:paraId="36BE2449">
            <w:pPr>
              <w:pStyle w:val="6"/>
              <w:spacing w:before="145" w:line="221" w:lineRule="auto"/>
              <w:ind w:left="3073"/>
            </w:pPr>
            <w:r>
              <w:rPr>
                <w:color w:val="222222"/>
                <w:spacing w:val="-1"/>
              </w:rPr>
              <w:t>变化说明</w:t>
            </w:r>
          </w:p>
        </w:tc>
      </w:tr>
      <w:tr w14:paraId="274255D7">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3501" w:hRule="atLeast"/>
        </w:trPr>
        <w:tc>
          <w:tcPr>
            <w:tcW w:w="1021" w:type="dxa"/>
            <w:vMerge w:val="restart"/>
            <w:tcBorders>
              <w:bottom w:val="nil"/>
            </w:tcBorders>
            <w:vAlign w:val="top"/>
          </w:tcPr>
          <w:p w14:paraId="29BD74B4">
            <w:pPr>
              <w:spacing w:line="276" w:lineRule="auto"/>
              <w:rPr>
                <w:rFonts w:ascii="Arial"/>
                <w:sz w:val="21"/>
              </w:rPr>
            </w:pPr>
          </w:p>
          <w:p w14:paraId="3BB5F472">
            <w:pPr>
              <w:spacing w:line="276" w:lineRule="auto"/>
              <w:rPr>
                <w:rFonts w:ascii="Arial"/>
                <w:sz w:val="21"/>
              </w:rPr>
            </w:pPr>
          </w:p>
          <w:p w14:paraId="24BF4869">
            <w:pPr>
              <w:spacing w:line="276" w:lineRule="auto"/>
              <w:rPr>
                <w:rFonts w:ascii="Arial"/>
                <w:sz w:val="21"/>
              </w:rPr>
            </w:pPr>
          </w:p>
          <w:p w14:paraId="6AD5D4AB">
            <w:pPr>
              <w:spacing w:line="276" w:lineRule="auto"/>
              <w:rPr>
                <w:rFonts w:ascii="Arial"/>
                <w:sz w:val="21"/>
              </w:rPr>
            </w:pPr>
          </w:p>
          <w:p w14:paraId="03D6585D">
            <w:pPr>
              <w:spacing w:line="276" w:lineRule="auto"/>
              <w:rPr>
                <w:rFonts w:ascii="Arial"/>
                <w:sz w:val="21"/>
              </w:rPr>
            </w:pPr>
          </w:p>
          <w:p w14:paraId="1516AF6A">
            <w:pPr>
              <w:spacing w:line="276" w:lineRule="auto"/>
              <w:rPr>
                <w:rFonts w:ascii="Arial"/>
                <w:sz w:val="21"/>
              </w:rPr>
            </w:pPr>
          </w:p>
          <w:p w14:paraId="0D8706BC">
            <w:pPr>
              <w:pStyle w:val="6"/>
              <w:spacing w:before="72" w:line="281" w:lineRule="auto"/>
              <w:ind w:left="66" w:right="277"/>
              <w:jc w:val="both"/>
            </w:pPr>
            <w:r>
              <w:rPr>
                <w:color w:val="222222"/>
                <w:spacing w:val="-1"/>
              </w:rPr>
              <w:t>第10章</w:t>
            </w:r>
            <w:r>
              <w:rPr>
                <w:color w:val="222222"/>
                <w:spacing w:val="-2"/>
              </w:rPr>
              <w:t>财务分</w:t>
            </w:r>
            <w:r>
              <w:rPr>
                <w:color w:val="222222"/>
              </w:rPr>
              <w:t>析</w:t>
            </w:r>
          </w:p>
        </w:tc>
        <w:tc>
          <w:tcPr>
            <w:tcW w:w="2019" w:type="dxa"/>
            <w:vAlign w:val="top"/>
          </w:tcPr>
          <w:p w14:paraId="4E68FCE1">
            <w:pPr>
              <w:spacing w:line="278" w:lineRule="auto"/>
              <w:rPr>
                <w:rFonts w:ascii="Arial"/>
                <w:sz w:val="21"/>
              </w:rPr>
            </w:pPr>
          </w:p>
          <w:p w14:paraId="65093A84">
            <w:pPr>
              <w:spacing w:line="278" w:lineRule="auto"/>
              <w:rPr>
                <w:rFonts w:ascii="Arial"/>
                <w:sz w:val="21"/>
              </w:rPr>
            </w:pPr>
          </w:p>
          <w:p w14:paraId="0EBB40E3">
            <w:pPr>
              <w:spacing w:line="278" w:lineRule="auto"/>
              <w:rPr>
                <w:rFonts w:ascii="Arial"/>
                <w:sz w:val="21"/>
              </w:rPr>
            </w:pPr>
          </w:p>
          <w:p w14:paraId="66ACBD6F">
            <w:pPr>
              <w:spacing w:line="278" w:lineRule="auto"/>
              <w:rPr>
                <w:rFonts w:ascii="Arial"/>
                <w:sz w:val="21"/>
              </w:rPr>
            </w:pPr>
          </w:p>
          <w:p w14:paraId="0C465E85">
            <w:pPr>
              <w:spacing w:line="279" w:lineRule="auto"/>
              <w:rPr>
                <w:rFonts w:ascii="Arial"/>
                <w:sz w:val="21"/>
              </w:rPr>
            </w:pPr>
          </w:p>
          <w:p w14:paraId="372B3CB4">
            <w:pPr>
              <w:pStyle w:val="6"/>
              <w:spacing w:before="71" w:line="281" w:lineRule="auto"/>
              <w:ind w:left="56" w:right="62" w:firstLine="17"/>
            </w:pPr>
            <w:r>
              <w:rPr>
                <w:color w:val="222222"/>
                <w:spacing w:val="-1"/>
              </w:rPr>
              <w:t>10.1 财务报告构成</w:t>
            </w:r>
            <w:r>
              <w:rPr>
                <w:color w:val="222222"/>
              </w:rPr>
              <w:t>及列报基本要求</w:t>
            </w:r>
          </w:p>
        </w:tc>
        <w:tc>
          <w:tcPr>
            <w:tcW w:w="7056" w:type="dxa"/>
            <w:vAlign w:val="top"/>
          </w:tcPr>
          <w:p w14:paraId="32848A64">
            <w:pPr>
              <w:pStyle w:val="6"/>
              <w:spacing w:before="136" w:line="220" w:lineRule="auto"/>
              <w:ind w:left="52"/>
            </w:pPr>
            <w:r>
              <w:rPr>
                <w:color w:val="A50021"/>
                <w:u w:val="single" w:color="auto"/>
              </w:rPr>
              <w:t>P121：10.1.1 财务报告</w:t>
            </w:r>
            <w:r>
              <w:rPr>
                <w:color w:val="A50021"/>
                <w:spacing w:val="51"/>
                <w:u w:val="single" w:color="auto"/>
              </w:rPr>
              <w:t xml:space="preserve"> </w:t>
            </w:r>
            <w:r>
              <w:rPr>
                <w:color w:val="A50021"/>
                <w:u w:val="single" w:color="auto"/>
              </w:rPr>
              <w:t>(1)利润表的内容 修改</w:t>
            </w:r>
            <w:r>
              <w:rPr>
                <w:color w:val="A50021"/>
                <w:spacing w:val="-1"/>
                <w:u w:val="single" w:color="auto"/>
              </w:rPr>
              <w:t>一句话</w:t>
            </w:r>
          </w:p>
          <w:p w14:paraId="1FC57B5D">
            <w:pPr>
              <w:pStyle w:val="6"/>
              <w:spacing w:before="71" w:line="280" w:lineRule="auto"/>
              <w:ind w:left="63" w:right="93"/>
            </w:pPr>
            <w:r>
              <w:rPr>
                <w:color w:val="222222"/>
                <w:spacing w:val="2"/>
              </w:rPr>
              <w:t>25版：②营业利润，营业收入减去营业成本、营业税金</w:t>
            </w:r>
            <w:r>
              <w:rPr>
                <w:color w:val="222222"/>
                <w:spacing w:val="1"/>
              </w:rPr>
              <w:t>及附加、销售费</w:t>
            </w:r>
            <w:r>
              <w:rPr>
                <w:color w:val="222222"/>
                <w:spacing w:val="2"/>
              </w:rPr>
              <w:t>用、管理费用、 财务费用、资产减值损失，加上公允</w:t>
            </w:r>
            <w:r>
              <w:rPr>
                <w:color w:val="222222"/>
                <w:spacing w:val="1"/>
              </w:rPr>
              <w:t>价值变动收益、</w:t>
            </w:r>
          </w:p>
          <w:p w14:paraId="6EE19788">
            <w:pPr>
              <w:pStyle w:val="6"/>
              <w:spacing w:line="221" w:lineRule="auto"/>
              <w:ind w:left="64"/>
            </w:pPr>
            <w:r>
              <w:rPr>
                <w:color w:val="222222"/>
                <w:spacing w:val="1"/>
              </w:rPr>
              <w:t>投资收益，即为营业利润。</w:t>
            </w:r>
          </w:p>
          <w:p w14:paraId="1E038F50">
            <w:pPr>
              <w:pStyle w:val="6"/>
              <w:spacing w:before="69" w:line="280" w:lineRule="auto"/>
              <w:ind w:left="66" w:right="106" w:hanging="2"/>
            </w:pPr>
            <w:r>
              <w:rPr>
                <w:color w:val="222222"/>
                <w:spacing w:val="1"/>
              </w:rPr>
              <w:t>26版：②营业利润，营业收入减去营业成本、税金及附加</w:t>
            </w:r>
            <w:r>
              <w:rPr>
                <w:color w:val="222222"/>
              </w:rPr>
              <w:t>、销售费用、</w:t>
            </w:r>
            <w:r>
              <w:rPr>
                <w:color w:val="222222"/>
                <w:spacing w:val="1"/>
              </w:rPr>
              <w:t>管理费用、</w:t>
            </w:r>
            <w:r>
              <w:rPr>
                <w:color w:val="A50021"/>
                <w:spacing w:val="1"/>
                <w:u w:val="single" w:color="auto"/>
              </w:rPr>
              <w:t>研发费用</w:t>
            </w:r>
            <w:r>
              <w:rPr>
                <w:color w:val="222222"/>
                <w:spacing w:val="1"/>
              </w:rPr>
              <w:t>、财务费用，</w:t>
            </w:r>
            <w:r>
              <w:rPr>
                <w:color w:val="A50021"/>
                <w:spacing w:val="1"/>
                <w:u w:val="single" w:color="auto"/>
              </w:rPr>
              <w:t>加上净敞口套期收益</w:t>
            </w:r>
            <w:r>
              <w:rPr>
                <w:color w:val="222222"/>
                <w:spacing w:val="1"/>
              </w:rPr>
              <w:t>、公允价值变动</w:t>
            </w:r>
            <w:r>
              <w:rPr>
                <w:color w:val="222222"/>
                <w:spacing w:val="2"/>
              </w:rPr>
              <w:t>收益、</w:t>
            </w:r>
            <w:r>
              <w:rPr>
                <w:color w:val="A50021"/>
                <w:spacing w:val="2"/>
                <w:u w:val="single" w:color="auto"/>
              </w:rPr>
              <w:t>投资收益信用减值损失</w:t>
            </w:r>
            <w:r>
              <w:rPr>
                <w:color w:val="222222"/>
                <w:spacing w:val="2"/>
              </w:rPr>
              <w:t>、 资产减值损失、</w:t>
            </w:r>
            <w:r>
              <w:rPr>
                <w:color w:val="A50021"/>
                <w:spacing w:val="2"/>
                <w:u w:val="single" w:color="auto"/>
              </w:rPr>
              <w:t>资</w:t>
            </w:r>
            <w:r>
              <w:rPr>
                <w:color w:val="A50021"/>
                <w:spacing w:val="1"/>
                <w:u w:val="single" w:color="auto"/>
              </w:rPr>
              <w:t>产处置收益</w:t>
            </w:r>
            <w:r>
              <w:rPr>
                <w:color w:val="222222"/>
                <w:spacing w:val="1"/>
              </w:rPr>
              <w:t>，即为</w:t>
            </w:r>
            <w:r>
              <w:rPr>
                <w:color w:val="222222"/>
                <w:spacing w:val="-2"/>
              </w:rPr>
              <w:t>营业利润。</w:t>
            </w:r>
          </w:p>
          <w:p w14:paraId="09625331">
            <w:pPr>
              <w:pStyle w:val="6"/>
              <w:spacing w:before="1" w:line="281" w:lineRule="auto"/>
              <w:ind w:left="58" w:right="431" w:hanging="6"/>
            </w:pPr>
            <w:r>
              <w:rPr>
                <w:color w:val="A50021"/>
                <w:spacing w:val="2"/>
                <w:u w:val="single" w:color="auto"/>
              </w:rPr>
              <w:t>P121：10.1.1 财务报告 3)现金流量</w:t>
            </w:r>
            <w:r>
              <w:rPr>
                <w:color w:val="A50021"/>
                <w:spacing w:val="1"/>
                <w:u w:val="single" w:color="auto"/>
              </w:rPr>
              <w:t>表的内容及其作用 新增一句话</w:t>
            </w:r>
            <w:r>
              <w:rPr>
                <w:color w:val="A50021"/>
                <w:spacing w:val="3"/>
                <w:u w:val="single" w:color="auto"/>
              </w:rPr>
              <w:t>不能随时用于支付的存款不属于现金。</w:t>
            </w:r>
          </w:p>
        </w:tc>
      </w:tr>
      <w:tr w14:paraId="50C7E1A8">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55" w:hRule="atLeast"/>
        </w:trPr>
        <w:tc>
          <w:tcPr>
            <w:tcW w:w="1021" w:type="dxa"/>
            <w:vMerge w:val="continue"/>
            <w:tcBorders>
              <w:top w:val="nil"/>
            </w:tcBorders>
            <w:vAlign w:val="top"/>
          </w:tcPr>
          <w:p w14:paraId="63816396">
            <w:pPr>
              <w:rPr>
                <w:rFonts w:ascii="Arial"/>
                <w:sz w:val="21"/>
              </w:rPr>
            </w:pPr>
          </w:p>
        </w:tc>
        <w:tc>
          <w:tcPr>
            <w:tcW w:w="2019" w:type="dxa"/>
            <w:vAlign w:val="top"/>
          </w:tcPr>
          <w:p w14:paraId="12EE3780">
            <w:pPr>
              <w:spacing w:line="244" w:lineRule="auto"/>
              <w:rPr>
                <w:rFonts w:ascii="Arial"/>
                <w:sz w:val="21"/>
              </w:rPr>
            </w:pPr>
          </w:p>
          <w:p w14:paraId="5EC18A8A">
            <w:pPr>
              <w:pStyle w:val="6"/>
              <w:spacing w:before="72" w:line="221" w:lineRule="auto"/>
              <w:ind w:left="73"/>
            </w:pPr>
            <w:r>
              <w:rPr>
                <w:color w:val="222222"/>
                <w:spacing w:val="-1"/>
              </w:rPr>
              <w:t>10.2 财务分析方法</w:t>
            </w:r>
          </w:p>
        </w:tc>
        <w:tc>
          <w:tcPr>
            <w:tcW w:w="7056" w:type="dxa"/>
            <w:vAlign w:val="top"/>
          </w:tcPr>
          <w:p w14:paraId="6C083498">
            <w:pPr>
              <w:pStyle w:val="6"/>
              <w:spacing w:before="151" w:line="285" w:lineRule="auto"/>
              <w:ind w:left="56" w:right="98" w:hanging="4"/>
            </w:pPr>
            <w:r>
              <w:rPr>
                <w:color w:val="A50021"/>
                <w:spacing w:val="1"/>
                <w:u w:val="single" w:color="auto"/>
              </w:rPr>
              <w:t>P131：10.2.2 财务比率分析</w:t>
            </w:r>
            <w:r>
              <w:rPr>
                <w:color w:val="A50021"/>
                <w:spacing w:val="33"/>
                <w:u w:val="single" w:color="auto"/>
              </w:rPr>
              <w:t xml:space="preserve"> </w:t>
            </w:r>
            <w:r>
              <w:rPr>
                <w:color w:val="A50021"/>
                <w:spacing w:val="1"/>
                <w:u w:val="single" w:color="auto"/>
              </w:rPr>
              <w:t>图10.2-1 传统的杜邦</w:t>
            </w:r>
            <w:r>
              <w:rPr>
                <w:color w:val="A50021"/>
                <w:u w:val="single" w:color="auto"/>
              </w:rPr>
              <w:t>财务分析体系 有调整</w:t>
            </w:r>
          </w:p>
        </w:tc>
      </w:tr>
    </w:tbl>
    <w:p w14:paraId="7CF2A355">
      <w:pPr>
        <w:rPr>
          <w:rFonts w:ascii="Arial"/>
          <w:sz w:val="21"/>
        </w:rPr>
      </w:pPr>
    </w:p>
    <w:p w14:paraId="3BB7EB7C">
      <w:pPr>
        <w:rPr>
          <w:rFonts w:ascii="Arial" w:hAnsi="Arial" w:eastAsia="Arial" w:cs="Arial"/>
          <w:sz w:val="21"/>
          <w:szCs w:val="21"/>
        </w:rPr>
        <w:sectPr>
          <w:footerReference r:id="rId17" w:type="default"/>
          <w:pgSz w:w="11900" w:h="16840"/>
          <w:pgMar w:top="865" w:right="308" w:bottom="941" w:left="293" w:header="397" w:footer="585" w:gutter="0"/>
          <w:cols w:space="720" w:num="1"/>
        </w:sectPr>
      </w:pPr>
    </w:p>
    <w:p w14:paraId="11068597">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26C67F9F">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3A5187AE">
            <w:pPr>
              <w:pStyle w:val="6"/>
              <w:spacing w:before="144" w:line="221" w:lineRule="auto"/>
              <w:ind w:left="285"/>
            </w:pPr>
            <w:r>
              <w:rPr>
                <w:color w:val="222222"/>
              </w:rPr>
              <w:t>章</w:t>
            </w:r>
          </w:p>
        </w:tc>
        <w:tc>
          <w:tcPr>
            <w:tcW w:w="2019" w:type="dxa"/>
            <w:vAlign w:val="top"/>
          </w:tcPr>
          <w:p w14:paraId="438F5F82">
            <w:pPr>
              <w:pStyle w:val="6"/>
              <w:spacing w:before="144" w:line="222" w:lineRule="auto"/>
              <w:ind w:left="885"/>
            </w:pPr>
            <w:r>
              <w:rPr>
                <w:color w:val="222222"/>
              </w:rPr>
              <w:t>节</w:t>
            </w:r>
          </w:p>
        </w:tc>
        <w:tc>
          <w:tcPr>
            <w:tcW w:w="7056" w:type="dxa"/>
            <w:vAlign w:val="top"/>
          </w:tcPr>
          <w:p w14:paraId="690E3072">
            <w:pPr>
              <w:pStyle w:val="6"/>
              <w:spacing w:before="145" w:line="221" w:lineRule="auto"/>
              <w:ind w:left="3073"/>
            </w:pPr>
            <w:r>
              <w:rPr>
                <w:color w:val="222222"/>
                <w:spacing w:val="-1"/>
              </w:rPr>
              <w:t>变化说明</w:t>
            </w:r>
          </w:p>
        </w:tc>
      </w:tr>
      <w:tr w14:paraId="79997EA3">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1" w:hRule="atLeast"/>
        </w:trPr>
        <w:tc>
          <w:tcPr>
            <w:tcW w:w="1021" w:type="dxa"/>
            <w:vMerge w:val="restart"/>
            <w:tcBorders>
              <w:bottom w:val="nil"/>
            </w:tcBorders>
            <w:vAlign w:val="top"/>
          </w:tcPr>
          <w:p w14:paraId="404395DD">
            <w:pPr>
              <w:spacing w:line="298" w:lineRule="auto"/>
              <w:rPr>
                <w:rFonts w:ascii="Arial"/>
                <w:sz w:val="21"/>
              </w:rPr>
            </w:pPr>
          </w:p>
          <w:p w14:paraId="477F10A7">
            <w:pPr>
              <w:spacing w:line="298" w:lineRule="auto"/>
              <w:rPr>
                <w:rFonts w:ascii="Arial"/>
                <w:sz w:val="21"/>
              </w:rPr>
            </w:pPr>
          </w:p>
          <w:p w14:paraId="507CA728">
            <w:pPr>
              <w:spacing w:line="298" w:lineRule="auto"/>
              <w:rPr>
                <w:rFonts w:ascii="Arial"/>
                <w:sz w:val="21"/>
              </w:rPr>
            </w:pPr>
          </w:p>
          <w:p w14:paraId="56B53635">
            <w:pPr>
              <w:spacing w:line="298" w:lineRule="auto"/>
              <w:rPr>
                <w:rFonts w:ascii="Arial"/>
                <w:sz w:val="21"/>
              </w:rPr>
            </w:pPr>
          </w:p>
          <w:p w14:paraId="3872A6DE">
            <w:pPr>
              <w:pStyle w:val="6"/>
              <w:spacing w:before="71" w:line="284" w:lineRule="auto"/>
              <w:ind w:left="68" w:right="277" w:hanging="2"/>
              <w:jc w:val="both"/>
            </w:pPr>
            <w:r>
              <w:rPr>
                <w:color w:val="222222"/>
                <w:spacing w:val="-1"/>
              </w:rPr>
              <w:t>第11章</w:t>
            </w:r>
            <w:r>
              <w:rPr>
                <w:color w:val="222222"/>
                <w:spacing w:val="-3"/>
              </w:rPr>
              <w:t>筹资管</w:t>
            </w:r>
            <w:r>
              <w:rPr>
                <w:color w:val="222222"/>
              </w:rPr>
              <w:t>理</w:t>
            </w:r>
          </w:p>
        </w:tc>
        <w:tc>
          <w:tcPr>
            <w:tcW w:w="2019" w:type="dxa"/>
            <w:vAlign w:val="top"/>
          </w:tcPr>
          <w:p w14:paraId="6E0F86F6">
            <w:pPr>
              <w:pStyle w:val="6"/>
              <w:spacing w:before="135" w:line="221" w:lineRule="auto"/>
              <w:ind w:left="73"/>
            </w:pPr>
            <w:r>
              <w:rPr>
                <w:color w:val="222222"/>
                <w:spacing w:val="-4"/>
              </w:rPr>
              <w:t>11.1</w:t>
            </w:r>
            <w:r>
              <w:rPr>
                <w:color w:val="222222"/>
                <w:spacing w:val="19"/>
              </w:rPr>
              <w:t xml:space="preserve"> </w:t>
            </w:r>
            <w:r>
              <w:rPr>
                <w:color w:val="222222"/>
                <w:spacing w:val="-4"/>
              </w:rPr>
              <w:t>筹资主体</w:t>
            </w:r>
          </w:p>
        </w:tc>
        <w:tc>
          <w:tcPr>
            <w:tcW w:w="7056" w:type="dxa"/>
            <w:vAlign w:val="top"/>
          </w:tcPr>
          <w:p w14:paraId="07D5A50E">
            <w:pPr>
              <w:pStyle w:val="6"/>
              <w:spacing w:before="135" w:line="221" w:lineRule="auto"/>
              <w:ind w:left="52"/>
            </w:pPr>
            <w:r>
              <w:rPr>
                <w:color w:val="A50021"/>
                <w:spacing w:val="1"/>
                <w:u w:val="single" w:color="auto"/>
              </w:rPr>
              <w:t>P134：11.1.2 项目融资 1.</w:t>
            </w:r>
            <w:r>
              <w:rPr>
                <w:color w:val="A50021"/>
                <w:spacing w:val="15"/>
                <w:u w:val="single" w:color="auto"/>
              </w:rPr>
              <w:t xml:space="preserve"> </w:t>
            </w:r>
            <w:r>
              <w:rPr>
                <w:color w:val="A50021"/>
                <w:spacing w:val="1"/>
                <w:u w:val="single" w:color="auto"/>
              </w:rPr>
              <w:t>项目融资的特点</w:t>
            </w:r>
            <w:r>
              <w:rPr>
                <w:color w:val="A50021"/>
                <w:spacing w:val="38"/>
                <w:u w:val="single" w:color="auto"/>
              </w:rPr>
              <w:t xml:space="preserve"> </w:t>
            </w:r>
            <w:r>
              <w:rPr>
                <w:color w:val="A50021"/>
                <w:spacing w:val="1"/>
                <w:u w:val="single" w:color="auto"/>
              </w:rPr>
              <w:t>内容有</w:t>
            </w:r>
            <w:r>
              <w:rPr>
                <w:color w:val="A50021"/>
                <w:u w:val="single" w:color="auto"/>
              </w:rPr>
              <w:t>调整。</w:t>
            </w:r>
          </w:p>
        </w:tc>
      </w:tr>
      <w:tr w14:paraId="0980CCC3">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1509" w:hRule="atLeast"/>
        </w:trPr>
        <w:tc>
          <w:tcPr>
            <w:tcW w:w="1021" w:type="dxa"/>
            <w:vMerge w:val="continue"/>
            <w:tcBorders>
              <w:top w:val="nil"/>
              <w:bottom w:val="nil"/>
            </w:tcBorders>
            <w:vAlign w:val="top"/>
          </w:tcPr>
          <w:p w14:paraId="4A974515">
            <w:pPr>
              <w:rPr>
                <w:rFonts w:ascii="Arial"/>
                <w:sz w:val="21"/>
              </w:rPr>
            </w:pPr>
          </w:p>
        </w:tc>
        <w:tc>
          <w:tcPr>
            <w:tcW w:w="2019" w:type="dxa"/>
            <w:vAlign w:val="top"/>
          </w:tcPr>
          <w:p w14:paraId="0EC9C657">
            <w:pPr>
              <w:spacing w:line="281" w:lineRule="auto"/>
              <w:rPr>
                <w:rFonts w:ascii="Arial"/>
                <w:sz w:val="21"/>
              </w:rPr>
            </w:pPr>
          </w:p>
          <w:p w14:paraId="72168CA4">
            <w:pPr>
              <w:spacing w:line="282" w:lineRule="auto"/>
              <w:rPr>
                <w:rFonts w:ascii="Arial"/>
                <w:sz w:val="21"/>
              </w:rPr>
            </w:pPr>
          </w:p>
          <w:p w14:paraId="10042076">
            <w:pPr>
              <w:pStyle w:val="6"/>
              <w:spacing w:before="72" w:line="221" w:lineRule="auto"/>
              <w:ind w:left="73"/>
            </w:pPr>
            <w:r>
              <w:rPr>
                <w:color w:val="222222"/>
                <w:spacing w:val="-4"/>
              </w:rPr>
              <w:t>11.2</w:t>
            </w:r>
            <w:r>
              <w:rPr>
                <w:color w:val="222222"/>
                <w:spacing w:val="19"/>
              </w:rPr>
              <w:t xml:space="preserve"> </w:t>
            </w:r>
            <w:r>
              <w:rPr>
                <w:color w:val="222222"/>
                <w:spacing w:val="-4"/>
              </w:rPr>
              <w:t>筹资方式</w:t>
            </w:r>
          </w:p>
        </w:tc>
        <w:tc>
          <w:tcPr>
            <w:tcW w:w="7056" w:type="dxa"/>
            <w:vAlign w:val="top"/>
          </w:tcPr>
          <w:p w14:paraId="77499CBB">
            <w:pPr>
              <w:pStyle w:val="6"/>
              <w:spacing w:before="138" w:line="221" w:lineRule="auto"/>
              <w:ind w:left="52"/>
            </w:pPr>
            <w:r>
              <w:rPr>
                <w:color w:val="A50021"/>
                <w:spacing w:val="2"/>
                <w:u w:val="single" w:color="auto"/>
              </w:rPr>
              <w:t>P141：11.2.2 长期筹资的方式和特</w:t>
            </w:r>
            <w:r>
              <w:rPr>
                <w:color w:val="A50021"/>
                <w:spacing w:val="1"/>
                <w:u w:val="single" w:color="auto"/>
              </w:rPr>
              <w:t>点 3)融资租赁 新增一句话</w:t>
            </w:r>
          </w:p>
          <w:p w14:paraId="30A11E4C">
            <w:pPr>
              <w:pStyle w:val="6"/>
              <w:spacing w:before="70" w:line="281" w:lineRule="auto"/>
              <w:ind w:left="64" w:right="93" w:hanging="3"/>
            </w:pPr>
            <w:r>
              <w:rPr>
                <w:color w:val="222222"/>
                <w:spacing w:val="2"/>
              </w:rPr>
              <w:t>值得注意的是，判断租赁类型时，若有其他特征充分表明，租赁实</w:t>
            </w:r>
            <w:r>
              <w:rPr>
                <w:color w:val="222222"/>
                <w:spacing w:val="1"/>
              </w:rPr>
              <w:t>质上</w:t>
            </w:r>
            <w:r>
              <w:rPr>
                <w:color w:val="222222"/>
                <w:spacing w:val="2"/>
              </w:rPr>
              <w:t>没有转移 与租赁资产所有权相关的几乎全部风险和报</w:t>
            </w:r>
            <w:r>
              <w:rPr>
                <w:color w:val="222222"/>
                <w:spacing w:val="1"/>
              </w:rPr>
              <w:t>酬，该租赁可以</w:t>
            </w:r>
            <w:r>
              <w:rPr>
                <w:color w:val="222222"/>
              </w:rPr>
              <w:t>归类为经营租赁。</w:t>
            </w:r>
          </w:p>
        </w:tc>
      </w:tr>
      <w:tr w14:paraId="39B3D914">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2" w:hRule="atLeast"/>
        </w:trPr>
        <w:tc>
          <w:tcPr>
            <w:tcW w:w="1021" w:type="dxa"/>
            <w:vMerge w:val="continue"/>
            <w:tcBorders>
              <w:top w:val="nil"/>
              <w:bottom w:val="nil"/>
            </w:tcBorders>
            <w:vAlign w:val="top"/>
          </w:tcPr>
          <w:p w14:paraId="39837D24">
            <w:pPr>
              <w:rPr>
                <w:rFonts w:ascii="Arial"/>
                <w:sz w:val="21"/>
              </w:rPr>
            </w:pPr>
          </w:p>
        </w:tc>
        <w:tc>
          <w:tcPr>
            <w:tcW w:w="2019" w:type="dxa"/>
            <w:vAlign w:val="top"/>
          </w:tcPr>
          <w:p w14:paraId="1E37251A">
            <w:pPr>
              <w:pStyle w:val="6"/>
              <w:spacing w:before="142" w:line="221" w:lineRule="auto"/>
              <w:ind w:left="73"/>
            </w:pPr>
            <w:r>
              <w:rPr>
                <w:color w:val="222222"/>
                <w:spacing w:val="-3"/>
              </w:rPr>
              <w:t>11.3</w:t>
            </w:r>
            <w:r>
              <w:rPr>
                <w:color w:val="222222"/>
                <w:spacing w:val="21"/>
              </w:rPr>
              <w:t xml:space="preserve"> </w:t>
            </w:r>
            <w:r>
              <w:rPr>
                <w:color w:val="222222"/>
                <w:spacing w:val="-3"/>
              </w:rPr>
              <w:t>资金成本分析</w:t>
            </w:r>
          </w:p>
        </w:tc>
        <w:tc>
          <w:tcPr>
            <w:tcW w:w="7056" w:type="dxa"/>
            <w:vAlign w:val="top"/>
          </w:tcPr>
          <w:p w14:paraId="33BB0ADC">
            <w:pPr>
              <w:pStyle w:val="6"/>
              <w:spacing w:before="142" w:line="221" w:lineRule="auto"/>
              <w:ind w:left="52"/>
            </w:pPr>
            <w:r>
              <w:rPr>
                <w:color w:val="A50021"/>
                <w:spacing w:val="2"/>
                <w:u w:val="single" w:color="auto"/>
              </w:rPr>
              <w:t>P143：11.3.2 资金成本的计算 【例11 .3-1】有调整。</w:t>
            </w:r>
          </w:p>
        </w:tc>
      </w:tr>
      <w:tr w14:paraId="070D8E58">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4" w:hRule="atLeast"/>
        </w:trPr>
        <w:tc>
          <w:tcPr>
            <w:tcW w:w="1021" w:type="dxa"/>
            <w:vMerge w:val="continue"/>
            <w:tcBorders>
              <w:top w:val="nil"/>
            </w:tcBorders>
            <w:vAlign w:val="top"/>
          </w:tcPr>
          <w:p w14:paraId="37361B79">
            <w:pPr>
              <w:rPr>
                <w:rFonts w:ascii="Arial"/>
                <w:sz w:val="21"/>
              </w:rPr>
            </w:pPr>
          </w:p>
        </w:tc>
        <w:tc>
          <w:tcPr>
            <w:tcW w:w="2019" w:type="dxa"/>
            <w:vAlign w:val="top"/>
          </w:tcPr>
          <w:p w14:paraId="645682BC">
            <w:pPr>
              <w:pStyle w:val="6"/>
              <w:spacing w:before="310" w:line="221" w:lineRule="auto"/>
              <w:ind w:left="73"/>
            </w:pPr>
            <w:r>
              <w:rPr>
                <w:color w:val="222222"/>
                <w:spacing w:val="-3"/>
              </w:rPr>
              <w:t>11.4</w:t>
            </w:r>
            <w:r>
              <w:rPr>
                <w:color w:val="222222"/>
                <w:spacing w:val="21"/>
              </w:rPr>
              <w:t xml:space="preserve"> </w:t>
            </w:r>
            <w:r>
              <w:rPr>
                <w:color w:val="222222"/>
                <w:spacing w:val="-3"/>
              </w:rPr>
              <w:t>资本结构分析</w:t>
            </w:r>
          </w:p>
        </w:tc>
        <w:tc>
          <w:tcPr>
            <w:tcW w:w="7056" w:type="dxa"/>
            <w:vAlign w:val="top"/>
          </w:tcPr>
          <w:p w14:paraId="16162D8C">
            <w:pPr>
              <w:pStyle w:val="6"/>
              <w:spacing w:before="145" w:line="282" w:lineRule="auto"/>
              <w:ind w:left="56" w:right="98" w:hanging="4"/>
            </w:pPr>
            <w:r>
              <w:rPr>
                <w:color w:val="A50021"/>
                <w:spacing w:val="1"/>
                <w:u w:val="single" w:color="auto"/>
              </w:rPr>
              <w:t>P145：11.4.2 资本结构决策的分析方法 3</w:t>
            </w:r>
            <w:r>
              <w:rPr>
                <w:color w:val="A50021"/>
                <w:u w:val="single" w:color="auto"/>
              </w:rPr>
              <w:t>. 企业价值比较法</w:t>
            </w:r>
            <w:r>
              <w:rPr>
                <w:color w:val="A50021"/>
                <w:spacing w:val="39"/>
                <w:u w:val="single" w:color="auto"/>
              </w:rPr>
              <w:t xml:space="preserve"> </w:t>
            </w:r>
            <w:r>
              <w:rPr>
                <w:color w:val="A50021"/>
                <w:u w:val="single" w:color="auto"/>
              </w:rPr>
              <w:t>内容描述</w:t>
            </w:r>
            <w:r>
              <w:rPr>
                <w:color w:val="A50021"/>
                <w:spacing w:val="6"/>
                <w:u w:val="single" w:color="auto"/>
              </w:rPr>
              <w:t>有所调整。</w:t>
            </w:r>
          </w:p>
        </w:tc>
      </w:tr>
      <w:tr w14:paraId="64A376FB">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2" w:hRule="atLeast"/>
        </w:trPr>
        <w:tc>
          <w:tcPr>
            <w:tcW w:w="1021" w:type="dxa"/>
            <w:vMerge w:val="restart"/>
            <w:tcBorders>
              <w:bottom w:val="nil"/>
            </w:tcBorders>
            <w:vAlign w:val="top"/>
          </w:tcPr>
          <w:p w14:paraId="32B081B9">
            <w:pPr>
              <w:spacing w:line="270" w:lineRule="auto"/>
              <w:rPr>
                <w:rFonts w:ascii="Arial"/>
                <w:sz w:val="21"/>
              </w:rPr>
            </w:pPr>
          </w:p>
          <w:p w14:paraId="4B0AF682">
            <w:pPr>
              <w:spacing w:line="270" w:lineRule="auto"/>
              <w:rPr>
                <w:rFonts w:ascii="Arial"/>
                <w:sz w:val="21"/>
              </w:rPr>
            </w:pPr>
          </w:p>
          <w:p w14:paraId="1A720CCC">
            <w:pPr>
              <w:pStyle w:val="6"/>
              <w:spacing w:before="71" w:line="281" w:lineRule="auto"/>
              <w:ind w:left="67" w:right="278" w:hanging="1"/>
              <w:jc w:val="both"/>
            </w:pPr>
            <w:r>
              <w:rPr>
                <w:color w:val="222222"/>
                <w:spacing w:val="-1"/>
              </w:rPr>
              <w:t>第12章</w:t>
            </w:r>
            <w:r>
              <w:rPr>
                <w:color w:val="222222"/>
                <w:spacing w:val="-2"/>
              </w:rPr>
              <w:t>营运资金管理</w:t>
            </w:r>
          </w:p>
        </w:tc>
        <w:tc>
          <w:tcPr>
            <w:tcW w:w="2019" w:type="dxa"/>
            <w:vAlign w:val="top"/>
          </w:tcPr>
          <w:p w14:paraId="058DF3B8">
            <w:pPr>
              <w:pStyle w:val="6"/>
              <w:spacing w:before="148" w:line="221" w:lineRule="auto"/>
              <w:ind w:left="73"/>
            </w:pPr>
            <w:r>
              <w:rPr>
                <w:color w:val="222222"/>
                <w:spacing w:val="-4"/>
              </w:rPr>
              <w:t>12.1</w:t>
            </w:r>
            <w:r>
              <w:rPr>
                <w:color w:val="222222"/>
                <w:spacing w:val="19"/>
              </w:rPr>
              <w:t xml:space="preserve"> </w:t>
            </w:r>
            <w:r>
              <w:rPr>
                <w:color w:val="222222"/>
                <w:spacing w:val="-4"/>
              </w:rPr>
              <w:t>现金管理</w:t>
            </w:r>
          </w:p>
        </w:tc>
        <w:tc>
          <w:tcPr>
            <w:tcW w:w="7056" w:type="dxa"/>
            <w:vAlign w:val="top"/>
          </w:tcPr>
          <w:p w14:paraId="22C53C2F">
            <w:pPr>
              <w:pStyle w:val="6"/>
              <w:spacing w:before="147" w:line="222" w:lineRule="auto"/>
              <w:ind w:left="62"/>
            </w:pPr>
            <w:r>
              <w:rPr>
                <w:color w:val="222222"/>
                <w:spacing w:val="-2"/>
              </w:rPr>
              <w:t>无变化</w:t>
            </w:r>
          </w:p>
        </w:tc>
      </w:tr>
      <w:tr w14:paraId="21C3A608">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2" w:hRule="atLeast"/>
        </w:trPr>
        <w:tc>
          <w:tcPr>
            <w:tcW w:w="1021" w:type="dxa"/>
            <w:vMerge w:val="continue"/>
            <w:tcBorders>
              <w:top w:val="nil"/>
              <w:bottom w:val="nil"/>
            </w:tcBorders>
            <w:vAlign w:val="top"/>
          </w:tcPr>
          <w:p w14:paraId="3554EE72">
            <w:pPr>
              <w:rPr>
                <w:rFonts w:ascii="Arial"/>
                <w:sz w:val="21"/>
              </w:rPr>
            </w:pPr>
          </w:p>
        </w:tc>
        <w:tc>
          <w:tcPr>
            <w:tcW w:w="2019" w:type="dxa"/>
            <w:vAlign w:val="top"/>
          </w:tcPr>
          <w:p w14:paraId="1E312D60">
            <w:pPr>
              <w:pStyle w:val="6"/>
              <w:spacing w:before="149" w:line="221" w:lineRule="auto"/>
              <w:ind w:left="73"/>
            </w:pPr>
            <w:r>
              <w:rPr>
                <w:color w:val="222222"/>
                <w:spacing w:val="-1"/>
              </w:rPr>
              <w:t>12.2 应收账款管理</w:t>
            </w:r>
          </w:p>
        </w:tc>
        <w:tc>
          <w:tcPr>
            <w:tcW w:w="7056" w:type="dxa"/>
            <w:vAlign w:val="top"/>
          </w:tcPr>
          <w:p w14:paraId="6CC1FFF1">
            <w:pPr>
              <w:pStyle w:val="6"/>
              <w:spacing w:before="149" w:line="222" w:lineRule="auto"/>
              <w:ind w:left="62"/>
            </w:pPr>
            <w:r>
              <w:rPr>
                <w:color w:val="222222"/>
                <w:spacing w:val="-2"/>
              </w:rPr>
              <w:t>无变化</w:t>
            </w:r>
          </w:p>
        </w:tc>
      </w:tr>
      <w:tr w14:paraId="327071AC">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2" w:hRule="atLeast"/>
        </w:trPr>
        <w:tc>
          <w:tcPr>
            <w:tcW w:w="1021" w:type="dxa"/>
            <w:vMerge w:val="continue"/>
            <w:tcBorders>
              <w:top w:val="nil"/>
              <w:bottom w:val="nil"/>
            </w:tcBorders>
            <w:vAlign w:val="top"/>
          </w:tcPr>
          <w:p w14:paraId="13A47768">
            <w:pPr>
              <w:rPr>
                <w:rFonts w:ascii="Arial"/>
                <w:sz w:val="21"/>
              </w:rPr>
            </w:pPr>
          </w:p>
        </w:tc>
        <w:tc>
          <w:tcPr>
            <w:tcW w:w="2019" w:type="dxa"/>
            <w:vAlign w:val="top"/>
          </w:tcPr>
          <w:p w14:paraId="0D1B06CF">
            <w:pPr>
              <w:pStyle w:val="6"/>
              <w:spacing w:before="150" w:line="221" w:lineRule="auto"/>
              <w:ind w:left="73"/>
            </w:pPr>
            <w:r>
              <w:rPr>
                <w:color w:val="222222"/>
                <w:spacing w:val="-2"/>
              </w:rPr>
              <w:t>12.3 存货管理</w:t>
            </w:r>
          </w:p>
        </w:tc>
        <w:tc>
          <w:tcPr>
            <w:tcW w:w="7056" w:type="dxa"/>
            <w:vAlign w:val="top"/>
          </w:tcPr>
          <w:p w14:paraId="17754F70">
            <w:pPr>
              <w:pStyle w:val="6"/>
              <w:spacing w:before="151" w:line="222" w:lineRule="auto"/>
              <w:ind w:left="62"/>
            </w:pPr>
            <w:r>
              <w:rPr>
                <w:color w:val="222222"/>
                <w:spacing w:val="-2"/>
              </w:rPr>
              <w:t>无变化</w:t>
            </w:r>
          </w:p>
        </w:tc>
      </w:tr>
      <w:tr w14:paraId="4501194C">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Merge w:val="continue"/>
            <w:tcBorders>
              <w:top w:val="nil"/>
            </w:tcBorders>
            <w:vAlign w:val="top"/>
          </w:tcPr>
          <w:p w14:paraId="263E2C70">
            <w:pPr>
              <w:rPr>
                <w:rFonts w:ascii="Arial"/>
                <w:sz w:val="21"/>
              </w:rPr>
            </w:pPr>
          </w:p>
        </w:tc>
        <w:tc>
          <w:tcPr>
            <w:tcW w:w="2019" w:type="dxa"/>
            <w:vAlign w:val="top"/>
          </w:tcPr>
          <w:p w14:paraId="26FD14D2">
            <w:pPr>
              <w:pStyle w:val="6"/>
              <w:spacing w:before="152" w:line="221" w:lineRule="auto"/>
              <w:ind w:left="73"/>
            </w:pPr>
            <w:r>
              <w:rPr>
                <w:color w:val="222222"/>
                <w:spacing w:val="-1"/>
              </w:rPr>
              <w:t>12.4 短期负债管理</w:t>
            </w:r>
          </w:p>
        </w:tc>
        <w:tc>
          <w:tcPr>
            <w:tcW w:w="7056" w:type="dxa"/>
            <w:vAlign w:val="top"/>
          </w:tcPr>
          <w:p w14:paraId="06A7B8B0">
            <w:pPr>
              <w:pStyle w:val="6"/>
              <w:spacing w:before="152" w:line="222" w:lineRule="auto"/>
              <w:ind w:left="62"/>
            </w:pPr>
            <w:r>
              <w:rPr>
                <w:color w:val="222222"/>
                <w:spacing w:val="-2"/>
              </w:rPr>
              <w:t>无变化</w:t>
            </w:r>
          </w:p>
        </w:tc>
      </w:tr>
    </w:tbl>
    <w:p w14:paraId="4DDB3ADF">
      <w:pPr>
        <w:rPr>
          <w:rFonts w:ascii="Arial"/>
          <w:sz w:val="21"/>
        </w:rPr>
      </w:pPr>
    </w:p>
    <w:p w14:paraId="75212E76">
      <w:pPr>
        <w:rPr>
          <w:rFonts w:ascii="Arial" w:hAnsi="Arial" w:eastAsia="Arial" w:cs="Arial"/>
          <w:sz w:val="21"/>
          <w:szCs w:val="21"/>
        </w:rPr>
        <w:sectPr>
          <w:footerReference r:id="rId18" w:type="default"/>
          <w:pgSz w:w="11900" w:h="16840"/>
          <w:pgMar w:top="865" w:right="308" w:bottom="941" w:left="293" w:header="397" w:footer="585" w:gutter="0"/>
          <w:cols w:space="720" w:num="1"/>
        </w:sectPr>
      </w:pPr>
    </w:p>
    <w:p w14:paraId="62546B7C">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3004BEC2">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096" w:type="dxa"/>
            <w:gridSpan w:val="3"/>
            <w:vAlign w:val="top"/>
          </w:tcPr>
          <w:p w14:paraId="34327F99">
            <w:pPr>
              <w:pStyle w:val="6"/>
              <w:spacing w:before="144" w:line="220" w:lineRule="auto"/>
              <w:ind w:left="4263"/>
            </w:pPr>
            <w:r>
              <w:rPr>
                <w:color w:val="222222"/>
                <w:spacing w:val="-2"/>
              </w:rPr>
              <w:t>第3篇</w:t>
            </w:r>
            <w:r>
              <w:rPr>
                <w:color w:val="222222"/>
                <w:spacing w:val="18"/>
              </w:rPr>
              <w:t xml:space="preserve"> </w:t>
            </w:r>
            <w:r>
              <w:rPr>
                <w:color w:val="222222"/>
                <w:spacing w:val="-2"/>
              </w:rPr>
              <w:t>工程计价</w:t>
            </w:r>
          </w:p>
        </w:tc>
      </w:tr>
      <w:tr w14:paraId="65A487BE">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2" w:hRule="atLeast"/>
        </w:trPr>
        <w:tc>
          <w:tcPr>
            <w:tcW w:w="1021" w:type="dxa"/>
            <w:vAlign w:val="top"/>
          </w:tcPr>
          <w:p w14:paraId="16755ADE">
            <w:pPr>
              <w:pStyle w:val="6"/>
              <w:spacing w:before="134" w:line="221" w:lineRule="auto"/>
              <w:ind w:left="285"/>
            </w:pPr>
            <w:r>
              <w:rPr>
                <w:color w:val="222222"/>
              </w:rPr>
              <w:t>章</w:t>
            </w:r>
          </w:p>
        </w:tc>
        <w:tc>
          <w:tcPr>
            <w:tcW w:w="2019" w:type="dxa"/>
            <w:vAlign w:val="top"/>
          </w:tcPr>
          <w:p w14:paraId="13616260">
            <w:pPr>
              <w:pStyle w:val="6"/>
              <w:spacing w:before="135" w:line="222" w:lineRule="auto"/>
              <w:ind w:left="885"/>
            </w:pPr>
            <w:r>
              <w:rPr>
                <w:color w:val="222222"/>
              </w:rPr>
              <w:t>节</w:t>
            </w:r>
          </w:p>
        </w:tc>
        <w:tc>
          <w:tcPr>
            <w:tcW w:w="7056" w:type="dxa"/>
            <w:vAlign w:val="top"/>
          </w:tcPr>
          <w:p w14:paraId="13433B7F">
            <w:pPr>
              <w:pStyle w:val="6"/>
              <w:spacing w:before="135" w:line="221" w:lineRule="auto"/>
              <w:ind w:left="3073"/>
            </w:pPr>
            <w:r>
              <w:rPr>
                <w:color w:val="222222"/>
                <w:spacing w:val="-1"/>
              </w:rPr>
              <w:t>变化说明</w:t>
            </w:r>
          </w:p>
        </w:tc>
      </w:tr>
      <w:tr w14:paraId="6F9D3FD8">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5" w:hRule="atLeast"/>
        </w:trPr>
        <w:tc>
          <w:tcPr>
            <w:tcW w:w="1021" w:type="dxa"/>
            <w:vMerge w:val="restart"/>
            <w:tcBorders>
              <w:bottom w:val="nil"/>
            </w:tcBorders>
            <w:vAlign w:val="top"/>
          </w:tcPr>
          <w:p w14:paraId="56D2D94E">
            <w:pPr>
              <w:spacing w:line="248" w:lineRule="auto"/>
              <w:rPr>
                <w:rFonts w:ascii="Arial"/>
                <w:sz w:val="21"/>
              </w:rPr>
            </w:pPr>
          </w:p>
          <w:p w14:paraId="2D9DD7CE">
            <w:pPr>
              <w:spacing w:line="248" w:lineRule="auto"/>
              <w:rPr>
                <w:rFonts w:ascii="Arial"/>
                <w:sz w:val="21"/>
              </w:rPr>
            </w:pPr>
          </w:p>
          <w:p w14:paraId="5A55176A">
            <w:pPr>
              <w:spacing w:line="248" w:lineRule="auto"/>
              <w:rPr>
                <w:rFonts w:ascii="Arial"/>
                <w:sz w:val="21"/>
              </w:rPr>
            </w:pPr>
          </w:p>
          <w:p w14:paraId="7632D5CB">
            <w:pPr>
              <w:spacing w:line="248" w:lineRule="auto"/>
              <w:rPr>
                <w:rFonts w:ascii="Arial"/>
                <w:sz w:val="21"/>
              </w:rPr>
            </w:pPr>
          </w:p>
          <w:p w14:paraId="53B3B078">
            <w:pPr>
              <w:spacing w:line="248" w:lineRule="auto"/>
              <w:rPr>
                <w:rFonts w:ascii="Arial"/>
                <w:sz w:val="21"/>
              </w:rPr>
            </w:pPr>
          </w:p>
          <w:p w14:paraId="3EB8DF18">
            <w:pPr>
              <w:spacing w:line="248" w:lineRule="auto"/>
              <w:rPr>
                <w:rFonts w:ascii="Arial"/>
                <w:sz w:val="21"/>
              </w:rPr>
            </w:pPr>
          </w:p>
          <w:p w14:paraId="79C118C7">
            <w:pPr>
              <w:spacing w:line="248" w:lineRule="auto"/>
              <w:rPr>
                <w:rFonts w:ascii="Arial"/>
                <w:sz w:val="21"/>
              </w:rPr>
            </w:pPr>
          </w:p>
          <w:p w14:paraId="5AD2AA4E">
            <w:pPr>
              <w:spacing w:line="248" w:lineRule="auto"/>
              <w:rPr>
                <w:rFonts w:ascii="Arial"/>
                <w:sz w:val="21"/>
              </w:rPr>
            </w:pPr>
          </w:p>
          <w:p w14:paraId="3AC8CA8A">
            <w:pPr>
              <w:spacing w:line="249" w:lineRule="auto"/>
              <w:rPr>
                <w:rFonts w:ascii="Arial"/>
                <w:sz w:val="21"/>
              </w:rPr>
            </w:pPr>
          </w:p>
          <w:p w14:paraId="345C9526">
            <w:pPr>
              <w:spacing w:line="249" w:lineRule="auto"/>
              <w:rPr>
                <w:rFonts w:ascii="Arial"/>
                <w:sz w:val="21"/>
              </w:rPr>
            </w:pPr>
          </w:p>
          <w:p w14:paraId="29711BEA">
            <w:pPr>
              <w:pStyle w:val="6"/>
              <w:spacing w:before="71" w:line="281" w:lineRule="auto"/>
              <w:ind w:left="65" w:right="277"/>
              <w:jc w:val="both"/>
            </w:pPr>
            <w:r>
              <w:rPr>
                <w:color w:val="222222"/>
                <w:spacing w:val="-1"/>
              </w:rPr>
              <w:t>第13章建设项目总投资构成及计算</w:t>
            </w:r>
          </w:p>
        </w:tc>
        <w:tc>
          <w:tcPr>
            <w:tcW w:w="2019" w:type="dxa"/>
            <w:vAlign w:val="top"/>
          </w:tcPr>
          <w:p w14:paraId="6644AB7F">
            <w:pPr>
              <w:pStyle w:val="6"/>
              <w:spacing w:before="137" w:line="282" w:lineRule="auto"/>
              <w:ind w:left="66" w:right="62" w:firstLine="6"/>
            </w:pPr>
            <w:r>
              <w:rPr>
                <w:color w:val="222222"/>
                <w:spacing w:val="-1"/>
              </w:rPr>
              <w:t>13.1 建设项目总投</w:t>
            </w:r>
            <w:r>
              <w:rPr>
                <w:color w:val="222222"/>
                <w:spacing w:val="-5"/>
              </w:rPr>
              <w:t>资构成</w:t>
            </w:r>
          </w:p>
        </w:tc>
        <w:tc>
          <w:tcPr>
            <w:tcW w:w="7056" w:type="dxa"/>
            <w:vAlign w:val="top"/>
          </w:tcPr>
          <w:p w14:paraId="551F9583">
            <w:pPr>
              <w:pStyle w:val="6"/>
              <w:spacing w:before="303" w:line="222" w:lineRule="auto"/>
              <w:ind w:left="63"/>
            </w:pPr>
            <w:r>
              <w:rPr>
                <w:color w:val="222222"/>
                <w:spacing w:val="-2"/>
              </w:rPr>
              <w:t>无变化</w:t>
            </w:r>
          </w:p>
        </w:tc>
      </w:tr>
      <w:tr w14:paraId="3B867F7A">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1178" w:hRule="atLeast"/>
        </w:trPr>
        <w:tc>
          <w:tcPr>
            <w:tcW w:w="1021" w:type="dxa"/>
            <w:vMerge w:val="continue"/>
            <w:tcBorders>
              <w:top w:val="nil"/>
              <w:bottom w:val="nil"/>
            </w:tcBorders>
            <w:vAlign w:val="top"/>
          </w:tcPr>
          <w:p w14:paraId="7F4B08AE">
            <w:pPr>
              <w:rPr>
                <w:rFonts w:ascii="Arial"/>
                <w:sz w:val="21"/>
              </w:rPr>
            </w:pPr>
          </w:p>
        </w:tc>
        <w:tc>
          <w:tcPr>
            <w:tcW w:w="2019" w:type="dxa"/>
            <w:vAlign w:val="top"/>
          </w:tcPr>
          <w:p w14:paraId="38BD77D9">
            <w:pPr>
              <w:pStyle w:val="6"/>
              <w:spacing w:before="305" w:line="282" w:lineRule="auto"/>
              <w:ind w:left="55" w:right="62" w:firstLine="18"/>
            </w:pPr>
            <w:r>
              <w:rPr>
                <w:color w:val="222222"/>
                <w:spacing w:val="-1"/>
              </w:rPr>
              <w:t>13.2 设备及工器具</w:t>
            </w:r>
            <w:r>
              <w:rPr>
                <w:color w:val="222222"/>
                <w:spacing w:val="1"/>
              </w:rPr>
              <w:t>购置费构成及计算</w:t>
            </w:r>
          </w:p>
        </w:tc>
        <w:tc>
          <w:tcPr>
            <w:tcW w:w="7056" w:type="dxa"/>
            <w:vAlign w:val="top"/>
          </w:tcPr>
          <w:p w14:paraId="26185C88">
            <w:pPr>
              <w:pStyle w:val="6"/>
              <w:spacing w:before="139" w:line="221" w:lineRule="auto"/>
              <w:ind w:left="52"/>
            </w:pPr>
            <w:r>
              <w:rPr>
                <w:color w:val="A50021"/>
                <w:spacing w:val="2"/>
                <w:u w:val="single" w:color="auto"/>
              </w:rPr>
              <w:t>P163：设备运杂费计算公式：</w:t>
            </w:r>
          </w:p>
          <w:p w14:paraId="04091AF1">
            <w:pPr>
              <w:pStyle w:val="6"/>
              <w:spacing w:before="69" w:line="220" w:lineRule="auto"/>
              <w:ind w:left="64"/>
            </w:pPr>
            <w:r>
              <w:rPr>
                <w:color w:val="222222"/>
                <w:spacing w:val="1"/>
              </w:rPr>
              <w:t>25版：设备运杂费=设备原价×设备运杂费费率</w:t>
            </w:r>
          </w:p>
          <w:p w14:paraId="6DF68CAE">
            <w:pPr>
              <w:pStyle w:val="6"/>
              <w:spacing w:before="71" w:line="220" w:lineRule="auto"/>
              <w:ind w:left="64"/>
            </w:pPr>
            <w:r>
              <w:rPr>
                <w:color w:val="222222"/>
                <w:spacing w:val="2"/>
              </w:rPr>
              <w:t>26版：设备运杂费=设备原价(或进口设备抵岸</w:t>
            </w:r>
            <w:r>
              <w:rPr>
                <w:color w:val="222222"/>
                <w:spacing w:val="1"/>
              </w:rPr>
              <w:t>价)×设备运杂费费率</w:t>
            </w:r>
          </w:p>
        </w:tc>
      </w:tr>
      <w:tr w14:paraId="341389B4">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5" w:hRule="atLeast"/>
        </w:trPr>
        <w:tc>
          <w:tcPr>
            <w:tcW w:w="1021" w:type="dxa"/>
            <w:vMerge w:val="continue"/>
            <w:tcBorders>
              <w:top w:val="nil"/>
              <w:bottom w:val="nil"/>
            </w:tcBorders>
            <w:vAlign w:val="top"/>
          </w:tcPr>
          <w:p w14:paraId="25345822">
            <w:pPr>
              <w:rPr>
                <w:rFonts w:ascii="Arial"/>
                <w:sz w:val="21"/>
              </w:rPr>
            </w:pPr>
          </w:p>
        </w:tc>
        <w:tc>
          <w:tcPr>
            <w:tcW w:w="2019" w:type="dxa"/>
            <w:vAlign w:val="top"/>
          </w:tcPr>
          <w:p w14:paraId="75165A59">
            <w:pPr>
              <w:pStyle w:val="6"/>
              <w:spacing w:before="141" w:line="282" w:lineRule="auto"/>
              <w:ind w:left="69" w:right="62" w:firstLine="4"/>
            </w:pPr>
            <w:r>
              <w:rPr>
                <w:color w:val="222222"/>
                <w:spacing w:val="-1"/>
              </w:rPr>
              <w:t>13.3 建筑安装工程</w:t>
            </w:r>
            <w:r>
              <w:rPr>
                <w:color w:val="222222"/>
                <w:spacing w:val="-2"/>
              </w:rPr>
              <w:t>费构成及计算</w:t>
            </w:r>
          </w:p>
        </w:tc>
        <w:tc>
          <w:tcPr>
            <w:tcW w:w="7056" w:type="dxa"/>
            <w:vAlign w:val="top"/>
          </w:tcPr>
          <w:p w14:paraId="117D39DC">
            <w:pPr>
              <w:pStyle w:val="6"/>
              <w:spacing w:before="308" w:line="222" w:lineRule="auto"/>
              <w:ind w:left="63"/>
            </w:pPr>
            <w:r>
              <w:rPr>
                <w:color w:val="222222"/>
                <w:spacing w:val="-2"/>
              </w:rPr>
              <w:t>无变化</w:t>
            </w:r>
          </w:p>
        </w:tc>
      </w:tr>
      <w:tr w14:paraId="7FD72A12">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1510" w:hRule="atLeast"/>
        </w:trPr>
        <w:tc>
          <w:tcPr>
            <w:tcW w:w="1021" w:type="dxa"/>
            <w:vMerge w:val="continue"/>
            <w:tcBorders>
              <w:top w:val="nil"/>
              <w:bottom w:val="nil"/>
            </w:tcBorders>
            <w:vAlign w:val="top"/>
          </w:tcPr>
          <w:p w14:paraId="181FBF97">
            <w:pPr>
              <w:rPr>
                <w:rFonts w:ascii="Arial"/>
                <w:sz w:val="21"/>
              </w:rPr>
            </w:pPr>
          </w:p>
        </w:tc>
        <w:tc>
          <w:tcPr>
            <w:tcW w:w="2019" w:type="dxa"/>
            <w:vAlign w:val="top"/>
          </w:tcPr>
          <w:p w14:paraId="0B3C8294">
            <w:pPr>
              <w:spacing w:line="402" w:lineRule="auto"/>
              <w:rPr>
                <w:rFonts w:ascii="Arial"/>
                <w:sz w:val="21"/>
              </w:rPr>
            </w:pPr>
          </w:p>
          <w:p w14:paraId="6859D74E">
            <w:pPr>
              <w:pStyle w:val="6"/>
              <w:spacing w:before="72" w:line="282" w:lineRule="auto"/>
              <w:ind w:left="69" w:right="62" w:firstLine="4"/>
            </w:pPr>
            <w:r>
              <w:rPr>
                <w:color w:val="222222"/>
                <w:spacing w:val="-1"/>
              </w:rPr>
              <w:t>13.4 工程建设其他</w:t>
            </w:r>
            <w:r>
              <w:rPr>
                <w:color w:val="222222"/>
                <w:spacing w:val="-2"/>
              </w:rPr>
              <w:t>费构成及计算</w:t>
            </w:r>
          </w:p>
        </w:tc>
        <w:tc>
          <w:tcPr>
            <w:tcW w:w="7056" w:type="dxa"/>
            <w:vAlign w:val="top"/>
          </w:tcPr>
          <w:p w14:paraId="7AEF69FE">
            <w:pPr>
              <w:pStyle w:val="6"/>
              <w:spacing w:before="144" w:line="221" w:lineRule="auto"/>
              <w:ind w:left="52"/>
            </w:pPr>
            <w:r>
              <w:rPr>
                <w:color w:val="A50021"/>
                <w:spacing w:val="4"/>
                <w:u w:val="single" w:color="auto"/>
              </w:rPr>
              <w:t>P180：13.4.12 保险费 加了“第三者责任险</w:t>
            </w:r>
            <w:r>
              <w:rPr>
                <w:color w:val="A50021"/>
                <w:spacing w:val="-69"/>
                <w:u w:val="single" w:color="auto"/>
              </w:rPr>
              <w:t xml:space="preserve"> </w:t>
            </w:r>
            <w:r>
              <w:rPr>
                <w:color w:val="A50021"/>
                <w:spacing w:val="4"/>
                <w:u w:val="single" w:color="auto"/>
              </w:rPr>
              <w:t>”</w:t>
            </w:r>
          </w:p>
          <w:p w14:paraId="35FC2830">
            <w:pPr>
              <w:pStyle w:val="6"/>
              <w:spacing w:before="70" w:line="281" w:lineRule="auto"/>
              <w:ind w:left="60" w:right="93"/>
            </w:pPr>
            <w:r>
              <w:rPr>
                <w:color w:val="222222"/>
                <w:spacing w:val="2"/>
              </w:rPr>
              <w:t>包括建筑安装工程一切险及第三者责任险、设备财产保险和人身意</w:t>
            </w:r>
            <w:r>
              <w:rPr>
                <w:color w:val="222222"/>
                <w:spacing w:val="1"/>
              </w:rPr>
              <w:t>外伤</w:t>
            </w:r>
            <w:r>
              <w:rPr>
                <w:color w:val="222222"/>
                <w:spacing w:val="2"/>
              </w:rPr>
              <w:t>害险等，不同的建设项目可根 据工程特点选择投保险种，不包括</w:t>
            </w:r>
            <w:r>
              <w:rPr>
                <w:color w:val="222222"/>
                <w:spacing w:val="1"/>
              </w:rPr>
              <w:t>已列</w:t>
            </w:r>
            <w:r>
              <w:rPr>
                <w:color w:val="222222"/>
                <w:spacing w:val="2"/>
              </w:rPr>
              <w:t>入施工企业管理费中的施工管理用财产、车</w:t>
            </w:r>
            <w:r>
              <w:rPr>
                <w:color w:val="222222"/>
                <w:spacing w:val="1"/>
              </w:rPr>
              <w:t>辆保 险 费</w:t>
            </w:r>
            <w:r>
              <w:rPr>
                <w:color w:val="222222"/>
                <w:spacing w:val="3"/>
              </w:rPr>
              <w:t xml:space="preserve"> </w:t>
            </w:r>
            <w:r>
              <w:rPr>
                <w:color w:val="222222"/>
                <w:spacing w:val="1"/>
              </w:rPr>
              <w:t>。</w:t>
            </w:r>
          </w:p>
        </w:tc>
      </w:tr>
      <w:tr w14:paraId="7DDFA2D3">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2" w:hRule="atLeast"/>
        </w:trPr>
        <w:tc>
          <w:tcPr>
            <w:tcW w:w="1021" w:type="dxa"/>
            <w:vMerge w:val="continue"/>
            <w:tcBorders>
              <w:top w:val="nil"/>
              <w:bottom w:val="nil"/>
            </w:tcBorders>
            <w:vAlign w:val="top"/>
          </w:tcPr>
          <w:p w14:paraId="7FF4B2E4">
            <w:pPr>
              <w:rPr>
                <w:rFonts w:ascii="Arial"/>
                <w:sz w:val="21"/>
              </w:rPr>
            </w:pPr>
          </w:p>
        </w:tc>
        <w:tc>
          <w:tcPr>
            <w:tcW w:w="2019" w:type="dxa"/>
            <w:vAlign w:val="top"/>
          </w:tcPr>
          <w:p w14:paraId="05250ACD">
            <w:pPr>
              <w:pStyle w:val="6"/>
              <w:spacing w:before="148" w:line="221" w:lineRule="auto"/>
              <w:ind w:left="73"/>
            </w:pPr>
            <w:r>
              <w:rPr>
                <w:color w:val="222222"/>
                <w:spacing w:val="-1"/>
              </w:rPr>
              <w:t>13.5 预备费计算</w:t>
            </w:r>
          </w:p>
        </w:tc>
        <w:tc>
          <w:tcPr>
            <w:tcW w:w="7056" w:type="dxa"/>
            <w:vAlign w:val="top"/>
          </w:tcPr>
          <w:p w14:paraId="4818328C">
            <w:pPr>
              <w:pStyle w:val="6"/>
              <w:spacing w:before="147" w:line="222" w:lineRule="auto"/>
              <w:ind w:left="63"/>
            </w:pPr>
            <w:r>
              <w:rPr>
                <w:color w:val="222222"/>
                <w:spacing w:val="-2"/>
              </w:rPr>
              <w:t>无变化</w:t>
            </w:r>
          </w:p>
        </w:tc>
      </w:tr>
      <w:tr w14:paraId="2937F6D9">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5" w:hRule="atLeast"/>
        </w:trPr>
        <w:tc>
          <w:tcPr>
            <w:tcW w:w="1021" w:type="dxa"/>
            <w:vMerge w:val="continue"/>
            <w:tcBorders>
              <w:top w:val="nil"/>
              <w:bottom w:val="nil"/>
            </w:tcBorders>
            <w:vAlign w:val="top"/>
          </w:tcPr>
          <w:p w14:paraId="68E7C18A">
            <w:pPr>
              <w:rPr>
                <w:rFonts w:ascii="Arial"/>
                <w:sz w:val="21"/>
              </w:rPr>
            </w:pPr>
          </w:p>
        </w:tc>
        <w:tc>
          <w:tcPr>
            <w:tcW w:w="2019" w:type="dxa"/>
            <w:vAlign w:val="top"/>
          </w:tcPr>
          <w:p w14:paraId="5FCF1C21">
            <w:pPr>
              <w:spacing w:line="243" w:lineRule="auto"/>
              <w:rPr>
                <w:rFonts w:ascii="Arial"/>
                <w:sz w:val="21"/>
              </w:rPr>
            </w:pPr>
          </w:p>
          <w:p w14:paraId="728361A6">
            <w:pPr>
              <w:pStyle w:val="6"/>
              <w:spacing w:before="72" w:line="221" w:lineRule="auto"/>
              <w:ind w:left="73"/>
            </w:pPr>
            <w:r>
              <w:rPr>
                <w:color w:val="222222"/>
                <w:spacing w:val="-1"/>
              </w:rPr>
              <w:t>13.6 增值税计算</w:t>
            </w:r>
          </w:p>
        </w:tc>
        <w:tc>
          <w:tcPr>
            <w:tcW w:w="7056" w:type="dxa"/>
            <w:vAlign w:val="top"/>
          </w:tcPr>
          <w:p w14:paraId="20AABE67">
            <w:pPr>
              <w:pStyle w:val="6"/>
              <w:spacing w:before="149" w:line="220" w:lineRule="auto"/>
              <w:ind w:left="64"/>
            </w:pPr>
            <w:r>
              <w:rPr>
                <w:color w:val="222222"/>
                <w:spacing w:val="2"/>
              </w:rPr>
              <w:t>25版依据《关于深化增值税改革有关政策的公告</w:t>
            </w:r>
            <w:r>
              <w:rPr>
                <w:color w:val="222222"/>
                <w:spacing w:val="1"/>
              </w:rPr>
              <w:t>》(财税〔2019〕39号)</w:t>
            </w:r>
          </w:p>
          <w:p w14:paraId="155F41A5">
            <w:pPr>
              <w:pStyle w:val="6"/>
              <w:spacing w:before="71" w:line="221" w:lineRule="auto"/>
              <w:ind w:left="58"/>
            </w:pPr>
            <w:r>
              <w:rPr>
                <w:color w:val="A50021"/>
                <w:spacing w:val="3"/>
                <w:u w:val="single" w:color="auto"/>
              </w:rPr>
              <w:t>26版依据《增值税法》，实质内容没有调整。</w:t>
            </w:r>
          </w:p>
        </w:tc>
      </w:tr>
      <w:tr w14:paraId="70EC161B">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56" w:hRule="atLeast"/>
        </w:trPr>
        <w:tc>
          <w:tcPr>
            <w:tcW w:w="1021" w:type="dxa"/>
            <w:vMerge w:val="continue"/>
            <w:tcBorders>
              <w:top w:val="nil"/>
            </w:tcBorders>
            <w:vAlign w:val="top"/>
          </w:tcPr>
          <w:p w14:paraId="103AF3B4">
            <w:pPr>
              <w:rPr>
                <w:rFonts w:ascii="Arial"/>
                <w:sz w:val="21"/>
              </w:rPr>
            </w:pPr>
          </w:p>
        </w:tc>
        <w:tc>
          <w:tcPr>
            <w:tcW w:w="2019" w:type="dxa"/>
            <w:vAlign w:val="top"/>
          </w:tcPr>
          <w:p w14:paraId="43E12E3F">
            <w:pPr>
              <w:pStyle w:val="6"/>
              <w:spacing w:before="151" w:line="282" w:lineRule="auto"/>
              <w:ind w:left="58" w:right="62" w:firstLine="15"/>
            </w:pPr>
            <w:r>
              <w:rPr>
                <w:color w:val="222222"/>
                <w:spacing w:val="-1"/>
              </w:rPr>
              <w:t>13.7 建设期利息与</w:t>
            </w:r>
            <w:r>
              <w:rPr>
                <w:color w:val="222222"/>
              </w:rPr>
              <w:t>流动资金计算</w:t>
            </w:r>
          </w:p>
        </w:tc>
        <w:tc>
          <w:tcPr>
            <w:tcW w:w="7056" w:type="dxa"/>
            <w:vAlign w:val="top"/>
          </w:tcPr>
          <w:p w14:paraId="47DC370B">
            <w:pPr>
              <w:spacing w:line="245" w:lineRule="auto"/>
              <w:rPr>
                <w:rFonts w:ascii="Arial"/>
                <w:sz w:val="21"/>
              </w:rPr>
            </w:pPr>
          </w:p>
          <w:p w14:paraId="69A553B6">
            <w:pPr>
              <w:pStyle w:val="6"/>
              <w:spacing w:before="71" w:line="222" w:lineRule="auto"/>
              <w:ind w:left="63"/>
            </w:pPr>
            <w:r>
              <w:rPr>
                <w:color w:val="222222"/>
                <w:spacing w:val="-2"/>
              </w:rPr>
              <w:t>无变化</w:t>
            </w:r>
          </w:p>
        </w:tc>
      </w:tr>
    </w:tbl>
    <w:p w14:paraId="47038B52">
      <w:pPr>
        <w:rPr>
          <w:rFonts w:ascii="Arial"/>
          <w:sz w:val="21"/>
        </w:rPr>
      </w:pPr>
    </w:p>
    <w:p w14:paraId="436B2775">
      <w:pPr>
        <w:rPr>
          <w:rFonts w:ascii="Arial" w:hAnsi="Arial" w:eastAsia="Arial" w:cs="Arial"/>
          <w:sz w:val="21"/>
          <w:szCs w:val="21"/>
        </w:rPr>
        <w:sectPr>
          <w:footerReference r:id="rId19" w:type="default"/>
          <w:pgSz w:w="11900" w:h="16840"/>
          <w:pgMar w:top="865" w:right="308" w:bottom="941" w:left="293" w:header="397" w:footer="585" w:gutter="0"/>
          <w:cols w:space="720" w:num="1"/>
        </w:sectPr>
      </w:pPr>
    </w:p>
    <w:p w14:paraId="4C11996B">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553B95B1">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5EB0B52B">
            <w:pPr>
              <w:pStyle w:val="6"/>
              <w:spacing w:before="144" w:line="221" w:lineRule="auto"/>
              <w:ind w:left="285"/>
            </w:pPr>
            <w:r>
              <w:rPr>
                <w:color w:val="222222"/>
              </w:rPr>
              <w:t>章</w:t>
            </w:r>
          </w:p>
        </w:tc>
        <w:tc>
          <w:tcPr>
            <w:tcW w:w="2019" w:type="dxa"/>
            <w:vAlign w:val="top"/>
          </w:tcPr>
          <w:p w14:paraId="763840D9">
            <w:pPr>
              <w:pStyle w:val="6"/>
              <w:spacing w:before="144" w:line="222" w:lineRule="auto"/>
              <w:ind w:left="885"/>
            </w:pPr>
            <w:r>
              <w:rPr>
                <w:color w:val="222222"/>
              </w:rPr>
              <w:t>节</w:t>
            </w:r>
          </w:p>
        </w:tc>
        <w:tc>
          <w:tcPr>
            <w:tcW w:w="7056" w:type="dxa"/>
            <w:vAlign w:val="top"/>
          </w:tcPr>
          <w:p w14:paraId="18C4A6B5">
            <w:pPr>
              <w:pStyle w:val="6"/>
              <w:spacing w:before="145" w:line="221" w:lineRule="auto"/>
              <w:ind w:left="3073"/>
            </w:pPr>
            <w:r>
              <w:rPr>
                <w:color w:val="222222"/>
                <w:spacing w:val="-1"/>
              </w:rPr>
              <w:t>变化说明</w:t>
            </w:r>
          </w:p>
        </w:tc>
      </w:tr>
      <w:tr w14:paraId="598763A2">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1177" w:hRule="atLeast"/>
        </w:trPr>
        <w:tc>
          <w:tcPr>
            <w:tcW w:w="1021" w:type="dxa"/>
            <w:vMerge w:val="restart"/>
            <w:tcBorders>
              <w:bottom w:val="nil"/>
            </w:tcBorders>
            <w:vAlign w:val="top"/>
          </w:tcPr>
          <w:p w14:paraId="7CFDCB5F">
            <w:pPr>
              <w:spacing w:line="264" w:lineRule="auto"/>
              <w:rPr>
                <w:rFonts w:ascii="Arial"/>
                <w:sz w:val="21"/>
              </w:rPr>
            </w:pPr>
          </w:p>
          <w:p w14:paraId="0AA83F7F">
            <w:pPr>
              <w:spacing w:line="264" w:lineRule="auto"/>
              <w:rPr>
                <w:rFonts w:ascii="Arial"/>
                <w:sz w:val="21"/>
              </w:rPr>
            </w:pPr>
          </w:p>
          <w:p w14:paraId="3AD6318A">
            <w:pPr>
              <w:spacing w:line="265" w:lineRule="auto"/>
              <w:rPr>
                <w:rFonts w:ascii="Arial"/>
                <w:sz w:val="21"/>
              </w:rPr>
            </w:pPr>
          </w:p>
          <w:p w14:paraId="26C9339B">
            <w:pPr>
              <w:spacing w:line="265" w:lineRule="auto"/>
              <w:rPr>
                <w:rFonts w:ascii="Arial"/>
                <w:sz w:val="21"/>
              </w:rPr>
            </w:pPr>
          </w:p>
          <w:p w14:paraId="0FCF3E88">
            <w:pPr>
              <w:spacing w:line="265" w:lineRule="auto"/>
              <w:rPr>
                <w:rFonts w:ascii="Arial"/>
                <w:sz w:val="21"/>
              </w:rPr>
            </w:pPr>
          </w:p>
          <w:p w14:paraId="0B0D233F">
            <w:pPr>
              <w:spacing w:line="265" w:lineRule="auto"/>
              <w:rPr>
                <w:rFonts w:ascii="Arial"/>
                <w:sz w:val="21"/>
              </w:rPr>
            </w:pPr>
          </w:p>
          <w:p w14:paraId="29515629">
            <w:pPr>
              <w:spacing w:line="265" w:lineRule="auto"/>
              <w:rPr>
                <w:rFonts w:ascii="Arial"/>
                <w:sz w:val="21"/>
              </w:rPr>
            </w:pPr>
          </w:p>
          <w:p w14:paraId="292C653E">
            <w:pPr>
              <w:spacing w:line="265" w:lineRule="auto"/>
              <w:rPr>
                <w:rFonts w:ascii="Arial"/>
                <w:sz w:val="21"/>
              </w:rPr>
            </w:pPr>
          </w:p>
          <w:p w14:paraId="0F2BFCC1">
            <w:pPr>
              <w:pStyle w:val="6"/>
              <w:spacing w:before="71" w:line="280" w:lineRule="auto"/>
              <w:ind w:left="68" w:right="277" w:hanging="2"/>
            </w:pPr>
            <w:r>
              <w:rPr>
                <w:color w:val="222222"/>
                <w:spacing w:val="-1"/>
              </w:rPr>
              <w:t>第14章</w:t>
            </w:r>
            <w:r>
              <w:rPr>
                <w:color w:val="222222"/>
                <w:spacing w:val="-3"/>
              </w:rPr>
              <w:t>工程计</w:t>
            </w:r>
          </w:p>
          <w:p w14:paraId="35B38ED0">
            <w:pPr>
              <w:pStyle w:val="6"/>
              <w:spacing w:line="219" w:lineRule="auto"/>
              <w:ind w:left="67"/>
            </w:pPr>
            <w:r>
              <w:rPr>
                <w:color w:val="222222"/>
                <w:spacing w:val="-2"/>
              </w:rPr>
              <w:t>价依据</w:t>
            </w:r>
          </w:p>
        </w:tc>
        <w:tc>
          <w:tcPr>
            <w:tcW w:w="2019" w:type="dxa"/>
            <w:vAlign w:val="top"/>
          </w:tcPr>
          <w:p w14:paraId="2D83FEF4">
            <w:pPr>
              <w:pStyle w:val="6"/>
              <w:spacing w:before="135" w:line="281" w:lineRule="auto"/>
              <w:ind w:left="57" w:right="62" w:firstLine="16"/>
            </w:pPr>
            <w:r>
              <w:rPr>
                <w:color w:val="222222"/>
                <w:spacing w:val="-1"/>
              </w:rPr>
              <w:t>14.1 工程造价管理</w:t>
            </w:r>
            <w:r>
              <w:rPr>
                <w:color w:val="222222"/>
                <w:spacing w:val="1"/>
              </w:rPr>
              <w:t>标准体系与工程定</w:t>
            </w:r>
            <w:r>
              <w:rPr>
                <w:color w:val="222222"/>
                <w:spacing w:val="-2"/>
              </w:rPr>
              <w:t>额体系</w:t>
            </w:r>
          </w:p>
        </w:tc>
        <w:tc>
          <w:tcPr>
            <w:tcW w:w="7056" w:type="dxa"/>
            <w:vAlign w:val="top"/>
          </w:tcPr>
          <w:p w14:paraId="34AC086C">
            <w:pPr>
              <w:spacing w:line="394" w:lineRule="auto"/>
              <w:rPr>
                <w:rFonts w:ascii="Arial"/>
                <w:sz w:val="21"/>
              </w:rPr>
            </w:pPr>
          </w:p>
          <w:p w14:paraId="02227172">
            <w:pPr>
              <w:pStyle w:val="6"/>
              <w:spacing w:before="72" w:line="222" w:lineRule="auto"/>
              <w:ind w:left="62"/>
            </w:pPr>
            <w:r>
              <w:rPr>
                <w:color w:val="222222"/>
                <w:spacing w:val="-2"/>
              </w:rPr>
              <w:t>无变化</w:t>
            </w:r>
          </w:p>
        </w:tc>
      </w:tr>
      <w:tr w14:paraId="55798F2F">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1178" w:hRule="atLeast"/>
        </w:trPr>
        <w:tc>
          <w:tcPr>
            <w:tcW w:w="1021" w:type="dxa"/>
            <w:vMerge w:val="continue"/>
            <w:tcBorders>
              <w:top w:val="nil"/>
              <w:bottom w:val="nil"/>
            </w:tcBorders>
            <w:vAlign w:val="top"/>
          </w:tcPr>
          <w:p w14:paraId="282DE617">
            <w:pPr>
              <w:rPr>
                <w:rFonts w:ascii="Arial"/>
                <w:sz w:val="21"/>
              </w:rPr>
            </w:pPr>
          </w:p>
        </w:tc>
        <w:tc>
          <w:tcPr>
            <w:tcW w:w="2019" w:type="dxa"/>
            <w:vAlign w:val="top"/>
          </w:tcPr>
          <w:p w14:paraId="294F6DBE">
            <w:pPr>
              <w:pStyle w:val="6"/>
              <w:spacing w:before="140" w:line="281" w:lineRule="auto"/>
              <w:ind w:left="56" w:right="62" w:firstLine="17"/>
            </w:pPr>
            <w:r>
              <w:rPr>
                <w:color w:val="222222"/>
                <w:spacing w:val="-1"/>
              </w:rPr>
              <w:t>14.2 人工、材料与</w:t>
            </w:r>
            <w:r>
              <w:rPr>
                <w:color w:val="222222"/>
                <w:spacing w:val="1"/>
              </w:rPr>
              <w:t>施工机具台班消耗</w:t>
            </w:r>
            <w:r>
              <w:rPr>
                <w:color w:val="222222"/>
                <w:spacing w:val="-1"/>
              </w:rPr>
              <w:t>量确定</w:t>
            </w:r>
          </w:p>
        </w:tc>
        <w:tc>
          <w:tcPr>
            <w:tcW w:w="7056" w:type="dxa"/>
            <w:vAlign w:val="top"/>
          </w:tcPr>
          <w:p w14:paraId="1CDC72B1">
            <w:pPr>
              <w:spacing w:line="398" w:lineRule="auto"/>
              <w:rPr>
                <w:rFonts w:ascii="Arial"/>
                <w:sz w:val="21"/>
              </w:rPr>
            </w:pPr>
          </w:p>
          <w:p w14:paraId="112BA289">
            <w:pPr>
              <w:pStyle w:val="6"/>
              <w:spacing w:before="71" w:line="222" w:lineRule="auto"/>
              <w:ind w:left="62"/>
            </w:pPr>
            <w:r>
              <w:rPr>
                <w:color w:val="222222"/>
                <w:spacing w:val="-2"/>
              </w:rPr>
              <w:t>无变化</w:t>
            </w:r>
          </w:p>
        </w:tc>
      </w:tr>
      <w:tr w14:paraId="47B0A858">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1178" w:hRule="atLeast"/>
        </w:trPr>
        <w:tc>
          <w:tcPr>
            <w:tcW w:w="1021" w:type="dxa"/>
            <w:vMerge w:val="continue"/>
            <w:tcBorders>
              <w:top w:val="nil"/>
              <w:bottom w:val="nil"/>
            </w:tcBorders>
            <w:vAlign w:val="top"/>
          </w:tcPr>
          <w:p w14:paraId="3698D5C0">
            <w:pPr>
              <w:rPr>
                <w:rFonts w:ascii="Arial"/>
                <w:sz w:val="21"/>
              </w:rPr>
            </w:pPr>
          </w:p>
        </w:tc>
        <w:tc>
          <w:tcPr>
            <w:tcW w:w="2019" w:type="dxa"/>
            <w:vAlign w:val="top"/>
          </w:tcPr>
          <w:p w14:paraId="6F1D4447">
            <w:pPr>
              <w:pStyle w:val="6"/>
              <w:spacing w:before="142" w:line="281" w:lineRule="auto"/>
              <w:ind w:left="56" w:right="62" w:firstLine="17"/>
            </w:pPr>
            <w:r>
              <w:rPr>
                <w:color w:val="222222"/>
                <w:spacing w:val="-1"/>
              </w:rPr>
              <w:t>14.3 人工、材料与</w:t>
            </w:r>
            <w:r>
              <w:rPr>
                <w:color w:val="222222"/>
                <w:spacing w:val="1"/>
              </w:rPr>
              <w:t>施工机具台班单价</w:t>
            </w:r>
            <w:r>
              <w:rPr>
                <w:color w:val="222222"/>
                <w:spacing w:val="-3"/>
              </w:rPr>
              <w:t>确定</w:t>
            </w:r>
          </w:p>
        </w:tc>
        <w:tc>
          <w:tcPr>
            <w:tcW w:w="7056" w:type="dxa"/>
            <w:vAlign w:val="top"/>
          </w:tcPr>
          <w:p w14:paraId="52CFD471">
            <w:pPr>
              <w:spacing w:line="400" w:lineRule="auto"/>
              <w:rPr>
                <w:rFonts w:ascii="Arial"/>
                <w:sz w:val="21"/>
              </w:rPr>
            </w:pPr>
          </w:p>
          <w:p w14:paraId="040D5695">
            <w:pPr>
              <w:pStyle w:val="6"/>
              <w:spacing w:before="72" w:line="222" w:lineRule="auto"/>
              <w:ind w:left="62"/>
            </w:pPr>
            <w:r>
              <w:rPr>
                <w:color w:val="222222"/>
                <w:spacing w:val="-2"/>
              </w:rPr>
              <w:t>无变化</w:t>
            </w:r>
          </w:p>
        </w:tc>
      </w:tr>
      <w:tr w14:paraId="03D9E3EF">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5" w:hRule="atLeast"/>
        </w:trPr>
        <w:tc>
          <w:tcPr>
            <w:tcW w:w="1021" w:type="dxa"/>
            <w:vMerge w:val="continue"/>
            <w:tcBorders>
              <w:top w:val="nil"/>
              <w:bottom w:val="nil"/>
            </w:tcBorders>
            <w:vAlign w:val="top"/>
          </w:tcPr>
          <w:p w14:paraId="5109C5FD">
            <w:pPr>
              <w:rPr>
                <w:rFonts w:ascii="Arial"/>
                <w:sz w:val="21"/>
              </w:rPr>
            </w:pPr>
          </w:p>
        </w:tc>
        <w:tc>
          <w:tcPr>
            <w:tcW w:w="2019" w:type="dxa"/>
            <w:vAlign w:val="top"/>
          </w:tcPr>
          <w:p w14:paraId="3CCF7C0D">
            <w:pPr>
              <w:pStyle w:val="6"/>
              <w:spacing w:before="143" w:line="282" w:lineRule="auto"/>
              <w:ind w:left="58" w:right="62" w:firstLine="14"/>
            </w:pPr>
            <w:r>
              <w:rPr>
                <w:color w:val="222222"/>
                <w:spacing w:val="-1"/>
              </w:rPr>
              <w:t>14.4 预算定额、概</w:t>
            </w:r>
            <w:r>
              <w:rPr>
                <w:color w:val="222222"/>
              </w:rPr>
              <w:t>算定额与概算指标</w:t>
            </w:r>
          </w:p>
        </w:tc>
        <w:tc>
          <w:tcPr>
            <w:tcW w:w="7056" w:type="dxa"/>
            <w:vAlign w:val="top"/>
          </w:tcPr>
          <w:p w14:paraId="07E20F8C">
            <w:pPr>
              <w:pStyle w:val="6"/>
              <w:spacing w:before="310" w:line="222" w:lineRule="auto"/>
              <w:ind w:left="62"/>
            </w:pPr>
            <w:r>
              <w:rPr>
                <w:color w:val="222222"/>
                <w:spacing w:val="-2"/>
              </w:rPr>
              <w:t>无变化</w:t>
            </w:r>
          </w:p>
        </w:tc>
      </w:tr>
      <w:tr w14:paraId="782CAB82">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5" w:hRule="atLeast"/>
        </w:trPr>
        <w:tc>
          <w:tcPr>
            <w:tcW w:w="1021" w:type="dxa"/>
            <w:vMerge w:val="continue"/>
            <w:tcBorders>
              <w:top w:val="nil"/>
            </w:tcBorders>
            <w:vAlign w:val="top"/>
          </w:tcPr>
          <w:p w14:paraId="50FE7A4E">
            <w:pPr>
              <w:rPr>
                <w:rFonts w:ascii="Arial"/>
                <w:sz w:val="21"/>
              </w:rPr>
            </w:pPr>
          </w:p>
        </w:tc>
        <w:tc>
          <w:tcPr>
            <w:tcW w:w="2019" w:type="dxa"/>
            <w:vAlign w:val="top"/>
          </w:tcPr>
          <w:p w14:paraId="1929B896">
            <w:pPr>
              <w:pStyle w:val="6"/>
              <w:spacing w:before="145" w:line="282" w:lineRule="auto"/>
              <w:ind w:left="61" w:right="62" w:firstLine="12"/>
            </w:pPr>
            <w:r>
              <w:rPr>
                <w:color w:val="222222"/>
                <w:spacing w:val="-1"/>
              </w:rPr>
              <w:t>14.5 工程造价指标</w:t>
            </w:r>
            <w:r>
              <w:rPr>
                <w:color w:val="222222"/>
                <w:spacing w:val="-3"/>
              </w:rPr>
              <w:t>与指数</w:t>
            </w:r>
          </w:p>
        </w:tc>
        <w:tc>
          <w:tcPr>
            <w:tcW w:w="7056" w:type="dxa"/>
            <w:vAlign w:val="top"/>
          </w:tcPr>
          <w:p w14:paraId="20DCC3DE">
            <w:pPr>
              <w:pStyle w:val="6"/>
              <w:spacing w:before="312" w:line="220" w:lineRule="auto"/>
              <w:ind w:left="58"/>
            </w:pPr>
            <w:r>
              <w:rPr>
                <w:color w:val="A50021"/>
                <w:spacing w:val="3"/>
                <w:u w:val="single" w:color="auto"/>
              </w:rPr>
              <w:t>25版“指标</w:t>
            </w:r>
            <w:r>
              <w:rPr>
                <w:color w:val="A50021"/>
                <w:spacing w:val="-62"/>
                <w:u w:val="single" w:color="auto"/>
              </w:rPr>
              <w:t xml:space="preserve"> </w:t>
            </w:r>
            <w:r>
              <w:rPr>
                <w:color w:val="A50021"/>
                <w:spacing w:val="3"/>
                <w:u w:val="single" w:color="auto"/>
              </w:rPr>
              <w:t>”改成26版“造价指标</w:t>
            </w:r>
            <w:r>
              <w:rPr>
                <w:color w:val="A50021"/>
                <w:spacing w:val="-79"/>
                <w:u w:val="single" w:color="auto"/>
              </w:rPr>
              <w:t xml:space="preserve"> </w:t>
            </w:r>
            <w:r>
              <w:rPr>
                <w:color w:val="A50021"/>
                <w:spacing w:val="3"/>
                <w:u w:val="single" w:color="auto"/>
              </w:rPr>
              <w:t>”</w:t>
            </w:r>
          </w:p>
        </w:tc>
      </w:tr>
      <w:tr w14:paraId="64D3E51B">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2" w:hRule="atLeast"/>
        </w:trPr>
        <w:tc>
          <w:tcPr>
            <w:tcW w:w="1021" w:type="dxa"/>
            <w:vMerge w:val="restart"/>
            <w:tcBorders>
              <w:bottom w:val="nil"/>
            </w:tcBorders>
            <w:vAlign w:val="top"/>
          </w:tcPr>
          <w:p w14:paraId="671E5279">
            <w:pPr>
              <w:spacing w:line="275" w:lineRule="auto"/>
              <w:rPr>
                <w:rFonts w:ascii="Arial"/>
                <w:sz w:val="21"/>
              </w:rPr>
            </w:pPr>
          </w:p>
          <w:p w14:paraId="66C42105">
            <w:pPr>
              <w:pStyle w:val="6"/>
              <w:spacing w:before="71" w:line="280" w:lineRule="auto"/>
              <w:ind w:left="69" w:right="278" w:hanging="3"/>
            </w:pPr>
            <w:r>
              <w:rPr>
                <w:color w:val="222222"/>
                <w:spacing w:val="-1"/>
              </w:rPr>
              <w:t>第15章</w:t>
            </w:r>
            <w:r>
              <w:rPr>
                <w:color w:val="222222"/>
                <w:spacing w:val="-3"/>
              </w:rPr>
              <w:t>设计概</w:t>
            </w:r>
          </w:p>
          <w:p w14:paraId="549F0BB8">
            <w:pPr>
              <w:pStyle w:val="6"/>
              <w:spacing w:line="221" w:lineRule="auto"/>
              <w:ind w:left="68"/>
            </w:pPr>
            <w:r>
              <w:rPr>
                <w:color w:val="222222"/>
                <w:spacing w:val="-2"/>
              </w:rPr>
              <w:t>算与施</w:t>
            </w:r>
          </w:p>
          <w:p w14:paraId="573ACFC0">
            <w:pPr>
              <w:pStyle w:val="6"/>
              <w:spacing w:before="69" w:line="282" w:lineRule="auto"/>
              <w:ind w:left="68" w:right="278"/>
            </w:pPr>
            <w:r>
              <w:rPr>
                <w:color w:val="222222"/>
                <w:spacing w:val="-3"/>
              </w:rPr>
              <w:t>工图预</w:t>
            </w:r>
            <w:r>
              <w:rPr>
                <w:color w:val="222222"/>
              </w:rPr>
              <w:t>算</w:t>
            </w:r>
          </w:p>
        </w:tc>
        <w:tc>
          <w:tcPr>
            <w:tcW w:w="2019" w:type="dxa"/>
            <w:vAlign w:val="top"/>
          </w:tcPr>
          <w:p w14:paraId="4E0A72BD">
            <w:pPr>
              <w:pStyle w:val="6"/>
              <w:spacing w:before="148" w:line="221" w:lineRule="auto"/>
              <w:ind w:left="73"/>
            </w:pPr>
            <w:r>
              <w:rPr>
                <w:color w:val="222222"/>
                <w:spacing w:val="-1"/>
              </w:rPr>
              <w:t>15.1 设计概算编制</w:t>
            </w:r>
          </w:p>
        </w:tc>
        <w:tc>
          <w:tcPr>
            <w:tcW w:w="7056" w:type="dxa"/>
            <w:vAlign w:val="top"/>
          </w:tcPr>
          <w:p w14:paraId="60B6B290">
            <w:pPr>
              <w:pStyle w:val="6"/>
              <w:spacing w:before="148" w:line="222" w:lineRule="auto"/>
              <w:ind w:left="62"/>
            </w:pPr>
            <w:r>
              <w:rPr>
                <w:color w:val="222222"/>
                <w:spacing w:val="-2"/>
              </w:rPr>
              <w:t>无变化</w:t>
            </w:r>
          </w:p>
        </w:tc>
      </w:tr>
      <w:tr w14:paraId="6620C847">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5" w:hRule="atLeast"/>
        </w:trPr>
        <w:tc>
          <w:tcPr>
            <w:tcW w:w="1021" w:type="dxa"/>
            <w:vMerge w:val="continue"/>
            <w:tcBorders>
              <w:top w:val="nil"/>
              <w:bottom w:val="nil"/>
            </w:tcBorders>
            <w:vAlign w:val="top"/>
          </w:tcPr>
          <w:p w14:paraId="0791B9A5">
            <w:pPr>
              <w:rPr>
                <w:rFonts w:ascii="Arial"/>
                <w:sz w:val="21"/>
              </w:rPr>
            </w:pPr>
          </w:p>
        </w:tc>
        <w:tc>
          <w:tcPr>
            <w:tcW w:w="2019" w:type="dxa"/>
            <w:vAlign w:val="top"/>
          </w:tcPr>
          <w:p w14:paraId="6F0E4536">
            <w:pPr>
              <w:pStyle w:val="6"/>
              <w:spacing w:before="150" w:line="282" w:lineRule="auto"/>
              <w:ind w:left="57" w:right="62" w:firstLine="15"/>
            </w:pPr>
            <w:r>
              <w:rPr>
                <w:color w:val="222222"/>
                <w:spacing w:val="-1"/>
              </w:rPr>
              <w:t>15.2 施工图预算编</w:t>
            </w:r>
            <w:r>
              <w:rPr>
                <w:color w:val="222222"/>
              </w:rPr>
              <w:t>制</w:t>
            </w:r>
          </w:p>
        </w:tc>
        <w:tc>
          <w:tcPr>
            <w:tcW w:w="7056" w:type="dxa"/>
            <w:vAlign w:val="top"/>
          </w:tcPr>
          <w:p w14:paraId="4369340A">
            <w:pPr>
              <w:spacing w:line="243" w:lineRule="auto"/>
              <w:rPr>
                <w:rFonts w:ascii="Arial"/>
                <w:sz w:val="21"/>
              </w:rPr>
            </w:pPr>
          </w:p>
          <w:p w14:paraId="0EC1897E">
            <w:pPr>
              <w:pStyle w:val="6"/>
              <w:spacing w:before="72" w:line="222" w:lineRule="auto"/>
              <w:ind w:left="62"/>
            </w:pPr>
            <w:r>
              <w:rPr>
                <w:color w:val="222222"/>
                <w:spacing w:val="-2"/>
              </w:rPr>
              <w:t>无变化</w:t>
            </w:r>
          </w:p>
        </w:tc>
      </w:tr>
      <w:tr w14:paraId="3BA14468">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56" w:hRule="atLeast"/>
        </w:trPr>
        <w:tc>
          <w:tcPr>
            <w:tcW w:w="1021" w:type="dxa"/>
            <w:vMerge w:val="continue"/>
            <w:tcBorders>
              <w:top w:val="nil"/>
            </w:tcBorders>
            <w:vAlign w:val="top"/>
          </w:tcPr>
          <w:p w14:paraId="1677049A">
            <w:pPr>
              <w:rPr>
                <w:rFonts w:ascii="Arial"/>
                <w:sz w:val="21"/>
              </w:rPr>
            </w:pPr>
          </w:p>
        </w:tc>
        <w:tc>
          <w:tcPr>
            <w:tcW w:w="2019" w:type="dxa"/>
            <w:vAlign w:val="top"/>
          </w:tcPr>
          <w:p w14:paraId="29058CC9">
            <w:pPr>
              <w:pStyle w:val="6"/>
              <w:spacing w:before="151" w:line="282" w:lineRule="auto"/>
              <w:ind w:left="59" w:right="62" w:firstLine="13"/>
            </w:pPr>
            <w:r>
              <w:rPr>
                <w:color w:val="222222"/>
                <w:spacing w:val="-1"/>
              </w:rPr>
              <w:t>15.3 设计概算与施</w:t>
            </w:r>
            <w:r>
              <w:rPr>
                <w:color w:val="222222"/>
              </w:rPr>
              <w:t>工图预算的审查</w:t>
            </w:r>
          </w:p>
        </w:tc>
        <w:tc>
          <w:tcPr>
            <w:tcW w:w="7056" w:type="dxa"/>
            <w:vAlign w:val="top"/>
          </w:tcPr>
          <w:p w14:paraId="766CD1DB">
            <w:pPr>
              <w:spacing w:line="245" w:lineRule="auto"/>
              <w:rPr>
                <w:rFonts w:ascii="Arial"/>
                <w:sz w:val="21"/>
              </w:rPr>
            </w:pPr>
          </w:p>
          <w:p w14:paraId="5031DAB3">
            <w:pPr>
              <w:pStyle w:val="6"/>
              <w:spacing w:before="72" w:line="222" w:lineRule="auto"/>
              <w:ind w:left="62"/>
            </w:pPr>
            <w:r>
              <w:rPr>
                <w:color w:val="222222"/>
                <w:spacing w:val="-2"/>
              </w:rPr>
              <w:t>无变化</w:t>
            </w:r>
          </w:p>
        </w:tc>
      </w:tr>
    </w:tbl>
    <w:p w14:paraId="177F7342">
      <w:pPr>
        <w:spacing w:line="166" w:lineRule="exact"/>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1FDAA713">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317F3B9D">
            <w:pPr>
              <w:pStyle w:val="6"/>
              <w:spacing w:before="144" w:line="221" w:lineRule="auto"/>
              <w:ind w:left="285"/>
            </w:pPr>
            <w:r>
              <w:rPr>
                <w:color w:val="222222"/>
              </w:rPr>
              <w:t>章</w:t>
            </w:r>
          </w:p>
        </w:tc>
        <w:tc>
          <w:tcPr>
            <w:tcW w:w="2019" w:type="dxa"/>
            <w:vAlign w:val="top"/>
          </w:tcPr>
          <w:p w14:paraId="26AD3B04">
            <w:pPr>
              <w:pStyle w:val="6"/>
              <w:spacing w:before="144" w:line="222" w:lineRule="auto"/>
              <w:ind w:left="885"/>
            </w:pPr>
            <w:r>
              <w:rPr>
                <w:color w:val="222222"/>
              </w:rPr>
              <w:t>节</w:t>
            </w:r>
          </w:p>
        </w:tc>
        <w:tc>
          <w:tcPr>
            <w:tcW w:w="7056" w:type="dxa"/>
            <w:vAlign w:val="top"/>
          </w:tcPr>
          <w:p w14:paraId="23437939">
            <w:pPr>
              <w:pStyle w:val="6"/>
              <w:spacing w:before="144" w:line="221" w:lineRule="auto"/>
              <w:ind w:left="3073"/>
            </w:pPr>
            <w:r>
              <w:rPr>
                <w:color w:val="222222"/>
                <w:spacing w:val="-1"/>
              </w:rPr>
              <w:t>变化说明</w:t>
            </w:r>
          </w:p>
        </w:tc>
      </w:tr>
      <w:tr w14:paraId="6B74568A">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4" w:hRule="atLeast"/>
        </w:trPr>
        <w:tc>
          <w:tcPr>
            <w:tcW w:w="1021" w:type="dxa"/>
            <w:vMerge w:val="restart"/>
            <w:tcBorders>
              <w:bottom w:val="nil"/>
            </w:tcBorders>
            <w:vAlign w:val="top"/>
          </w:tcPr>
          <w:p w14:paraId="4C581DF2">
            <w:pPr>
              <w:spacing w:line="260" w:lineRule="auto"/>
              <w:rPr>
                <w:rFonts w:ascii="Arial"/>
                <w:sz w:val="21"/>
              </w:rPr>
            </w:pPr>
          </w:p>
          <w:p w14:paraId="57637B40">
            <w:pPr>
              <w:spacing w:line="260" w:lineRule="auto"/>
              <w:rPr>
                <w:rFonts w:ascii="Arial"/>
                <w:sz w:val="21"/>
              </w:rPr>
            </w:pPr>
          </w:p>
          <w:p w14:paraId="70444425">
            <w:pPr>
              <w:spacing w:line="260" w:lineRule="auto"/>
              <w:rPr>
                <w:rFonts w:ascii="Arial"/>
                <w:sz w:val="21"/>
              </w:rPr>
            </w:pPr>
          </w:p>
          <w:p w14:paraId="236FFA0E">
            <w:pPr>
              <w:spacing w:line="260" w:lineRule="auto"/>
              <w:rPr>
                <w:rFonts w:ascii="Arial"/>
                <w:sz w:val="21"/>
              </w:rPr>
            </w:pPr>
          </w:p>
          <w:p w14:paraId="3EC9F9A2">
            <w:pPr>
              <w:spacing w:line="260" w:lineRule="auto"/>
              <w:rPr>
                <w:rFonts w:ascii="Arial"/>
                <w:sz w:val="21"/>
              </w:rPr>
            </w:pPr>
          </w:p>
          <w:p w14:paraId="4DB165A8">
            <w:pPr>
              <w:spacing w:line="261" w:lineRule="auto"/>
              <w:rPr>
                <w:rFonts w:ascii="Arial"/>
                <w:sz w:val="21"/>
              </w:rPr>
            </w:pPr>
          </w:p>
          <w:p w14:paraId="1A9504D6">
            <w:pPr>
              <w:spacing w:line="261" w:lineRule="auto"/>
              <w:rPr>
                <w:rFonts w:ascii="Arial"/>
                <w:sz w:val="21"/>
              </w:rPr>
            </w:pPr>
          </w:p>
          <w:p w14:paraId="3C0BB4F8">
            <w:pPr>
              <w:pStyle w:val="6"/>
              <w:spacing w:before="71" w:line="280" w:lineRule="auto"/>
              <w:ind w:left="66" w:right="278"/>
              <w:jc w:val="both"/>
            </w:pPr>
            <w:r>
              <w:rPr>
                <w:color w:val="222222"/>
                <w:spacing w:val="-1"/>
              </w:rPr>
              <w:t>第16章</w:t>
            </w:r>
            <w:r>
              <w:rPr>
                <w:color w:val="222222"/>
                <w:spacing w:val="-2"/>
              </w:rPr>
              <w:t>工程量清单计</w:t>
            </w:r>
            <w:r>
              <w:rPr>
                <w:color w:val="222222"/>
              </w:rPr>
              <w:t>价</w:t>
            </w:r>
          </w:p>
        </w:tc>
        <w:tc>
          <w:tcPr>
            <w:tcW w:w="2019" w:type="dxa"/>
            <w:vAlign w:val="top"/>
          </w:tcPr>
          <w:p w14:paraId="57DE012C">
            <w:pPr>
              <w:pStyle w:val="6"/>
              <w:spacing w:before="135" w:line="281" w:lineRule="auto"/>
              <w:ind w:left="57" w:right="62" w:firstLine="15"/>
            </w:pPr>
            <w:r>
              <w:rPr>
                <w:color w:val="222222"/>
                <w:spacing w:val="-1"/>
              </w:rPr>
              <w:t>16.1 工程量清单计</w:t>
            </w:r>
            <w:r>
              <w:rPr>
                <w:color w:val="222222"/>
                <w:spacing w:val="-2"/>
              </w:rPr>
              <w:t>价原理</w:t>
            </w:r>
          </w:p>
        </w:tc>
        <w:tc>
          <w:tcPr>
            <w:tcW w:w="7056" w:type="dxa"/>
            <w:vAlign w:val="top"/>
          </w:tcPr>
          <w:p w14:paraId="649AD81D">
            <w:pPr>
              <w:pStyle w:val="6"/>
              <w:spacing w:before="301" w:line="222" w:lineRule="auto"/>
              <w:ind w:left="62"/>
            </w:pPr>
            <w:r>
              <w:rPr>
                <w:color w:val="222222"/>
                <w:spacing w:val="-2"/>
              </w:rPr>
              <w:t>无变化</w:t>
            </w:r>
          </w:p>
        </w:tc>
      </w:tr>
      <w:tr w14:paraId="5E3F58AD">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4178" w:hRule="atLeast"/>
        </w:trPr>
        <w:tc>
          <w:tcPr>
            <w:tcW w:w="1021" w:type="dxa"/>
            <w:vMerge w:val="continue"/>
            <w:tcBorders>
              <w:top w:val="nil"/>
            </w:tcBorders>
            <w:vAlign w:val="top"/>
          </w:tcPr>
          <w:p w14:paraId="5EAA0B32">
            <w:pPr>
              <w:rPr>
                <w:rFonts w:ascii="Arial"/>
                <w:sz w:val="21"/>
              </w:rPr>
            </w:pPr>
          </w:p>
        </w:tc>
        <w:tc>
          <w:tcPr>
            <w:tcW w:w="2019" w:type="dxa"/>
            <w:vAlign w:val="top"/>
          </w:tcPr>
          <w:p w14:paraId="1C178B63">
            <w:pPr>
              <w:spacing w:line="246" w:lineRule="auto"/>
              <w:rPr>
                <w:rFonts w:ascii="Arial"/>
                <w:sz w:val="21"/>
              </w:rPr>
            </w:pPr>
          </w:p>
          <w:p w14:paraId="4D16DB1E">
            <w:pPr>
              <w:spacing w:line="246" w:lineRule="auto"/>
              <w:rPr>
                <w:rFonts w:ascii="Arial"/>
                <w:sz w:val="21"/>
              </w:rPr>
            </w:pPr>
          </w:p>
          <w:p w14:paraId="22D1F8A2">
            <w:pPr>
              <w:spacing w:line="246" w:lineRule="auto"/>
              <w:rPr>
                <w:rFonts w:ascii="Arial"/>
                <w:sz w:val="21"/>
              </w:rPr>
            </w:pPr>
          </w:p>
          <w:p w14:paraId="4B17DA0E">
            <w:pPr>
              <w:spacing w:line="246" w:lineRule="auto"/>
              <w:rPr>
                <w:rFonts w:ascii="Arial"/>
                <w:sz w:val="21"/>
              </w:rPr>
            </w:pPr>
          </w:p>
          <w:p w14:paraId="3F5037C8">
            <w:pPr>
              <w:spacing w:line="246" w:lineRule="auto"/>
              <w:rPr>
                <w:rFonts w:ascii="Arial"/>
                <w:sz w:val="21"/>
              </w:rPr>
            </w:pPr>
          </w:p>
          <w:p w14:paraId="3653CD6A">
            <w:pPr>
              <w:spacing w:line="246" w:lineRule="auto"/>
              <w:rPr>
                <w:rFonts w:ascii="Arial"/>
                <w:sz w:val="21"/>
              </w:rPr>
            </w:pPr>
          </w:p>
          <w:p w14:paraId="1E1F35E4">
            <w:pPr>
              <w:spacing w:line="247" w:lineRule="auto"/>
              <w:rPr>
                <w:rFonts w:ascii="Arial"/>
                <w:sz w:val="21"/>
              </w:rPr>
            </w:pPr>
          </w:p>
          <w:p w14:paraId="69081118">
            <w:pPr>
              <w:pStyle w:val="6"/>
              <w:spacing w:before="72" w:line="282" w:lineRule="auto"/>
              <w:ind w:left="57" w:right="62" w:firstLine="15"/>
            </w:pPr>
            <w:r>
              <w:rPr>
                <w:color w:val="222222"/>
                <w:spacing w:val="-1"/>
              </w:rPr>
              <w:t>16.2 工程量清单编</w:t>
            </w:r>
            <w:r>
              <w:rPr>
                <w:color w:val="222222"/>
              </w:rPr>
              <w:t>制</w:t>
            </w:r>
          </w:p>
        </w:tc>
        <w:tc>
          <w:tcPr>
            <w:tcW w:w="7056" w:type="dxa"/>
            <w:vAlign w:val="top"/>
          </w:tcPr>
          <w:p w14:paraId="67557201">
            <w:pPr>
              <w:pStyle w:val="6"/>
              <w:spacing w:before="138" w:line="221" w:lineRule="auto"/>
              <w:ind w:left="52"/>
            </w:pPr>
            <w:r>
              <w:rPr>
                <w:color w:val="A50021"/>
                <w:spacing w:val="-1"/>
                <w:u w:val="single" w:color="auto"/>
              </w:rPr>
              <w:t>P257-P258： “项目编码</w:t>
            </w:r>
            <w:r>
              <w:rPr>
                <w:color w:val="A50021"/>
                <w:spacing w:val="-73"/>
                <w:u w:val="single" w:color="auto"/>
              </w:rPr>
              <w:t xml:space="preserve"> </w:t>
            </w:r>
            <w:r>
              <w:rPr>
                <w:color w:val="A50021"/>
                <w:spacing w:val="-1"/>
                <w:u w:val="single" w:color="auto"/>
              </w:rPr>
              <w:t>”、“项目名称</w:t>
            </w:r>
            <w:r>
              <w:rPr>
                <w:color w:val="A50021"/>
                <w:spacing w:val="-79"/>
                <w:u w:val="single" w:color="auto"/>
              </w:rPr>
              <w:t xml:space="preserve"> </w:t>
            </w:r>
            <w:r>
              <w:rPr>
                <w:color w:val="A50021"/>
                <w:spacing w:val="-1"/>
                <w:u w:val="single" w:color="auto"/>
              </w:rPr>
              <w:t>”、“项目特征</w:t>
            </w:r>
            <w:r>
              <w:rPr>
                <w:color w:val="A50021"/>
                <w:spacing w:val="-78"/>
                <w:u w:val="single" w:color="auto"/>
              </w:rPr>
              <w:t xml:space="preserve"> </w:t>
            </w:r>
            <w:r>
              <w:rPr>
                <w:color w:val="A50021"/>
                <w:spacing w:val="-1"/>
                <w:u w:val="single" w:color="auto"/>
              </w:rPr>
              <w:t>”举例有调整</w:t>
            </w:r>
          </w:p>
          <w:p w14:paraId="293C5B45">
            <w:pPr>
              <w:pStyle w:val="6"/>
              <w:tabs>
                <w:tab w:val="left" w:pos="76"/>
              </w:tabs>
              <w:spacing w:before="214" w:line="93" w:lineRule="auto"/>
              <w:ind w:left="47"/>
            </w:pPr>
            <w:r>
              <w:rPr>
                <w:color w:val="A50021"/>
                <w:u w:val="single" w:color="auto"/>
              </w:rPr>
              <w:tab/>
            </w:r>
            <w:r>
              <w:rPr>
                <w:color w:val="A50021"/>
                <w:u w:val="single" w:color="auto"/>
              </w:rPr>
              <w:t>。</w:t>
            </w:r>
          </w:p>
          <w:p w14:paraId="6BCC8D3A">
            <w:pPr>
              <w:spacing w:line="339" w:lineRule="auto"/>
              <w:rPr>
                <w:rFonts w:ascii="Arial"/>
                <w:sz w:val="21"/>
              </w:rPr>
            </w:pPr>
          </w:p>
          <w:p w14:paraId="7E8D2FD2">
            <w:pPr>
              <w:pStyle w:val="6"/>
              <w:spacing w:before="71" w:line="221" w:lineRule="auto"/>
              <w:ind w:left="52"/>
            </w:pPr>
            <w:r>
              <w:rPr>
                <w:color w:val="A50021"/>
                <w:spacing w:val="1"/>
                <w:u w:val="single" w:color="auto"/>
              </w:rPr>
              <w:t>P259：16.2.3 措施项目清单的编制 修改两句话</w:t>
            </w:r>
          </w:p>
          <w:p w14:paraId="52A382E6">
            <w:pPr>
              <w:pStyle w:val="6"/>
              <w:spacing w:before="69" w:line="280" w:lineRule="auto"/>
              <w:ind w:left="60" w:right="204" w:firstLine="3"/>
            </w:pPr>
            <w:r>
              <w:rPr>
                <w:color w:val="222222"/>
              </w:rPr>
              <w:t>25版：</w:t>
            </w:r>
            <w:r>
              <w:rPr>
                <w:color w:val="222222"/>
                <w:spacing w:val="-54"/>
              </w:rPr>
              <w:t xml:space="preserve"> </w:t>
            </w:r>
            <w:r>
              <w:rPr>
                <w:color w:val="222222"/>
              </w:rPr>
              <w:t>(1)招标人依据设计文件或拟定的合理施工方案能准确计量的措</w:t>
            </w:r>
            <w:r>
              <w:rPr>
                <w:color w:val="222222"/>
                <w:spacing w:val="1"/>
              </w:rPr>
              <w:t>施项目应采用单 价计价措施项目清单。</w:t>
            </w:r>
          </w:p>
          <w:p w14:paraId="229FAE26">
            <w:pPr>
              <w:pStyle w:val="6"/>
              <w:spacing w:before="2" w:line="279" w:lineRule="auto"/>
              <w:ind w:left="61" w:right="204" w:firstLine="39"/>
            </w:pPr>
            <w:r>
              <w:rPr>
                <w:color w:val="222222"/>
                <w:spacing w:val="1"/>
              </w:rPr>
              <w:t>(2)招标人依据项目实际情况不能准确计量</w:t>
            </w:r>
            <w:r>
              <w:rPr>
                <w:color w:val="222222"/>
              </w:rPr>
              <w:t>的措施项目应采用总价计价</w:t>
            </w:r>
            <w:r>
              <w:rPr>
                <w:color w:val="222222"/>
                <w:spacing w:val="2"/>
              </w:rPr>
              <w:t>措施项目 清单，在编制时应明确其包含的内容、</w:t>
            </w:r>
            <w:r>
              <w:rPr>
                <w:color w:val="222222"/>
                <w:spacing w:val="1"/>
              </w:rPr>
              <w:t>实施要求等。</w:t>
            </w:r>
          </w:p>
          <w:p w14:paraId="625DA919">
            <w:pPr>
              <w:pStyle w:val="6"/>
              <w:spacing w:before="2" w:line="279" w:lineRule="auto"/>
              <w:ind w:left="64" w:right="204"/>
            </w:pPr>
            <w:r>
              <w:rPr>
                <w:color w:val="222222"/>
              </w:rPr>
              <w:t>26版：</w:t>
            </w:r>
            <w:r>
              <w:rPr>
                <w:color w:val="222222"/>
                <w:spacing w:val="-54"/>
              </w:rPr>
              <w:t xml:space="preserve"> </w:t>
            </w:r>
            <w:r>
              <w:rPr>
                <w:color w:val="222222"/>
              </w:rPr>
              <w:t>(1)《计算标准》附录中的措施项目应按规定的项目编码、项目</w:t>
            </w:r>
            <w:r>
              <w:rPr>
                <w:color w:val="222222"/>
                <w:spacing w:val="-1"/>
              </w:rPr>
              <w:t>名称和工作内容 确</w:t>
            </w:r>
            <w:r>
              <w:rPr>
                <w:color w:val="222222"/>
                <w:spacing w:val="24"/>
              </w:rPr>
              <w:t xml:space="preserve"> </w:t>
            </w:r>
            <w:r>
              <w:rPr>
                <w:color w:val="222222"/>
                <w:spacing w:val="-1"/>
              </w:rPr>
              <w:t>定 。</w:t>
            </w:r>
          </w:p>
          <w:p w14:paraId="3D0FFE76">
            <w:pPr>
              <w:pStyle w:val="6"/>
              <w:spacing w:before="1" w:line="281" w:lineRule="auto"/>
              <w:ind w:left="64" w:right="204" w:firstLine="36"/>
            </w:pPr>
            <w:r>
              <w:rPr>
                <w:color w:val="222222"/>
                <w:spacing w:val="1"/>
              </w:rPr>
              <w:t>(2)发包人提供设计图纸并要求承包人按图</w:t>
            </w:r>
            <w:r>
              <w:rPr>
                <w:color w:val="222222"/>
              </w:rPr>
              <w:t>施工的措施项目，应按分部</w:t>
            </w:r>
            <w:r>
              <w:rPr>
                <w:color w:val="222222"/>
                <w:spacing w:val="1"/>
              </w:rPr>
              <w:t>分项工程</w:t>
            </w:r>
            <w:r>
              <w:rPr>
                <w:color w:val="222222"/>
                <w:spacing w:val="30"/>
              </w:rPr>
              <w:t xml:space="preserve"> </w:t>
            </w:r>
            <w:r>
              <w:rPr>
                <w:color w:val="222222"/>
                <w:spacing w:val="1"/>
              </w:rPr>
              <w:t>的规定编制工程量清单，列入分部</w:t>
            </w:r>
            <w:r>
              <w:rPr>
                <w:color w:val="222222"/>
              </w:rPr>
              <w:t>分项工程量清单中。</w:t>
            </w:r>
          </w:p>
        </w:tc>
      </w:tr>
    </w:tbl>
    <w:p w14:paraId="632E639A">
      <w:pPr>
        <w:rPr>
          <w:rFonts w:ascii="Arial"/>
          <w:sz w:val="21"/>
        </w:rPr>
      </w:pPr>
    </w:p>
    <w:p w14:paraId="623C9519">
      <w:pPr>
        <w:rPr>
          <w:rFonts w:ascii="Arial" w:hAnsi="Arial" w:eastAsia="Arial" w:cs="Arial"/>
          <w:sz w:val="21"/>
          <w:szCs w:val="21"/>
        </w:rPr>
        <w:sectPr>
          <w:footerReference r:id="rId20" w:type="default"/>
          <w:pgSz w:w="11900" w:h="16840"/>
          <w:pgMar w:top="865" w:right="308" w:bottom="941" w:left="293" w:header="397" w:footer="585" w:gutter="0"/>
          <w:cols w:space="720" w:num="1"/>
        </w:sectPr>
      </w:pPr>
    </w:p>
    <w:p w14:paraId="3A6FC2D6">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0296F0D9">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2" w:hRule="atLeast"/>
        </w:trPr>
        <w:tc>
          <w:tcPr>
            <w:tcW w:w="1021" w:type="dxa"/>
            <w:vAlign w:val="top"/>
          </w:tcPr>
          <w:p w14:paraId="262D73AF">
            <w:pPr>
              <w:pStyle w:val="6"/>
              <w:spacing w:before="144" w:line="221" w:lineRule="auto"/>
              <w:ind w:left="285"/>
            </w:pPr>
            <w:r>
              <w:rPr>
                <w:color w:val="222222"/>
              </w:rPr>
              <w:t>章</w:t>
            </w:r>
          </w:p>
        </w:tc>
        <w:tc>
          <w:tcPr>
            <w:tcW w:w="2019" w:type="dxa"/>
            <w:vAlign w:val="top"/>
          </w:tcPr>
          <w:p w14:paraId="5995A8A8">
            <w:pPr>
              <w:pStyle w:val="6"/>
              <w:spacing w:before="144" w:line="222" w:lineRule="auto"/>
              <w:ind w:left="885"/>
            </w:pPr>
            <w:r>
              <w:rPr>
                <w:color w:val="222222"/>
              </w:rPr>
              <w:t>节</w:t>
            </w:r>
          </w:p>
        </w:tc>
        <w:tc>
          <w:tcPr>
            <w:tcW w:w="7056" w:type="dxa"/>
            <w:vAlign w:val="top"/>
          </w:tcPr>
          <w:p w14:paraId="2981AA11">
            <w:pPr>
              <w:pStyle w:val="6"/>
              <w:spacing w:before="145" w:line="221" w:lineRule="auto"/>
              <w:ind w:left="3073"/>
            </w:pPr>
            <w:r>
              <w:rPr>
                <w:color w:val="222222"/>
                <w:spacing w:val="-1"/>
              </w:rPr>
              <w:t>变化说明</w:t>
            </w:r>
          </w:p>
        </w:tc>
      </w:tr>
      <w:tr w14:paraId="330F21BE">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3" w:hRule="atLeast"/>
        </w:trPr>
        <w:tc>
          <w:tcPr>
            <w:tcW w:w="1021" w:type="dxa"/>
            <w:vMerge w:val="restart"/>
            <w:tcBorders>
              <w:bottom w:val="nil"/>
            </w:tcBorders>
            <w:vAlign w:val="top"/>
          </w:tcPr>
          <w:p w14:paraId="65DEB707">
            <w:pPr>
              <w:spacing w:line="251" w:lineRule="auto"/>
              <w:rPr>
                <w:rFonts w:ascii="Arial"/>
                <w:sz w:val="21"/>
              </w:rPr>
            </w:pPr>
          </w:p>
          <w:p w14:paraId="26FE2AA0">
            <w:pPr>
              <w:spacing w:line="252" w:lineRule="auto"/>
              <w:rPr>
                <w:rFonts w:ascii="Arial"/>
                <w:sz w:val="21"/>
              </w:rPr>
            </w:pPr>
          </w:p>
          <w:p w14:paraId="6BB84FAE">
            <w:pPr>
              <w:spacing w:line="252" w:lineRule="auto"/>
              <w:rPr>
                <w:rFonts w:ascii="Arial"/>
                <w:sz w:val="21"/>
              </w:rPr>
            </w:pPr>
          </w:p>
          <w:p w14:paraId="56D22CC3">
            <w:pPr>
              <w:spacing w:line="252" w:lineRule="auto"/>
              <w:rPr>
                <w:rFonts w:ascii="Arial"/>
                <w:sz w:val="21"/>
              </w:rPr>
            </w:pPr>
          </w:p>
          <w:p w14:paraId="309C93EE">
            <w:pPr>
              <w:spacing w:line="252" w:lineRule="auto"/>
              <w:rPr>
                <w:rFonts w:ascii="Arial"/>
                <w:sz w:val="21"/>
              </w:rPr>
            </w:pPr>
          </w:p>
          <w:p w14:paraId="4385999D">
            <w:pPr>
              <w:pStyle w:val="6"/>
              <w:spacing w:before="72" w:line="280" w:lineRule="auto"/>
              <w:ind w:left="66" w:right="277"/>
              <w:jc w:val="both"/>
            </w:pPr>
            <w:r>
              <w:rPr>
                <w:color w:val="222222"/>
                <w:spacing w:val="-1"/>
              </w:rPr>
              <w:t>第16章</w:t>
            </w:r>
            <w:r>
              <w:rPr>
                <w:color w:val="222222"/>
                <w:spacing w:val="-2"/>
              </w:rPr>
              <w:t>工程量清单计</w:t>
            </w:r>
            <w:r>
              <w:rPr>
                <w:color w:val="222222"/>
              </w:rPr>
              <w:t>价</w:t>
            </w:r>
          </w:p>
        </w:tc>
        <w:tc>
          <w:tcPr>
            <w:tcW w:w="2019" w:type="dxa"/>
            <w:vAlign w:val="top"/>
          </w:tcPr>
          <w:p w14:paraId="196F6A48">
            <w:pPr>
              <w:pStyle w:val="6"/>
              <w:spacing w:before="135" w:line="282" w:lineRule="auto"/>
              <w:ind w:left="58" w:right="62" w:firstLine="14"/>
            </w:pPr>
            <w:r>
              <w:rPr>
                <w:color w:val="222222"/>
                <w:spacing w:val="-1"/>
              </w:rPr>
              <w:t>16.3 最高投标限价</w:t>
            </w:r>
            <w:r>
              <w:rPr>
                <w:color w:val="222222"/>
                <w:spacing w:val="-4"/>
              </w:rPr>
              <w:t>编制</w:t>
            </w:r>
          </w:p>
        </w:tc>
        <w:tc>
          <w:tcPr>
            <w:tcW w:w="7056" w:type="dxa"/>
            <w:vAlign w:val="top"/>
          </w:tcPr>
          <w:p w14:paraId="3826F5F3">
            <w:pPr>
              <w:pStyle w:val="6"/>
              <w:spacing w:before="303" w:line="222" w:lineRule="auto"/>
              <w:ind w:left="62"/>
            </w:pPr>
            <w:r>
              <w:rPr>
                <w:color w:val="222222"/>
                <w:spacing w:val="-2"/>
              </w:rPr>
              <w:t>无变化</w:t>
            </w:r>
          </w:p>
        </w:tc>
      </w:tr>
      <w:tr w14:paraId="5677B19F">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2504" w:hRule="atLeast"/>
        </w:trPr>
        <w:tc>
          <w:tcPr>
            <w:tcW w:w="1021" w:type="dxa"/>
            <w:vMerge w:val="continue"/>
            <w:tcBorders>
              <w:top w:val="nil"/>
              <w:bottom w:val="nil"/>
            </w:tcBorders>
            <w:vAlign w:val="top"/>
          </w:tcPr>
          <w:p w14:paraId="18E350BD">
            <w:pPr>
              <w:rPr>
                <w:rFonts w:ascii="Arial"/>
                <w:sz w:val="21"/>
              </w:rPr>
            </w:pPr>
          </w:p>
        </w:tc>
        <w:tc>
          <w:tcPr>
            <w:tcW w:w="2019" w:type="dxa"/>
            <w:vAlign w:val="top"/>
          </w:tcPr>
          <w:p w14:paraId="7D7376C1">
            <w:pPr>
              <w:spacing w:line="265" w:lineRule="auto"/>
              <w:rPr>
                <w:rFonts w:ascii="Arial"/>
                <w:sz w:val="21"/>
              </w:rPr>
            </w:pPr>
          </w:p>
          <w:p w14:paraId="467FD66C">
            <w:pPr>
              <w:spacing w:line="265" w:lineRule="auto"/>
              <w:rPr>
                <w:rFonts w:ascii="Arial"/>
                <w:sz w:val="21"/>
              </w:rPr>
            </w:pPr>
          </w:p>
          <w:p w14:paraId="2EF80111">
            <w:pPr>
              <w:spacing w:line="266" w:lineRule="auto"/>
              <w:rPr>
                <w:rFonts w:ascii="Arial"/>
                <w:sz w:val="21"/>
              </w:rPr>
            </w:pPr>
          </w:p>
          <w:p w14:paraId="5E1E22DD">
            <w:pPr>
              <w:spacing w:line="266" w:lineRule="auto"/>
              <w:rPr>
                <w:rFonts w:ascii="Arial"/>
                <w:sz w:val="21"/>
              </w:rPr>
            </w:pPr>
          </w:p>
          <w:p w14:paraId="0756DB96">
            <w:pPr>
              <w:pStyle w:val="6"/>
              <w:spacing w:before="72" w:line="220" w:lineRule="auto"/>
              <w:ind w:left="73"/>
            </w:pPr>
            <w:r>
              <w:rPr>
                <w:color w:val="222222"/>
                <w:spacing w:val="-1"/>
              </w:rPr>
              <w:t>16.4 投标报价编制</w:t>
            </w:r>
          </w:p>
        </w:tc>
        <w:tc>
          <w:tcPr>
            <w:tcW w:w="7056" w:type="dxa"/>
            <w:vAlign w:val="top"/>
          </w:tcPr>
          <w:p w14:paraId="3EEA0771">
            <w:pPr>
              <w:pStyle w:val="6"/>
              <w:spacing w:before="140" w:line="280" w:lineRule="auto"/>
              <w:ind w:left="73" w:right="99" w:hanging="21"/>
            </w:pPr>
            <w:r>
              <w:rPr>
                <w:color w:val="A50021"/>
                <w:spacing w:val="3"/>
                <w:u w:val="single" w:color="auto"/>
              </w:rPr>
              <w:t>P267：16.4.1 投标报价编制的一般规定 第（8）条“应</w:t>
            </w:r>
            <w:r>
              <w:rPr>
                <w:color w:val="A50021"/>
                <w:spacing w:val="-79"/>
                <w:u w:val="single" w:color="auto"/>
              </w:rPr>
              <w:t xml:space="preserve"> </w:t>
            </w:r>
            <w:r>
              <w:rPr>
                <w:color w:val="A50021"/>
                <w:spacing w:val="3"/>
                <w:u w:val="single" w:color="auto"/>
              </w:rPr>
              <w:t>”改成“宜</w:t>
            </w:r>
            <w:r>
              <w:rPr>
                <w:color w:val="A50021"/>
                <w:spacing w:val="-79"/>
                <w:u w:val="single" w:color="auto"/>
              </w:rPr>
              <w:t xml:space="preserve"> </w:t>
            </w:r>
            <w:r>
              <w:rPr>
                <w:color w:val="A50021"/>
                <w:spacing w:val="3"/>
                <w:u w:val="single" w:color="auto"/>
              </w:rPr>
              <w:t>”</w:t>
            </w:r>
            <w:r>
              <w:rPr>
                <w:color w:val="A50021"/>
              </w:rPr>
              <w:t xml:space="preserve"> </w:t>
            </w:r>
            <w:r>
              <w:rPr>
                <w:color w:val="A50021"/>
                <w:spacing w:val="-1"/>
                <w:u w:val="single" w:color="auto"/>
              </w:rPr>
              <w:t>,</w:t>
            </w:r>
            <w:r>
              <w:rPr>
                <w:color w:val="A50021"/>
                <w:spacing w:val="54"/>
                <w:u w:val="single" w:color="auto"/>
              </w:rPr>
              <w:t xml:space="preserve"> </w:t>
            </w:r>
            <w:r>
              <w:rPr>
                <w:color w:val="A50021"/>
                <w:spacing w:val="-1"/>
                <w:u w:val="single" w:color="auto"/>
              </w:rPr>
              <w:t>“补正</w:t>
            </w:r>
            <w:r>
              <w:rPr>
                <w:color w:val="A50021"/>
                <w:spacing w:val="-79"/>
                <w:u w:val="single" w:color="auto"/>
              </w:rPr>
              <w:t xml:space="preserve"> </w:t>
            </w:r>
            <w:r>
              <w:rPr>
                <w:color w:val="A50021"/>
                <w:spacing w:val="-1"/>
                <w:u w:val="single" w:color="auto"/>
              </w:rPr>
              <w:t>”改成“说明</w:t>
            </w:r>
            <w:r>
              <w:rPr>
                <w:color w:val="A50021"/>
                <w:spacing w:val="-79"/>
                <w:u w:val="single" w:color="auto"/>
              </w:rPr>
              <w:t xml:space="preserve"> </w:t>
            </w:r>
            <w:r>
              <w:rPr>
                <w:color w:val="A50021"/>
                <w:spacing w:val="-1"/>
                <w:u w:val="single" w:color="auto"/>
              </w:rPr>
              <w:t>”</w:t>
            </w:r>
          </w:p>
          <w:p w14:paraId="659B6CA4">
            <w:pPr>
              <w:pStyle w:val="6"/>
              <w:spacing w:before="1" w:line="280" w:lineRule="auto"/>
              <w:ind w:left="61" w:right="109" w:firstLine="39"/>
              <w:jc w:val="both"/>
            </w:pPr>
            <w:r>
              <w:rPr>
                <w:color w:val="222222"/>
                <w:spacing w:val="1"/>
              </w:rPr>
              <w:t>(8)采用单价合同的工程，投标人应按要求</w:t>
            </w:r>
            <w:r>
              <w:rPr>
                <w:color w:val="222222"/>
              </w:rPr>
              <w:t>完整填报工程量清单中所有</w:t>
            </w:r>
            <w:r>
              <w:rPr>
                <w:color w:val="222222"/>
                <w:spacing w:val="1"/>
              </w:rPr>
              <w:t>清单项目</w:t>
            </w:r>
            <w:r>
              <w:rPr>
                <w:color w:val="222222"/>
                <w:spacing w:val="30"/>
              </w:rPr>
              <w:t xml:space="preserve"> </w:t>
            </w:r>
            <w:r>
              <w:rPr>
                <w:color w:val="222222"/>
                <w:spacing w:val="1"/>
              </w:rPr>
              <w:t>的综合单价及合价和(或)总价计价项目的价格，且每个</w:t>
            </w:r>
            <w:r>
              <w:rPr>
                <w:color w:val="222222"/>
              </w:rPr>
              <w:t>清单</w:t>
            </w:r>
            <w:r>
              <w:rPr>
                <w:color w:val="222222"/>
                <w:spacing w:val="2"/>
              </w:rPr>
              <w:t>项目应只填报一个报价， 未按要求填报(漏填或未填)综合</w:t>
            </w:r>
            <w:r>
              <w:rPr>
                <w:color w:val="222222"/>
                <w:spacing w:val="1"/>
              </w:rPr>
              <w:t>单价及合价和(或)清单项目价格的，</w:t>
            </w:r>
            <w:r>
              <w:rPr>
                <w:color w:val="A50021"/>
                <w:spacing w:val="1"/>
                <w:u w:val="single" w:color="auto"/>
              </w:rPr>
              <w:t>宜</w:t>
            </w:r>
            <w:r>
              <w:rPr>
                <w:color w:val="222222"/>
                <w:spacing w:val="1"/>
              </w:rPr>
              <w:t>按计价标准规定完成相关的澄清或</w:t>
            </w:r>
            <w:r>
              <w:rPr>
                <w:color w:val="A50021"/>
                <w:spacing w:val="1"/>
                <w:u w:val="single" w:color="auto"/>
              </w:rPr>
              <w:t>说明</w:t>
            </w:r>
            <w:r>
              <w:rPr>
                <w:color w:val="222222"/>
                <w:spacing w:val="1"/>
              </w:rPr>
              <w:t>，相关清单项目报价可视为已包含在投标总价中。</w:t>
            </w:r>
          </w:p>
        </w:tc>
      </w:tr>
      <w:tr w14:paraId="125DFCA2">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2" w:hRule="atLeast"/>
        </w:trPr>
        <w:tc>
          <w:tcPr>
            <w:tcW w:w="1021" w:type="dxa"/>
            <w:vMerge w:val="continue"/>
            <w:tcBorders>
              <w:top w:val="nil"/>
            </w:tcBorders>
            <w:vAlign w:val="top"/>
          </w:tcPr>
          <w:p w14:paraId="7D2AFE1C">
            <w:pPr>
              <w:rPr>
                <w:rFonts w:ascii="Arial"/>
                <w:sz w:val="21"/>
              </w:rPr>
            </w:pPr>
          </w:p>
        </w:tc>
        <w:tc>
          <w:tcPr>
            <w:tcW w:w="2019" w:type="dxa"/>
            <w:vAlign w:val="top"/>
          </w:tcPr>
          <w:p w14:paraId="39E58E6C">
            <w:pPr>
              <w:pStyle w:val="6"/>
              <w:spacing w:before="150" w:line="220" w:lineRule="auto"/>
              <w:ind w:left="74"/>
            </w:pPr>
            <w:r>
              <w:rPr>
                <w:color w:val="222222"/>
                <w:spacing w:val="-1"/>
              </w:rPr>
              <w:t>16.5 合同价款约定</w:t>
            </w:r>
          </w:p>
        </w:tc>
        <w:tc>
          <w:tcPr>
            <w:tcW w:w="7056" w:type="dxa"/>
            <w:vAlign w:val="top"/>
          </w:tcPr>
          <w:p w14:paraId="190ADE1B">
            <w:pPr>
              <w:pStyle w:val="6"/>
              <w:spacing w:before="151" w:line="222" w:lineRule="auto"/>
              <w:ind w:left="63"/>
            </w:pPr>
            <w:r>
              <w:rPr>
                <w:color w:val="222222"/>
                <w:spacing w:val="-2"/>
              </w:rPr>
              <w:t>无变化</w:t>
            </w:r>
          </w:p>
        </w:tc>
      </w:tr>
    </w:tbl>
    <w:p w14:paraId="1C233701">
      <w:pPr>
        <w:spacing w:line="166" w:lineRule="exact"/>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4C3806B7">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4" w:hRule="atLeast"/>
        </w:trPr>
        <w:tc>
          <w:tcPr>
            <w:tcW w:w="1021" w:type="dxa"/>
            <w:vAlign w:val="top"/>
          </w:tcPr>
          <w:p w14:paraId="1E010F9F">
            <w:pPr>
              <w:pStyle w:val="6"/>
              <w:spacing w:before="144" w:line="221" w:lineRule="auto"/>
              <w:ind w:left="286"/>
            </w:pPr>
            <w:r>
              <w:rPr>
                <w:color w:val="222222"/>
              </w:rPr>
              <w:t>章</w:t>
            </w:r>
          </w:p>
        </w:tc>
        <w:tc>
          <w:tcPr>
            <w:tcW w:w="2019" w:type="dxa"/>
            <w:vAlign w:val="top"/>
          </w:tcPr>
          <w:p w14:paraId="0A028CCC">
            <w:pPr>
              <w:pStyle w:val="6"/>
              <w:spacing w:before="144" w:line="222" w:lineRule="auto"/>
              <w:ind w:left="885"/>
            </w:pPr>
            <w:r>
              <w:rPr>
                <w:color w:val="222222"/>
              </w:rPr>
              <w:t>节</w:t>
            </w:r>
          </w:p>
        </w:tc>
        <w:tc>
          <w:tcPr>
            <w:tcW w:w="7056" w:type="dxa"/>
            <w:vAlign w:val="top"/>
          </w:tcPr>
          <w:p w14:paraId="23A6BBFC">
            <w:pPr>
              <w:pStyle w:val="6"/>
              <w:spacing w:before="145" w:line="221" w:lineRule="auto"/>
              <w:ind w:left="3074"/>
            </w:pPr>
            <w:r>
              <w:rPr>
                <w:color w:val="222222"/>
                <w:spacing w:val="-1"/>
              </w:rPr>
              <w:t>变化说明</w:t>
            </w:r>
          </w:p>
        </w:tc>
      </w:tr>
      <w:tr w14:paraId="51D51879">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2" w:hRule="atLeast"/>
        </w:trPr>
        <w:tc>
          <w:tcPr>
            <w:tcW w:w="1021" w:type="dxa"/>
            <w:vMerge w:val="restart"/>
            <w:tcBorders>
              <w:bottom w:val="nil"/>
            </w:tcBorders>
            <w:vAlign w:val="top"/>
          </w:tcPr>
          <w:p w14:paraId="1B1D8500">
            <w:pPr>
              <w:spacing w:line="248" w:lineRule="auto"/>
              <w:rPr>
                <w:rFonts w:ascii="Arial"/>
                <w:sz w:val="21"/>
              </w:rPr>
            </w:pPr>
          </w:p>
          <w:p w14:paraId="0B7E5E1E">
            <w:pPr>
              <w:spacing w:line="248" w:lineRule="auto"/>
              <w:rPr>
                <w:rFonts w:ascii="Arial"/>
                <w:sz w:val="21"/>
              </w:rPr>
            </w:pPr>
          </w:p>
          <w:p w14:paraId="403ECCC0">
            <w:pPr>
              <w:spacing w:line="248" w:lineRule="auto"/>
              <w:rPr>
                <w:rFonts w:ascii="Arial"/>
                <w:sz w:val="21"/>
              </w:rPr>
            </w:pPr>
          </w:p>
          <w:p w14:paraId="36A22D6F">
            <w:pPr>
              <w:spacing w:line="248" w:lineRule="auto"/>
              <w:rPr>
                <w:rFonts w:ascii="Arial"/>
                <w:sz w:val="21"/>
              </w:rPr>
            </w:pPr>
          </w:p>
          <w:p w14:paraId="704B2CF4">
            <w:pPr>
              <w:spacing w:line="248" w:lineRule="auto"/>
              <w:rPr>
                <w:rFonts w:ascii="Arial"/>
                <w:sz w:val="21"/>
              </w:rPr>
            </w:pPr>
          </w:p>
          <w:p w14:paraId="3A00BB8D">
            <w:pPr>
              <w:spacing w:line="248" w:lineRule="auto"/>
              <w:rPr>
                <w:rFonts w:ascii="Arial"/>
                <w:sz w:val="21"/>
              </w:rPr>
            </w:pPr>
          </w:p>
          <w:p w14:paraId="10C11923">
            <w:pPr>
              <w:spacing w:line="248" w:lineRule="auto"/>
              <w:rPr>
                <w:rFonts w:ascii="Arial"/>
                <w:sz w:val="21"/>
              </w:rPr>
            </w:pPr>
          </w:p>
          <w:p w14:paraId="223C6BE4">
            <w:pPr>
              <w:spacing w:line="248" w:lineRule="auto"/>
              <w:rPr>
                <w:rFonts w:ascii="Arial"/>
                <w:sz w:val="21"/>
              </w:rPr>
            </w:pPr>
          </w:p>
          <w:p w14:paraId="0079A21D">
            <w:pPr>
              <w:spacing w:line="248" w:lineRule="auto"/>
              <w:rPr>
                <w:rFonts w:ascii="Arial"/>
                <w:sz w:val="21"/>
              </w:rPr>
            </w:pPr>
          </w:p>
          <w:p w14:paraId="53567A2D">
            <w:pPr>
              <w:spacing w:line="248" w:lineRule="auto"/>
              <w:rPr>
                <w:rFonts w:ascii="Arial"/>
                <w:sz w:val="21"/>
              </w:rPr>
            </w:pPr>
          </w:p>
          <w:p w14:paraId="21A9FE80">
            <w:pPr>
              <w:spacing w:line="248" w:lineRule="auto"/>
              <w:rPr>
                <w:rFonts w:ascii="Arial"/>
                <w:sz w:val="21"/>
              </w:rPr>
            </w:pPr>
          </w:p>
          <w:p w14:paraId="68AA6CAA">
            <w:pPr>
              <w:spacing w:line="249" w:lineRule="auto"/>
              <w:rPr>
                <w:rFonts w:ascii="Arial"/>
                <w:sz w:val="21"/>
              </w:rPr>
            </w:pPr>
          </w:p>
          <w:p w14:paraId="3590E3B7">
            <w:pPr>
              <w:spacing w:line="249" w:lineRule="auto"/>
              <w:rPr>
                <w:rFonts w:ascii="Arial"/>
                <w:sz w:val="21"/>
              </w:rPr>
            </w:pPr>
          </w:p>
          <w:p w14:paraId="6E3C1712">
            <w:pPr>
              <w:spacing w:line="249" w:lineRule="auto"/>
              <w:rPr>
                <w:rFonts w:ascii="Arial"/>
                <w:sz w:val="21"/>
              </w:rPr>
            </w:pPr>
          </w:p>
          <w:p w14:paraId="661727BF">
            <w:pPr>
              <w:pStyle w:val="6"/>
              <w:spacing w:before="71" w:line="281" w:lineRule="auto"/>
              <w:ind w:left="67" w:right="277"/>
              <w:jc w:val="both"/>
            </w:pPr>
            <w:r>
              <w:rPr>
                <w:color w:val="222222"/>
                <w:spacing w:val="-1"/>
              </w:rPr>
              <w:t>第17章</w:t>
            </w:r>
            <w:r>
              <w:rPr>
                <w:color w:val="222222"/>
                <w:spacing w:val="-2"/>
              </w:rPr>
              <w:t>工程计量与支</w:t>
            </w:r>
            <w:r>
              <w:rPr>
                <w:color w:val="222222"/>
              </w:rPr>
              <w:t>付</w:t>
            </w:r>
          </w:p>
        </w:tc>
        <w:tc>
          <w:tcPr>
            <w:tcW w:w="2019" w:type="dxa"/>
            <w:vAlign w:val="top"/>
          </w:tcPr>
          <w:p w14:paraId="057D3B14">
            <w:pPr>
              <w:pStyle w:val="6"/>
              <w:spacing w:before="134" w:line="222" w:lineRule="auto"/>
              <w:ind w:left="74"/>
            </w:pPr>
            <w:r>
              <w:rPr>
                <w:color w:val="222222"/>
                <w:spacing w:val="-4"/>
              </w:rPr>
              <w:t>17.1</w:t>
            </w:r>
            <w:r>
              <w:rPr>
                <w:color w:val="222222"/>
                <w:spacing w:val="19"/>
              </w:rPr>
              <w:t xml:space="preserve"> </w:t>
            </w:r>
            <w:r>
              <w:rPr>
                <w:color w:val="222222"/>
                <w:spacing w:val="-4"/>
              </w:rPr>
              <w:t>工程计量</w:t>
            </w:r>
          </w:p>
        </w:tc>
        <w:tc>
          <w:tcPr>
            <w:tcW w:w="7056" w:type="dxa"/>
            <w:vAlign w:val="top"/>
          </w:tcPr>
          <w:p w14:paraId="64FDA4C7">
            <w:pPr>
              <w:pStyle w:val="6"/>
              <w:spacing w:before="134" w:line="222" w:lineRule="auto"/>
              <w:ind w:left="63"/>
            </w:pPr>
            <w:r>
              <w:rPr>
                <w:color w:val="222222"/>
                <w:spacing w:val="-2"/>
              </w:rPr>
              <w:t>无变化</w:t>
            </w:r>
          </w:p>
        </w:tc>
      </w:tr>
      <w:tr w14:paraId="679A2817">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4173" w:hRule="atLeast"/>
        </w:trPr>
        <w:tc>
          <w:tcPr>
            <w:tcW w:w="1021" w:type="dxa"/>
            <w:vMerge w:val="continue"/>
            <w:tcBorders>
              <w:top w:val="nil"/>
              <w:bottom w:val="nil"/>
            </w:tcBorders>
            <w:vAlign w:val="top"/>
          </w:tcPr>
          <w:p w14:paraId="6D08E455">
            <w:pPr>
              <w:rPr>
                <w:rFonts w:ascii="Arial"/>
                <w:sz w:val="21"/>
              </w:rPr>
            </w:pPr>
          </w:p>
        </w:tc>
        <w:tc>
          <w:tcPr>
            <w:tcW w:w="2019" w:type="dxa"/>
            <w:vAlign w:val="top"/>
          </w:tcPr>
          <w:p w14:paraId="1831752F">
            <w:pPr>
              <w:spacing w:line="269" w:lineRule="auto"/>
              <w:rPr>
                <w:rFonts w:ascii="Arial"/>
                <w:sz w:val="21"/>
              </w:rPr>
            </w:pPr>
          </w:p>
          <w:p w14:paraId="700E3E63">
            <w:pPr>
              <w:spacing w:line="269" w:lineRule="auto"/>
              <w:rPr>
                <w:rFonts w:ascii="Arial"/>
                <w:sz w:val="21"/>
              </w:rPr>
            </w:pPr>
          </w:p>
          <w:p w14:paraId="1C05B126">
            <w:pPr>
              <w:spacing w:line="269" w:lineRule="auto"/>
              <w:rPr>
                <w:rFonts w:ascii="Arial"/>
                <w:sz w:val="21"/>
              </w:rPr>
            </w:pPr>
          </w:p>
          <w:p w14:paraId="391665B0">
            <w:pPr>
              <w:spacing w:line="269" w:lineRule="auto"/>
              <w:rPr>
                <w:rFonts w:ascii="Arial"/>
                <w:sz w:val="21"/>
              </w:rPr>
            </w:pPr>
          </w:p>
          <w:p w14:paraId="425203E7">
            <w:pPr>
              <w:spacing w:line="270" w:lineRule="auto"/>
              <w:rPr>
                <w:rFonts w:ascii="Arial"/>
                <w:sz w:val="21"/>
              </w:rPr>
            </w:pPr>
          </w:p>
          <w:p w14:paraId="63F97683">
            <w:pPr>
              <w:spacing w:line="270" w:lineRule="auto"/>
              <w:rPr>
                <w:rFonts w:ascii="Arial"/>
                <w:sz w:val="21"/>
              </w:rPr>
            </w:pPr>
          </w:p>
          <w:p w14:paraId="7FD33748">
            <w:pPr>
              <w:spacing w:line="270" w:lineRule="auto"/>
              <w:rPr>
                <w:rFonts w:ascii="Arial"/>
                <w:sz w:val="21"/>
              </w:rPr>
            </w:pPr>
          </w:p>
          <w:p w14:paraId="40AE74F8">
            <w:pPr>
              <w:pStyle w:val="6"/>
              <w:spacing w:before="72" w:line="220" w:lineRule="auto"/>
              <w:ind w:left="74"/>
            </w:pPr>
            <w:r>
              <w:rPr>
                <w:color w:val="222222"/>
                <w:spacing w:val="-1"/>
              </w:rPr>
              <w:t>17.2 合同价格调整</w:t>
            </w:r>
          </w:p>
        </w:tc>
        <w:tc>
          <w:tcPr>
            <w:tcW w:w="7056" w:type="dxa"/>
            <w:vAlign w:val="top"/>
          </w:tcPr>
          <w:p w14:paraId="5939B499">
            <w:pPr>
              <w:pStyle w:val="6"/>
              <w:spacing w:before="135" w:line="220" w:lineRule="auto"/>
              <w:ind w:left="58"/>
            </w:pPr>
            <w:r>
              <w:rPr>
                <w:color w:val="222222"/>
                <w:spacing w:val="1"/>
              </w:rPr>
              <w:t>P283：17.2.4 暂估价 第（7）条调整</w:t>
            </w:r>
          </w:p>
          <w:p w14:paraId="41D1069D">
            <w:pPr>
              <w:pStyle w:val="6"/>
              <w:spacing w:before="71" w:line="280" w:lineRule="auto"/>
              <w:ind w:left="60" w:right="92" w:firstLine="3"/>
            </w:pPr>
            <w:r>
              <w:rPr>
                <w:color w:val="222222"/>
              </w:rPr>
              <w:t>25版：</w:t>
            </w:r>
            <w:r>
              <w:rPr>
                <w:color w:val="222222"/>
                <w:spacing w:val="-54"/>
              </w:rPr>
              <w:t xml:space="preserve"> </w:t>
            </w:r>
            <w:r>
              <w:rPr>
                <w:color w:val="222222"/>
              </w:rPr>
              <w:t>(7)工程量清单中给定暂估价的专业工程不属于依法必须招标的  ,</w:t>
            </w:r>
            <w:r>
              <w:rPr>
                <w:color w:val="222222"/>
                <w:spacing w:val="61"/>
              </w:rPr>
              <w:t xml:space="preserve"> </w:t>
            </w:r>
            <w:r>
              <w:rPr>
                <w:color w:val="222222"/>
              </w:rPr>
              <w:t>可参照新增工程的相关规定确定</w:t>
            </w:r>
            <w:r>
              <w:rPr>
                <w:color w:val="A50021"/>
                <w:u w:val="single" w:color="auto"/>
              </w:rPr>
              <w:t>税前专业工程价格</w:t>
            </w:r>
            <w:r>
              <w:rPr>
                <w:color w:val="222222"/>
              </w:rPr>
              <w:t>，并以此取代专业</w:t>
            </w:r>
            <w:r>
              <w:rPr>
                <w:color w:val="222222"/>
                <w:spacing w:val="2"/>
              </w:rPr>
              <w:t>工程暂估价，或可由发承包双方共同招标确定含税专业分包工程价格取</w:t>
            </w:r>
            <w:r>
              <w:rPr>
                <w:color w:val="222222"/>
                <w:spacing w:val="1"/>
              </w:rPr>
              <w:t>代专业工程暂估价，调整合同价格。</w:t>
            </w:r>
          </w:p>
          <w:p w14:paraId="532AAB58">
            <w:pPr>
              <w:pStyle w:val="6"/>
              <w:spacing w:before="4" w:line="279" w:lineRule="auto"/>
              <w:ind w:left="60" w:right="92" w:firstLine="3"/>
            </w:pPr>
            <w:r>
              <w:rPr>
                <w:color w:val="222222"/>
              </w:rPr>
              <w:t>26版：</w:t>
            </w:r>
            <w:r>
              <w:rPr>
                <w:color w:val="222222"/>
                <w:spacing w:val="-54"/>
              </w:rPr>
              <w:t xml:space="preserve"> </w:t>
            </w:r>
            <w:r>
              <w:rPr>
                <w:color w:val="222222"/>
              </w:rPr>
              <w:t>(7)工程量清单中给定暂估价的专业工程不属于依法必须招标的  ,</w:t>
            </w:r>
            <w:r>
              <w:rPr>
                <w:color w:val="222222"/>
                <w:spacing w:val="61"/>
              </w:rPr>
              <w:t xml:space="preserve"> </w:t>
            </w:r>
            <w:r>
              <w:rPr>
                <w:color w:val="222222"/>
              </w:rPr>
              <w:t>可参照新增工程的相关规定确定</w:t>
            </w:r>
            <w:r>
              <w:rPr>
                <w:color w:val="A50021"/>
                <w:u w:val="single" w:color="auto"/>
              </w:rPr>
              <w:t>含增值税的专业工程价格</w:t>
            </w:r>
            <w:r>
              <w:rPr>
                <w:color w:val="222222"/>
              </w:rPr>
              <w:t>，并以此取</w:t>
            </w:r>
            <w:r>
              <w:rPr>
                <w:color w:val="222222"/>
                <w:spacing w:val="2"/>
              </w:rPr>
              <w:t>代专业工程暂估价，或可由发承包双方共同招标确定含税专业分包工程</w:t>
            </w:r>
            <w:r>
              <w:rPr>
                <w:color w:val="222222"/>
                <w:spacing w:val="1"/>
              </w:rPr>
              <w:t>价格取代专业工程暂估价，调整合同价格。</w:t>
            </w:r>
          </w:p>
          <w:p w14:paraId="48235972">
            <w:pPr>
              <w:pStyle w:val="6"/>
              <w:spacing w:before="2" w:line="279" w:lineRule="auto"/>
              <w:ind w:left="59" w:right="98" w:hanging="7"/>
            </w:pPr>
            <w:r>
              <w:rPr>
                <w:color w:val="A50021"/>
                <w:spacing w:val="2"/>
                <w:u w:val="single" w:color="auto"/>
              </w:rPr>
              <w:t>P284：17.2.5 总承包服务费 总承包服务费调</w:t>
            </w:r>
            <w:r>
              <w:rPr>
                <w:color w:val="A50021"/>
                <w:spacing w:val="1"/>
                <w:u w:val="single" w:color="auto"/>
              </w:rPr>
              <w:t>整价款计算公式进行了修</w:t>
            </w:r>
            <w:r>
              <w:rPr>
                <w:color w:val="A50021"/>
                <w:spacing w:val="9"/>
                <w:u w:val="single" w:color="auto"/>
              </w:rPr>
              <w:t>正。</w:t>
            </w:r>
          </w:p>
          <w:p w14:paraId="6FF0F6DA">
            <w:pPr>
              <w:pStyle w:val="6"/>
              <w:spacing w:line="219" w:lineRule="auto"/>
              <w:ind w:left="52"/>
            </w:pPr>
            <w:r>
              <w:rPr>
                <w:color w:val="A50021"/>
                <w:spacing w:val="2"/>
                <w:u w:val="single" w:color="auto"/>
              </w:rPr>
              <w:t>P290：17.2.7 物价变化 3.价格信息调差法 第（5）条内容有调整。</w:t>
            </w:r>
          </w:p>
        </w:tc>
      </w:tr>
      <w:tr w14:paraId="1DC0D42F">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5" w:hRule="atLeast"/>
        </w:trPr>
        <w:tc>
          <w:tcPr>
            <w:tcW w:w="1021" w:type="dxa"/>
            <w:vMerge w:val="continue"/>
            <w:tcBorders>
              <w:top w:val="nil"/>
              <w:bottom w:val="nil"/>
            </w:tcBorders>
            <w:vAlign w:val="top"/>
          </w:tcPr>
          <w:p w14:paraId="72F8560C">
            <w:pPr>
              <w:rPr>
                <w:rFonts w:ascii="Arial"/>
                <w:sz w:val="21"/>
              </w:rPr>
            </w:pPr>
          </w:p>
        </w:tc>
        <w:tc>
          <w:tcPr>
            <w:tcW w:w="2019" w:type="dxa"/>
            <w:vAlign w:val="top"/>
          </w:tcPr>
          <w:p w14:paraId="4091BB2D">
            <w:pPr>
              <w:pStyle w:val="6"/>
              <w:spacing w:before="145" w:line="282" w:lineRule="auto"/>
              <w:ind w:left="57" w:right="62" w:firstLine="16"/>
            </w:pPr>
            <w:r>
              <w:rPr>
                <w:color w:val="222222"/>
                <w:spacing w:val="-1"/>
              </w:rPr>
              <w:t>17.3 工程变更价款</w:t>
            </w:r>
            <w:r>
              <w:rPr>
                <w:color w:val="222222"/>
                <w:spacing w:val="-3"/>
              </w:rPr>
              <w:t>确定</w:t>
            </w:r>
          </w:p>
        </w:tc>
        <w:tc>
          <w:tcPr>
            <w:tcW w:w="7056" w:type="dxa"/>
            <w:vAlign w:val="top"/>
          </w:tcPr>
          <w:p w14:paraId="1487F788">
            <w:pPr>
              <w:pStyle w:val="6"/>
              <w:spacing w:before="311" w:line="220" w:lineRule="auto"/>
              <w:ind w:left="52"/>
            </w:pPr>
            <w:r>
              <w:rPr>
                <w:color w:val="A50021"/>
                <w:spacing w:val="2"/>
                <w:u w:val="single" w:color="auto"/>
              </w:rPr>
              <w:t>P291：17.3.1 工程变更 措施项目调增(减)价格计算公式描述有调整。</w:t>
            </w:r>
          </w:p>
        </w:tc>
      </w:tr>
      <w:tr w14:paraId="72AB0984">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3" w:hRule="atLeast"/>
        </w:trPr>
        <w:tc>
          <w:tcPr>
            <w:tcW w:w="1021" w:type="dxa"/>
            <w:vMerge w:val="continue"/>
            <w:tcBorders>
              <w:top w:val="nil"/>
              <w:bottom w:val="nil"/>
            </w:tcBorders>
            <w:vAlign w:val="top"/>
          </w:tcPr>
          <w:p w14:paraId="1FBA85ED">
            <w:pPr>
              <w:rPr>
                <w:rFonts w:ascii="Arial"/>
                <w:sz w:val="21"/>
              </w:rPr>
            </w:pPr>
          </w:p>
        </w:tc>
        <w:tc>
          <w:tcPr>
            <w:tcW w:w="2019" w:type="dxa"/>
            <w:vAlign w:val="top"/>
          </w:tcPr>
          <w:p w14:paraId="4262C508">
            <w:pPr>
              <w:pStyle w:val="6"/>
              <w:spacing w:before="147" w:line="221" w:lineRule="auto"/>
              <w:ind w:left="73"/>
            </w:pPr>
            <w:r>
              <w:rPr>
                <w:color w:val="222222"/>
                <w:spacing w:val="-4"/>
              </w:rPr>
              <w:t>17.4</w:t>
            </w:r>
            <w:r>
              <w:rPr>
                <w:color w:val="222222"/>
                <w:spacing w:val="19"/>
              </w:rPr>
              <w:t xml:space="preserve"> </w:t>
            </w:r>
            <w:r>
              <w:rPr>
                <w:color w:val="222222"/>
                <w:spacing w:val="-4"/>
              </w:rPr>
              <w:t>工程索赔</w:t>
            </w:r>
          </w:p>
        </w:tc>
        <w:tc>
          <w:tcPr>
            <w:tcW w:w="7056" w:type="dxa"/>
            <w:vAlign w:val="top"/>
          </w:tcPr>
          <w:p w14:paraId="6FB7D36C">
            <w:pPr>
              <w:pStyle w:val="6"/>
              <w:spacing w:before="147" w:line="222" w:lineRule="auto"/>
              <w:ind w:left="63"/>
            </w:pPr>
            <w:r>
              <w:rPr>
                <w:color w:val="222222"/>
                <w:spacing w:val="-2"/>
              </w:rPr>
              <w:t>无变化</w:t>
            </w:r>
          </w:p>
        </w:tc>
      </w:tr>
      <w:tr w14:paraId="6EBAC9E5">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5" w:hRule="atLeast"/>
        </w:trPr>
        <w:tc>
          <w:tcPr>
            <w:tcW w:w="1021" w:type="dxa"/>
            <w:vMerge w:val="continue"/>
            <w:tcBorders>
              <w:top w:val="nil"/>
              <w:bottom w:val="nil"/>
            </w:tcBorders>
            <w:vAlign w:val="top"/>
          </w:tcPr>
          <w:p w14:paraId="1DC7B008">
            <w:pPr>
              <w:rPr>
                <w:rFonts w:ascii="Arial"/>
                <w:sz w:val="21"/>
              </w:rPr>
            </w:pPr>
          </w:p>
        </w:tc>
        <w:tc>
          <w:tcPr>
            <w:tcW w:w="2019" w:type="dxa"/>
            <w:vAlign w:val="top"/>
          </w:tcPr>
          <w:p w14:paraId="2FE40D16">
            <w:pPr>
              <w:pStyle w:val="6"/>
              <w:spacing w:before="147" w:line="282" w:lineRule="auto"/>
              <w:ind w:left="58" w:right="62" w:firstLine="15"/>
            </w:pPr>
            <w:r>
              <w:rPr>
                <w:color w:val="222222"/>
                <w:spacing w:val="-1"/>
              </w:rPr>
              <w:t>17.5 合同价款期中</w:t>
            </w:r>
            <w:r>
              <w:rPr>
                <w:color w:val="222222"/>
                <w:spacing w:val="-4"/>
              </w:rPr>
              <w:t>支付</w:t>
            </w:r>
          </w:p>
        </w:tc>
        <w:tc>
          <w:tcPr>
            <w:tcW w:w="7056" w:type="dxa"/>
            <w:vAlign w:val="top"/>
          </w:tcPr>
          <w:p w14:paraId="63F18CE6">
            <w:pPr>
              <w:spacing w:line="241" w:lineRule="auto"/>
              <w:rPr>
                <w:rFonts w:ascii="Arial"/>
                <w:sz w:val="21"/>
              </w:rPr>
            </w:pPr>
          </w:p>
          <w:p w14:paraId="2FDB1A15">
            <w:pPr>
              <w:pStyle w:val="6"/>
              <w:spacing w:before="72" w:line="222" w:lineRule="auto"/>
              <w:ind w:left="63"/>
            </w:pPr>
            <w:r>
              <w:rPr>
                <w:color w:val="222222"/>
                <w:spacing w:val="-2"/>
              </w:rPr>
              <w:t>无变化</w:t>
            </w:r>
          </w:p>
        </w:tc>
      </w:tr>
      <w:tr w14:paraId="0A8EDDBB">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12" w:hRule="atLeast"/>
        </w:trPr>
        <w:tc>
          <w:tcPr>
            <w:tcW w:w="1021" w:type="dxa"/>
            <w:vMerge w:val="continue"/>
            <w:tcBorders>
              <w:top w:val="nil"/>
              <w:bottom w:val="nil"/>
            </w:tcBorders>
            <w:vAlign w:val="top"/>
          </w:tcPr>
          <w:p w14:paraId="46733A91">
            <w:pPr>
              <w:rPr>
                <w:rFonts w:ascii="Arial"/>
                <w:sz w:val="21"/>
              </w:rPr>
            </w:pPr>
          </w:p>
        </w:tc>
        <w:tc>
          <w:tcPr>
            <w:tcW w:w="2019" w:type="dxa"/>
            <w:vAlign w:val="top"/>
          </w:tcPr>
          <w:p w14:paraId="4010CA51">
            <w:pPr>
              <w:pStyle w:val="6"/>
              <w:spacing w:before="150" w:line="221" w:lineRule="auto"/>
              <w:ind w:left="73"/>
            </w:pPr>
            <w:r>
              <w:rPr>
                <w:color w:val="222222"/>
                <w:spacing w:val="-3"/>
              </w:rPr>
              <w:t>17.6</w:t>
            </w:r>
            <w:r>
              <w:rPr>
                <w:color w:val="222222"/>
                <w:spacing w:val="16"/>
              </w:rPr>
              <w:t xml:space="preserve"> </w:t>
            </w:r>
            <w:r>
              <w:rPr>
                <w:color w:val="222222"/>
                <w:spacing w:val="-3"/>
              </w:rPr>
              <w:t>结算与支付</w:t>
            </w:r>
          </w:p>
        </w:tc>
        <w:tc>
          <w:tcPr>
            <w:tcW w:w="7056" w:type="dxa"/>
            <w:vAlign w:val="top"/>
          </w:tcPr>
          <w:p w14:paraId="37618328">
            <w:pPr>
              <w:pStyle w:val="6"/>
              <w:spacing w:before="149" w:line="222" w:lineRule="auto"/>
              <w:ind w:left="63"/>
            </w:pPr>
            <w:r>
              <w:rPr>
                <w:color w:val="222222"/>
                <w:spacing w:val="-2"/>
              </w:rPr>
              <w:t>无变化</w:t>
            </w:r>
          </w:p>
        </w:tc>
      </w:tr>
      <w:tr w14:paraId="351B2915">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56" w:hRule="atLeast"/>
        </w:trPr>
        <w:tc>
          <w:tcPr>
            <w:tcW w:w="1021" w:type="dxa"/>
            <w:vMerge w:val="continue"/>
            <w:tcBorders>
              <w:top w:val="nil"/>
            </w:tcBorders>
            <w:vAlign w:val="top"/>
          </w:tcPr>
          <w:p w14:paraId="4FC134FE">
            <w:pPr>
              <w:rPr>
                <w:rFonts w:ascii="Arial"/>
                <w:sz w:val="21"/>
              </w:rPr>
            </w:pPr>
          </w:p>
        </w:tc>
        <w:tc>
          <w:tcPr>
            <w:tcW w:w="2019" w:type="dxa"/>
            <w:vAlign w:val="top"/>
          </w:tcPr>
          <w:p w14:paraId="00AEEA57">
            <w:pPr>
              <w:pStyle w:val="6"/>
              <w:spacing w:before="150" w:line="282" w:lineRule="auto"/>
              <w:ind w:left="74" w:right="62" w:hanging="1"/>
            </w:pPr>
            <w:r>
              <w:rPr>
                <w:color w:val="222222"/>
                <w:spacing w:val="-1"/>
              </w:rPr>
              <w:t>17.7 合同价款争议</w:t>
            </w:r>
            <w:r>
              <w:rPr>
                <w:color w:val="222222"/>
                <w:spacing w:val="-8"/>
              </w:rPr>
              <w:t>的解决</w:t>
            </w:r>
          </w:p>
        </w:tc>
        <w:tc>
          <w:tcPr>
            <w:tcW w:w="7056" w:type="dxa"/>
            <w:vAlign w:val="top"/>
          </w:tcPr>
          <w:p w14:paraId="5CD7CEE3">
            <w:pPr>
              <w:spacing w:line="245" w:lineRule="auto"/>
              <w:rPr>
                <w:rFonts w:ascii="Arial"/>
                <w:sz w:val="21"/>
              </w:rPr>
            </w:pPr>
          </w:p>
          <w:p w14:paraId="7D4C94A9">
            <w:pPr>
              <w:pStyle w:val="6"/>
              <w:spacing w:before="71" w:line="222" w:lineRule="auto"/>
              <w:ind w:left="63"/>
            </w:pPr>
            <w:r>
              <w:rPr>
                <w:color w:val="222222"/>
                <w:spacing w:val="-2"/>
              </w:rPr>
              <w:t>无变化</w:t>
            </w:r>
          </w:p>
        </w:tc>
      </w:tr>
    </w:tbl>
    <w:p w14:paraId="55EB04DB">
      <w:pPr>
        <w:rPr>
          <w:rFonts w:ascii="Arial"/>
          <w:sz w:val="21"/>
        </w:rPr>
      </w:pPr>
    </w:p>
    <w:p w14:paraId="57CFA44B">
      <w:pPr>
        <w:rPr>
          <w:rFonts w:ascii="Arial" w:hAnsi="Arial" w:eastAsia="Arial" w:cs="Arial"/>
          <w:sz w:val="21"/>
          <w:szCs w:val="21"/>
        </w:rPr>
        <w:sectPr>
          <w:footerReference r:id="rId21" w:type="default"/>
          <w:pgSz w:w="11900" w:h="16840"/>
          <w:pgMar w:top="865" w:right="308" w:bottom="941" w:left="293" w:header="397" w:footer="585" w:gutter="0"/>
          <w:cols w:space="720" w:num="1"/>
        </w:sectPr>
      </w:pPr>
    </w:p>
    <w:p w14:paraId="49F2B212">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3EF393E2">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4B8D4AE6">
            <w:pPr>
              <w:pStyle w:val="6"/>
              <w:spacing w:before="144" w:line="221" w:lineRule="auto"/>
              <w:ind w:left="285"/>
            </w:pPr>
            <w:r>
              <w:rPr>
                <w:color w:val="222222"/>
              </w:rPr>
              <w:t>章</w:t>
            </w:r>
          </w:p>
        </w:tc>
        <w:tc>
          <w:tcPr>
            <w:tcW w:w="2019" w:type="dxa"/>
            <w:vAlign w:val="top"/>
          </w:tcPr>
          <w:p w14:paraId="52ADFAC1">
            <w:pPr>
              <w:pStyle w:val="6"/>
              <w:spacing w:before="144" w:line="222" w:lineRule="auto"/>
              <w:ind w:left="885"/>
            </w:pPr>
            <w:r>
              <w:rPr>
                <w:color w:val="222222"/>
              </w:rPr>
              <w:t>节</w:t>
            </w:r>
          </w:p>
        </w:tc>
        <w:tc>
          <w:tcPr>
            <w:tcW w:w="7056" w:type="dxa"/>
            <w:vAlign w:val="top"/>
          </w:tcPr>
          <w:p w14:paraId="6FBF7158">
            <w:pPr>
              <w:pStyle w:val="6"/>
              <w:spacing w:before="145" w:line="221" w:lineRule="auto"/>
              <w:ind w:left="3073"/>
            </w:pPr>
            <w:r>
              <w:rPr>
                <w:color w:val="222222"/>
                <w:spacing w:val="-1"/>
              </w:rPr>
              <w:t>变化说明</w:t>
            </w:r>
          </w:p>
        </w:tc>
      </w:tr>
      <w:tr w14:paraId="38DE4656">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5" w:hRule="atLeast"/>
        </w:trPr>
        <w:tc>
          <w:tcPr>
            <w:tcW w:w="1021" w:type="dxa"/>
            <w:vMerge w:val="restart"/>
            <w:tcBorders>
              <w:bottom w:val="nil"/>
            </w:tcBorders>
            <w:vAlign w:val="top"/>
          </w:tcPr>
          <w:p w14:paraId="32226C28">
            <w:pPr>
              <w:spacing w:line="259" w:lineRule="auto"/>
              <w:rPr>
                <w:rFonts w:ascii="Arial"/>
                <w:sz w:val="21"/>
              </w:rPr>
            </w:pPr>
          </w:p>
          <w:p w14:paraId="17B3F966">
            <w:pPr>
              <w:spacing w:line="259" w:lineRule="auto"/>
              <w:rPr>
                <w:rFonts w:ascii="Arial"/>
                <w:sz w:val="21"/>
              </w:rPr>
            </w:pPr>
          </w:p>
          <w:p w14:paraId="2C96E170">
            <w:pPr>
              <w:spacing w:line="259" w:lineRule="auto"/>
              <w:rPr>
                <w:rFonts w:ascii="Arial"/>
                <w:sz w:val="21"/>
              </w:rPr>
            </w:pPr>
          </w:p>
          <w:p w14:paraId="78C22693">
            <w:pPr>
              <w:spacing w:line="259" w:lineRule="auto"/>
              <w:rPr>
                <w:rFonts w:ascii="Arial"/>
                <w:sz w:val="21"/>
              </w:rPr>
            </w:pPr>
          </w:p>
          <w:p w14:paraId="7416AAEB">
            <w:pPr>
              <w:spacing w:line="259" w:lineRule="auto"/>
              <w:rPr>
                <w:rFonts w:ascii="Arial"/>
                <w:sz w:val="21"/>
              </w:rPr>
            </w:pPr>
          </w:p>
          <w:p w14:paraId="7E140AF4">
            <w:pPr>
              <w:spacing w:line="259" w:lineRule="auto"/>
              <w:rPr>
                <w:rFonts w:ascii="Arial"/>
                <w:sz w:val="21"/>
              </w:rPr>
            </w:pPr>
          </w:p>
          <w:p w14:paraId="0699AF0E">
            <w:pPr>
              <w:spacing w:line="260" w:lineRule="auto"/>
              <w:rPr>
                <w:rFonts w:ascii="Arial"/>
                <w:sz w:val="21"/>
              </w:rPr>
            </w:pPr>
          </w:p>
          <w:p w14:paraId="0AF020E0">
            <w:pPr>
              <w:spacing w:line="260" w:lineRule="auto"/>
              <w:rPr>
                <w:rFonts w:ascii="Arial"/>
                <w:sz w:val="21"/>
              </w:rPr>
            </w:pPr>
          </w:p>
          <w:p w14:paraId="67D0867D">
            <w:pPr>
              <w:spacing w:line="260" w:lineRule="auto"/>
              <w:rPr>
                <w:rFonts w:ascii="Arial"/>
                <w:sz w:val="21"/>
              </w:rPr>
            </w:pPr>
          </w:p>
          <w:p w14:paraId="00F29D6A">
            <w:pPr>
              <w:spacing w:line="260" w:lineRule="auto"/>
              <w:rPr>
                <w:rFonts w:ascii="Arial"/>
                <w:sz w:val="21"/>
              </w:rPr>
            </w:pPr>
          </w:p>
          <w:p w14:paraId="0A24B3E0">
            <w:pPr>
              <w:spacing w:line="260" w:lineRule="auto"/>
              <w:rPr>
                <w:rFonts w:ascii="Arial"/>
                <w:sz w:val="21"/>
              </w:rPr>
            </w:pPr>
          </w:p>
          <w:p w14:paraId="3046E714">
            <w:pPr>
              <w:spacing w:line="260" w:lineRule="auto"/>
              <w:rPr>
                <w:rFonts w:ascii="Arial"/>
                <w:sz w:val="21"/>
              </w:rPr>
            </w:pPr>
          </w:p>
          <w:p w14:paraId="2239C89F">
            <w:pPr>
              <w:pStyle w:val="6"/>
              <w:spacing w:before="72" w:line="280" w:lineRule="auto"/>
              <w:ind w:left="66" w:right="277"/>
              <w:jc w:val="both"/>
            </w:pPr>
            <w:r>
              <w:rPr>
                <w:color w:val="222222"/>
                <w:spacing w:val="-1"/>
              </w:rPr>
              <w:t>第18章</w:t>
            </w:r>
            <w:r>
              <w:rPr>
                <w:color w:val="222222"/>
                <w:spacing w:val="-2"/>
              </w:rPr>
              <w:t>工程总承包计</w:t>
            </w:r>
            <w:r>
              <w:rPr>
                <w:color w:val="222222"/>
              </w:rPr>
              <w:t>价</w:t>
            </w:r>
          </w:p>
        </w:tc>
        <w:tc>
          <w:tcPr>
            <w:tcW w:w="2019" w:type="dxa"/>
            <w:vAlign w:val="top"/>
          </w:tcPr>
          <w:p w14:paraId="22021BA4">
            <w:pPr>
              <w:pStyle w:val="6"/>
              <w:spacing w:before="135" w:line="281" w:lineRule="auto"/>
              <w:ind w:left="57" w:right="62" w:firstLine="15"/>
            </w:pPr>
            <w:r>
              <w:rPr>
                <w:color w:val="222222"/>
                <w:spacing w:val="-1"/>
              </w:rPr>
              <w:t>18.1 工程总承包计</w:t>
            </w:r>
            <w:r>
              <w:rPr>
                <w:color w:val="222222"/>
                <w:spacing w:val="-2"/>
              </w:rPr>
              <w:t>价原理</w:t>
            </w:r>
          </w:p>
        </w:tc>
        <w:tc>
          <w:tcPr>
            <w:tcW w:w="7056" w:type="dxa"/>
            <w:vAlign w:val="top"/>
          </w:tcPr>
          <w:p w14:paraId="756205DD">
            <w:pPr>
              <w:pStyle w:val="6"/>
              <w:spacing w:before="302" w:line="222" w:lineRule="auto"/>
              <w:ind w:left="62"/>
            </w:pPr>
            <w:r>
              <w:rPr>
                <w:color w:val="222222"/>
                <w:spacing w:val="-2"/>
              </w:rPr>
              <w:t>无变化</w:t>
            </w:r>
          </w:p>
        </w:tc>
      </w:tr>
      <w:tr w14:paraId="2828EA73">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4172" w:hRule="atLeast"/>
        </w:trPr>
        <w:tc>
          <w:tcPr>
            <w:tcW w:w="1021" w:type="dxa"/>
            <w:vMerge w:val="continue"/>
            <w:tcBorders>
              <w:top w:val="nil"/>
              <w:bottom w:val="nil"/>
            </w:tcBorders>
            <w:vAlign w:val="top"/>
          </w:tcPr>
          <w:p w14:paraId="38D0D7D9">
            <w:pPr>
              <w:rPr>
                <w:rFonts w:ascii="Arial"/>
                <w:sz w:val="21"/>
              </w:rPr>
            </w:pPr>
          </w:p>
        </w:tc>
        <w:tc>
          <w:tcPr>
            <w:tcW w:w="2019" w:type="dxa"/>
            <w:vAlign w:val="top"/>
          </w:tcPr>
          <w:p w14:paraId="6FED1516">
            <w:pPr>
              <w:spacing w:line="259" w:lineRule="auto"/>
              <w:rPr>
                <w:rFonts w:ascii="Arial"/>
                <w:sz w:val="21"/>
              </w:rPr>
            </w:pPr>
          </w:p>
          <w:p w14:paraId="4B302B43">
            <w:pPr>
              <w:spacing w:line="259" w:lineRule="auto"/>
              <w:rPr>
                <w:rFonts w:ascii="Arial"/>
                <w:sz w:val="21"/>
              </w:rPr>
            </w:pPr>
          </w:p>
          <w:p w14:paraId="21E7BADF">
            <w:pPr>
              <w:spacing w:line="259" w:lineRule="auto"/>
              <w:rPr>
                <w:rFonts w:ascii="Arial"/>
                <w:sz w:val="21"/>
              </w:rPr>
            </w:pPr>
          </w:p>
          <w:p w14:paraId="18640070">
            <w:pPr>
              <w:spacing w:line="259" w:lineRule="auto"/>
              <w:rPr>
                <w:rFonts w:ascii="Arial"/>
                <w:sz w:val="21"/>
              </w:rPr>
            </w:pPr>
          </w:p>
          <w:p w14:paraId="225CD435">
            <w:pPr>
              <w:spacing w:line="259" w:lineRule="auto"/>
              <w:rPr>
                <w:rFonts w:ascii="Arial"/>
                <w:sz w:val="21"/>
              </w:rPr>
            </w:pPr>
          </w:p>
          <w:p w14:paraId="23C58132">
            <w:pPr>
              <w:spacing w:line="260" w:lineRule="auto"/>
              <w:rPr>
                <w:rFonts w:ascii="Arial"/>
                <w:sz w:val="21"/>
              </w:rPr>
            </w:pPr>
          </w:p>
          <w:p w14:paraId="3DC6B074">
            <w:pPr>
              <w:pStyle w:val="6"/>
              <w:spacing w:before="72" w:line="281" w:lineRule="auto"/>
              <w:ind w:left="55" w:right="62" w:firstLine="18"/>
            </w:pPr>
            <w:r>
              <w:rPr>
                <w:color w:val="222222"/>
                <w:spacing w:val="-1"/>
              </w:rPr>
              <w:t>18.2 工程总承包最</w:t>
            </w:r>
            <w:r>
              <w:rPr>
                <w:color w:val="222222"/>
                <w:spacing w:val="1"/>
              </w:rPr>
              <w:t>高投标限价与投标</w:t>
            </w:r>
            <w:r>
              <w:rPr>
                <w:color w:val="222222"/>
              </w:rPr>
              <w:t>报价编制</w:t>
            </w:r>
          </w:p>
        </w:tc>
        <w:tc>
          <w:tcPr>
            <w:tcW w:w="7056" w:type="dxa"/>
            <w:vAlign w:val="top"/>
          </w:tcPr>
          <w:p w14:paraId="40C6E249">
            <w:pPr>
              <w:pStyle w:val="6"/>
              <w:spacing w:before="137" w:line="220" w:lineRule="auto"/>
              <w:ind w:left="52"/>
            </w:pPr>
            <w:r>
              <w:rPr>
                <w:color w:val="A50021"/>
                <w:spacing w:val="2"/>
                <w:u w:val="single" w:color="auto"/>
              </w:rPr>
              <w:t xml:space="preserve">P335：18.2.1 工程总承包最高投标限价编制 </w:t>
            </w:r>
            <w:r>
              <w:rPr>
                <w:color w:val="A50021"/>
                <w:spacing w:val="1"/>
                <w:u w:val="single" w:color="auto"/>
              </w:rPr>
              <w:t>首段内容描述有所调整</w:t>
            </w:r>
          </w:p>
          <w:p w14:paraId="4C0C5A29">
            <w:pPr>
              <w:pStyle w:val="6"/>
              <w:spacing w:before="71" w:line="280" w:lineRule="auto"/>
              <w:ind w:left="59" w:right="93" w:firstLine="4"/>
            </w:pPr>
            <w:r>
              <w:rPr>
                <w:color w:val="222222"/>
                <w:spacing w:val="2"/>
              </w:rPr>
              <w:t>25版：发包人采用工程总承包模式招标发包时，可自行</w:t>
            </w:r>
            <w:r>
              <w:rPr>
                <w:color w:val="222222"/>
                <w:spacing w:val="1"/>
              </w:rPr>
              <w:t>决定是否选择设置最高投标限价 进行招标。</w:t>
            </w:r>
          </w:p>
          <w:p w14:paraId="6218AEE1">
            <w:pPr>
              <w:pStyle w:val="6"/>
              <w:spacing w:before="5" w:line="279" w:lineRule="auto"/>
              <w:ind w:left="60" w:right="204" w:firstLine="2"/>
            </w:pPr>
            <w:r>
              <w:rPr>
                <w:color w:val="222222"/>
                <w:spacing w:val="2"/>
              </w:rPr>
              <w:t>《建设项目工程总承包计价规范》T/</w:t>
            </w:r>
            <w:r>
              <w:rPr>
                <w:color w:val="222222"/>
              </w:rPr>
              <w:t>CCEAS</w:t>
            </w:r>
            <w:r>
              <w:rPr>
                <w:color w:val="222222"/>
                <w:spacing w:val="2"/>
              </w:rPr>
              <w:t xml:space="preserve"> 001—20</w:t>
            </w:r>
            <w:r>
              <w:rPr>
                <w:color w:val="222222"/>
                <w:spacing w:val="1"/>
              </w:rPr>
              <w:t>22规定，发包人宜</w:t>
            </w:r>
            <w:r>
              <w:rPr>
                <w:color w:val="222222"/>
                <w:spacing w:val="2"/>
              </w:rPr>
              <w:t>选择设置标 底进行招标发包，以利于在充分竞争的基础上合理确</w:t>
            </w:r>
            <w:r>
              <w:rPr>
                <w:color w:val="222222"/>
                <w:spacing w:val="1"/>
              </w:rPr>
              <w:t>定工</w:t>
            </w:r>
            <w:r>
              <w:rPr>
                <w:color w:val="222222"/>
                <w:spacing w:val="2"/>
              </w:rPr>
              <w:t>程价款。当选择设置标底时， 一个招标项目只能有一个标底，标</w:t>
            </w:r>
            <w:r>
              <w:rPr>
                <w:color w:val="222222"/>
                <w:spacing w:val="1"/>
              </w:rPr>
              <w:t>底应</w:t>
            </w:r>
            <w:r>
              <w:rPr>
                <w:color w:val="222222"/>
                <w:spacing w:val="2"/>
              </w:rPr>
              <w:t>保密。当发包人选择设置最高投标限价时，应在 招标文件中明确</w:t>
            </w:r>
            <w:r>
              <w:rPr>
                <w:color w:val="222222"/>
                <w:spacing w:val="1"/>
              </w:rPr>
              <w:t>最高</w:t>
            </w:r>
            <w:r>
              <w:rPr>
                <w:color w:val="222222"/>
                <w:spacing w:val="-1"/>
              </w:rPr>
              <w:t>投标限价。</w:t>
            </w:r>
          </w:p>
          <w:p w14:paraId="72069B65">
            <w:pPr>
              <w:pStyle w:val="6"/>
              <w:spacing w:before="2" w:line="280" w:lineRule="auto"/>
              <w:ind w:left="60" w:right="204" w:firstLine="3"/>
            </w:pPr>
            <w:r>
              <w:rPr>
                <w:color w:val="222222"/>
                <w:spacing w:val="2"/>
              </w:rPr>
              <w:t>26版：《建设项目工程总承包计价规范》T/</w:t>
            </w:r>
            <w:r>
              <w:rPr>
                <w:color w:val="222222"/>
              </w:rPr>
              <w:t>CCEAS</w:t>
            </w:r>
            <w:r>
              <w:rPr>
                <w:color w:val="222222"/>
                <w:spacing w:val="2"/>
              </w:rPr>
              <w:t xml:space="preserve"> </w:t>
            </w:r>
            <w:r>
              <w:rPr>
                <w:color w:val="222222"/>
                <w:spacing w:val="1"/>
              </w:rPr>
              <w:t>001—2022规定，发</w:t>
            </w:r>
            <w:r>
              <w:rPr>
                <w:color w:val="222222"/>
                <w:spacing w:val="2"/>
              </w:rPr>
              <w:t>包人采用工程总承 包模式招标发包时，可自行决定是否选择设置</w:t>
            </w:r>
            <w:r>
              <w:rPr>
                <w:color w:val="222222"/>
                <w:spacing w:val="1"/>
              </w:rPr>
              <w:t>最高</w:t>
            </w:r>
            <w:r>
              <w:rPr>
                <w:color w:val="222222"/>
                <w:spacing w:val="2"/>
              </w:rPr>
              <w:t>投标限价进行招标。当发包人选择设 置最高投标限价时，应在招</w:t>
            </w:r>
            <w:r>
              <w:rPr>
                <w:color w:val="222222"/>
                <w:spacing w:val="1"/>
              </w:rPr>
              <w:t>标文件中明确最高投标限价。</w:t>
            </w:r>
          </w:p>
        </w:tc>
      </w:tr>
      <w:tr w14:paraId="425D2B9D">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5" w:hRule="atLeast"/>
        </w:trPr>
        <w:tc>
          <w:tcPr>
            <w:tcW w:w="1021" w:type="dxa"/>
            <w:vMerge w:val="continue"/>
            <w:tcBorders>
              <w:top w:val="nil"/>
              <w:bottom w:val="nil"/>
            </w:tcBorders>
            <w:vAlign w:val="top"/>
          </w:tcPr>
          <w:p w14:paraId="0B9B74E5">
            <w:pPr>
              <w:rPr>
                <w:rFonts w:ascii="Arial"/>
                <w:sz w:val="21"/>
              </w:rPr>
            </w:pPr>
          </w:p>
        </w:tc>
        <w:tc>
          <w:tcPr>
            <w:tcW w:w="2019" w:type="dxa"/>
            <w:vAlign w:val="top"/>
          </w:tcPr>
          <w:p w14:paraId="6DC627AA">
            <w:pPr>
              <w:pStyle w:val="6"/>
              <w:spacing w:before="147" w:line="281" w:lineRule="auto"/>
              <w:ind w:left="78" w:right="62" w:hanging="5"/>
            </w:pPr>
            <w:r>
              <w:rPr>
                <w:color w:val="222222"/>
                <w:spacing w:val="-1"/>
              </w:rPr>
              <w:t>18.3 工程总承包合</w:t>
            </w:r>
            <w:r>
              <w:rPr>
                <w:color w:val="222222"/>
                <w:spacing w:val="-5"/>
              </w:rPr>
              <w:t>同价款约定</w:t>
            </w:r>
          </w:p>
        </w:tc>
        <w:tc>
          <w:tcPr>
            <w:tcW w:w="7056" w:type="dxa"/>
            <w:vAlign w:val="top"/>
          </w:tcPr>
          <w:p w14:paraId="59632649">
            <w:pPr>
              <w:spacing w:line="241" w:lineRule="auto"/>
              <w:rPr>
                <w:rFonts w:ascii="Arial"/>
                <w:sz w:val="21"/>
              </w:rPr>
            </w:pPr>
          </w:p>
          <w:p w14:paraId="5E3076B0">
            <w:pPr>
              <w:pStyle w:val="6"/>
              <w:spacing w:before="71" w:line="222" w:lineRule="auto"/>
              <w:ind w:left="63"/>
            </w:pPr>
            <w:r>
              <w:rPr>
                <w:color w:val="222222"/>
                <w:spacing w:val="-2"/>
              </w:rPr>
              <w:t>无变化</w:t>
            </w:r>
          </w:p>
        </w:tc>
      </w:tr>
      <w:tr w14:paraId="04B10906">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5" w:hRule="atLeast"/>
        </w:trPr>
        <w:tc>
          <w:tcPr>
            <w:tcW w:w="1021" w:type="dxa"/>
            <w:vMerge w:val="continue"/>
            <w:tcBorders>
              <w:top w:val="nil"/>
              <w:bottom w:val="nil"/>
            </w:tcBorders>
            <w:vAlign w:val="top"/>
          </w:tcPr>
          <w:p w14:paraId="326F6088">
            <w:pPr>
              <w:rPr>
                <w:rFonts w:ascii="Arial"/>
                <w:sz w:val="21"/>
              </w:rPr>
            </w:pPr>
          </w:p>
        </w:tc>
        <w:tc>
          <w:tcPr>
            <w:tcW w:w="2019" w:type="dxa"/>
            <w:vAlign w:val="top"/>
          </w:tcPr>
          <w:p w14:paraId="4AB05D47">
            <w:pPr>
              <w:pStyle w:val="6"/>
              <w:spacing w:before="149" w:line="281" w:lineRule="auto"/>
              <w:ind w:left="78" w:right="62" w:hanging="5"/>
            </w:pPr>
            <w:r>
              <w:rPr>
                <w:color w:val="222222"/>
                <w:spacing w:val="-1"/>
              </w:rPr>
              <w:t>18.4 工程总承包合</w:t>
            </w:r>
            <w:r>
              <w:rPr>
                <w:color w:val="222222"/>
                <w:spacing w:val="-2"/>
              </w:rPr>
              <w:t>同价款调整与索赔</w:t>
            </w:r>
          </w:p>
        </w:tc>
        <w:tc>
          <w:tcPr>
            <w:tcW w:w="7056" w:type="dxa"/>
            <w:vAlign w:val="top"/>
          </w:tcPr>
          <w:p w14:paraId="4EDA24C0">
            <w:pPr>
              <w:spacing w:line="243" w:lineRule="auto"/>
              <w:rPr>
                <w:rFonts w:ascii="Arial"/>
                <w:sz w:val="21"/>
              </w:rPr>
            </w:pPr>
          </w:p>
          <w:p w14:paraId="19DF99A4">
            <w:pPr>
              <w:pStyle w:val="6"/>
              <w:spacing w:before="71" w:line="222" w:lineRule="auto"/>
              <w:ind w:left="63"/>
            </w:pPr>
            <w:r>
              <w:rPr>
                <w:color w:val="222222"/>
                <w:spacing w:val="-2"/>
              </w:rPr>
              <w:t>无变化</w:t>
            </w:r>
          </w:p>
        </w:tc>
      </w:tr>
      <w:tr w14:paraId="683F80B3">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56" w:hRule="atLeast"/>
        </w:trPr>
        <w:tc>
          <w:tcPr>
            <w:tcW w:w="1021" w:type="dxa"/>
            <w:vMerge w:val="continue"/>
            <w:tcBorders>
              <w:top w:val="nil"/>
            </w:tcBorders>
            <w:vAlign w:val="top"/>
          </w:tcPr>
          <w:p w14:paraId="6D8F94CA">
            <w:pPr>
              <w:rPr>
                <w:rFonts w:ascii="Arial"/>
                <w:sz w:val="21"/>
              </w:rPr>
            </w:pPr>
          </w:p>
        </w:tc>
        <w:tc>
          <w:tcPr>
            <w:tcW w:w="2019" w:type="dxa"/>
            <w:vAlign w:val="top"/>
          </w:tcPr>
          <w:p w14:paraId="4AB44E3C">
            <w:pPr>
              <w:pStyle w:val="6"/>
              <w:spacing w:before="150" w:line="282" w:lineRule="auto"/>
              <w:ind w:left="99" w:right="62" w:hanging="26"/>
            </w:pPr>
            <w:r>
              <w:rPr>
                <w:color w:val="222222"/>
                <w:spacing w:val="-1"/>
              </w:rPr>
              <w:t>18.5 工程总承包项</w:t>
            </w:r>
            <w:r>
              <w:rPr>
                <w:color w:val="222222"/>
                <w:spacing w:val="-7"/>
              </w:rPr>
              <w:t>目结算与支付</w:t>
            </w:r>
          </w:p>
        </w:tc>
        <w:tc>
          <w:tcPr>
            <w:tcW w:w="7056" w:type="dxa"/>
            <w:vAlign w:val="top"/>
          </w:tcPr>
          <w:p w14:paraId="3A4DBD0A">
            <w:pPr>
              <w:spacing w:line="245" w:lineRule="auto"/>
              <w:rPr>
                <w:rFonts w:ascii="Arial"/>
                <w:sz w:val="21"/>
              </w:rPr>
            </w:pPr>
          </w:p>
          <w:p w14:paraId="5F31BED4">
            <w:pPr>
              <w:pStyle w:val="6"/>
              <w:spacing w:before="71" w:line="222" w:lineRule="auto"/>
              <w:ind w:left="63"/>
            </w:pPr>
            <w:r>
              <w:rPr>
                <w:color w:val="222222"/>
                <w:spacing w:val="-2"/>
              </w:rPr>
              <w:t>无变化</w:t>
            </w:r>
          </w:p>
        </w:tc>
      </w:tr>
    </w:tbl>
    <w:p w14:paraId="74A3ED21">
      <w:pPr>
        <w:rPr>
          <w:rFonts w:ascii="Arial"/>
          <w:sz w:val="21"/>
        </w:rPr>
      </w:pPr>
    </w:p>
    <w:p w14:paraId="3232C899">
      <w:pPr>
        <w:rPr>
          <w:rFonts w:ascii="Arial" w:hAnsi="Arial" w:eastAsia="Arial" w:cs="Arial"/>
          <w:sz w:val="21"/>
          <w:szCs w:val="21"/>
        </w:rPr>
        <w:sectPr>
          <w:footerReference r:id="rId22" w:type="default"/>
          <w:pgSz w:w="11900" w:h="16840"/>
          <w:pgMar w:top="865" w:right="308" w:bottom="941" w:left="293" w:header="397" w:footer="585" w:gutter="0"/>
          <w:cols w:space="720" w:num="1"/>
        </w:sectPr>
      </w:pPr>
    </w:p>
    <w:p w14:paraId="1CB11457">
      <w:pPr>
        <w:spacing w:before="32"/>
      </w:pPr>
    </w:p>
    <w:tbl>
      <w:tblPr>
        <w:tblStyle w:val="5"/>
        <w:tblW w:w="10096" w:type="dxa"/>
        <w:tblInd w:w="606" w:type="dxa"/>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Layout w:type="fixed"/>
        <w:tblCellMar>
          <w:top w:w="0" w:type="dxa"/>
          <w:left w:w="0" w:type="dxa"/>
          <w:bottom w:w="0" w:type="dxa"/>
          <w:right w:w="0" w:type="dxa"/>
        </w:tblCellMar>
      </w:tblPr>
      <w:tblGrid>
        <w:gridCol w:w="1021"/>
        <w:gridCol w:w="2019"/>
        <w:gridCol w:w="7056"/>
      </w:tblGrid>
      <w:tr w14:paraId="6EB88E4D">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523" w:hRule="atLeast"/>
        </w:trPr>
        <w:tc>
          <w:tcPr>
            <w:tcW w:w="1021" w:type="dxa"/>
            <w:vAlign w:val="top"/>
          </w:tcPr>
          <w:p w14:paraId="65D5E717">
            <w:pPr>
              <w:pStyle w:val="6"/>
              <w:spacing w:before="144" w:line="221" w:lineRule="auto"/>
              <w:ind w:left="285"/>
            </w:pPr>
            <w:r>
              <w:rPr>
                <w:color w:val="222222"/>
              </w:rPr>
              <w:t>章</w:t>
            </w:r>
          </w:p>
        </w:tc>
        <w:tc>
          <w:tcPr>
            <w:tcW w:w="2019" w:type="dxa"/>
            <w:vAlign w:val="top"/>
          </w:tcPr>
          <w:p w14:paraId="16C708B4">
            <w:pPr>
              <w:pStyle w:val="6"/>
              <w:spacing w:before="144" w:line="222" w:lineRule="auto"/>
              <w:ind w:left="885"/>
            </w:pPr>
            <w:r>
              <w:rPr>
                <w:color w:val="222222"/>
              </w:rPr>
              <w:t>节</w:t>
            </w:r>
          </w:p>
        </w:tc>
        <w:tc>
          <w:tcPr>
            <w:tcW w:w="7056" w:type="dxa"/>
            <w:vAlign w:val="top"/>
          </w:tcPr>
          <w:p w14:paraId="70602F6E">
            <w:pPr>
              <w:pStyle w:val="6"/>
              <w:spacing w:before="145" w:line="221" w:lineRule="auto"/>
              <w:ind w:left="3073"/>
            </w:pPr>
            <w:r>
              <w:rPr>
                <w:color w:val="222222"/>
                <w:spacing w:val="-1"/>
              </w:rPr>
              <w:t>变化说明</w:t>
            </w:r>
          </w:p>
        </w:tc>
      </w:tr>
      <w:tr w14:paraId="5A485581">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4" w:hRule="atLeast"/>
        </w:trPr>
        <w:tc>
          <w:tcPr>
            <w:tcW w:w="1021" w:type="dxa"/>
            <w:vMerge w:val="restart"/>
            <w:tcBorders>
              <w:bottom w:val="nil"/>
            </w:tcBorders>
            <w:vAlign w:val="top"/>
          </w:tcPr>
          <w:p w14:paraId="404BB1BB">
            <w:pPr>
              <w:spacing w:line="297" w:lineRule="auto"/>
              <w:rPr>
                <w:rFonts w:ascii="Arial"/>
                <w:sz w:val="21"/>
              </w:rPr>
            </w:pPr>
          </w:p>
          <w:p w14:paraId="0B68D734">
            <w:pPr>
              <w:spacing w:line="298" w:lineRule="auto"/>
              <w:rPr>
                <w:rFonts w:ascii="Arial"/>
                <w:sz w:val="21"/>
              </w:rPr>
            </w:pPr>
          </w:p>
          <w:p w14:paraId="77F00902">
            <w:pPr>
              <w:pStyle w:val="6"/>
              <w:spacing w:before="72" w:line="280" w:lineRule="auto"/>
              <w:ind w:left="64" w:right="277" w:firstLine="1"/>
              <w:jc w:val="both"/>
            </w:pPr>
            <w:r>
              <w:rPr>
                <w:color w:val="222222"/>
                <w:spacing w:val="-1"/>
              </w:rPr>
              <w:t>第19章国际工程投标</w:t>
            </w:r>
            <w:r>
              <w:rPr>
                <w:color w:val="222222"/>
                <w:spacing w:val="-3"/>
              </w:rPr>
              <w:t>报价</w:t>
            </w:r>
          </w:p>
        </w:tc>
        <w:tc>
          <w:tcPr>
            <w:tcW w:w="2019" w:type="dxa"/>
            <w:vAlign w:val="top"/>
          </w:tcPr>
          <w:p w14:paraId="3E7E595F">
            <w:pPr>
              <w:pStyle w:val="6"/>
              <w:spacing w:before="135" w:line="281" w:lineRule="auto"/>
              <w:ind w:left="55" w:right="62" w:firstLine="18"/>
            </w:pPr>
            <w:r>
              <w:rPr>
                <w:color w:val="222222"/>
                <w:spacing w:val="-4"/>
              </w:rPr>
              <w:t>19.1</w:t>
            </w:r>
            <w:r>
              <w:rPr>
                <w:color w:val="222222"/>
                <w:spacing w:val="32"/>
              </w:rPr>
              <w:t xml:space="preserve"> </w:t>
            </w:r>
            <w:r>
              <w:rPr>
                <w:color w:val="222222"/>
                <w:spacing w:val="-4"/>
              </w:rPr>
              <w:t>国际工程投标</w:t>
            </w:r>
            <w:r>
              <w:rPr>
                <w:color w:val="222222"/>
                <w:spacing w:val="1"/>
              </w:rPr>
              <w:t>报价构成及程序</w:t>
            </w:r>
          </w:p>
        </w:tc>
        <w:tc>
          <w:tcPr>
            <w:tcW w:w="7056" w:type="dxa"/>
            <w:vAlign w:val="top"/>
          </w:tcPr>
          <w:p w14:paraId="2F91015B">
            <w:pPr>
              <w:pStyle w:val="6"/>
              <w:spacing w:before="302" w:line="222" w:lineRule="auto"/>
              <w:ind w:left="62"/>
            </w:pPr>
            <w:r>
              <w:rPr>
                <w:color w:val="222222"/>
                <w:spacing w:val="-2"/>
              </w:rPr>
              <w:t>无变化</w:t>
            </w:r>
          </w:p>
        </w:tc>
      </w:tr>
      <w:tr w14:paraId="794BBEAB">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4" w:hRule="atLeast"/>
        </w:trPr>
        <w:tc>
          <w:tcPr>
            <w:tcW w:w="1021" w:type="dxa"/>
            <w:vMerge w:val="continue"/>
            <w:tcBorders>
              <w:top w:val="nil"/>
              <w:bottom w:val="nil"/>
            </w:tcBorders>
            <w:vAlign w:val="top"/>
          </w:tcPr>
          <w:p w14:paraId="095E8C13">
            <w:pPr>
              <w:rPr>
                <w:rFonts w:ascii="Arial"/>
                <w:sz w:val="21"/>
              </w:rPr>
            </w:pPr>
          </w:p>
        </w:tc>
        <w:tc>
          <w:tcPr>
            <w:tcW w:w="2019" w:type="dxa"/>
            <w:vAlign w:val="top"/>
          </w:tcPr>
          <w:p w14:paraId="5BBE823E">
            <w:pPr>
              <w:pStyle w:val="6"/>
              <w:spacing w:before="138" w:line="281" w:lineRule="auto"/>
              <w:ind w:left="55" w:right="62" w:firstLine="18"/>
            </w:pPr>
            <w:r>
              <w:rPr>
                <w:color w:val="222222"/>
                <w:spacing w:val="-4"/>
              </w:rPr>
              <w:t>19.2</w:t>
            </w:r>
            <w:r>
              <w:rPr>
                <w:color w:val="222222"/>
                <w:spacing w:val="32"/>
              </w:rPr>
              <w:t xml:space="preserve"> </w:t>
            </w:r>
            <w:r>
              <w:rPr>
                <w:color w:val="222222"/>
                <w:spacing w:val="-4"/>
              </w:rPr>
              <w:t>国际工程投标</w:t>
            </w:r>
            <w:r>
              <w:rPr>
                <w:color w:val="222222"/>
              </w:rPr>
              <w:t>报价编制</w:t>
            </w:r>
          </w:p>
        </w:tc>
        <w:tc>
          <w:tcPr>
            <w:tcW w:w="7056" w:type="dxa"/>
            <w:vAlign w:val="top"/>
          </w:tcPr>
          <w:p w14:paraId="5FFDC78F">
            <w:pPr>
              <w:pStyle w:val="6"/>
              <w:spacing w:before="305" w:line="222" w:lineRule="auto"/>
              <w:ind w:left="62"/>
            </w:pPr>
            <w:r>
              <w:rPr>
                <w:color w:val="222222"/>
                <w:spacing w:val="-2"/>
              </w:rPr>
              <w:t>无变化</w:t>
            </w:r>
          </w:p>
        </w:tc>
      </w:tr>
      <w:tr w14:paraId="595AB540">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4" w:hRule="atLeast"/>
        </w:trPr>
        <w:tc>
          <w:tcPr>
            <w:tcW w:w="1021" w:type="dxa"/>
            <w:vMerge w:val="continue"/>
            <w:tcBorders>
              <w:top w:val="nil"/>
            </w:tcBorders>
            <w:vAlign w:val="top"/>
          </w:tcPr>
          <w:p w14:paraId="066F71D5">
            <w:pPr>
              <w:rPr>
                <w:rFonts w:ascii="Arial"/>
                <w:sz w:val="21"/>
              </w:rPr>
            </w:pPr>
          </w:p>
        </w:tc>
        <w:tc>
          <w:tcPr>
            <w:tcW w:w="2019" w:type="dxa"/>
            <w:vAlign w:val="top"/>
          </w:tcPr>
          <w:p w14:paraId="26FA2B4D">
            <w:pPr>
              <w:pStyle w:val="6"/>
              <w:spacing w:before="141" w:line="281" w:lineRule="auto"/>
              <w:ind w:left="55" w:right="62" w:firstLine="18"/>
            </w:pPr>
            <w:r>
              <w:rPr>
                <w:color w:val="222222"/>
                <w:spacing w:val="-4"/>
              </w:rPr>
              <w:t>19.3</w:t>
            </w:r>
            <w:r>
              <w:rPr>
                <w:color w:val="222222"/>
                <w:spacing w:val="32"/>
              </w:rPr>
              <w:t xml:space="preserve"> </w:t>
            </w:r>
            <w:r>
              <w:rPr>
                <w:color w:val="222222"/>
                <w:spacing w:val="-4"/>
              </w:rPr>
              <w:t>国际工程投标</w:t>
            </w:r>
            <w:r>
              <w:rPr>
                <w:color w:val="222222"/>
              </w:rPr>
              <w:t>报价技巧</w:t>
            </w:r>
          </w:p>
        </w:tc>
        <w:tc>
          <w:tcPr>
            <w:tcW w:w="7056" w:type="dxa"/>
            <w:vAlign w:val="top"/>
          </w:tcPr>
          <w:p w14:paraId="3098BA39">
            <w:pPr>
              <w:pStyle w:val="6"/>
              <w:spacing w:before="308" w:line="222" w:lineRule="auto"/>
              <w:ind w:left="62"/>
            </w:pPr>
            <w:r>
              <w:rPr>
                <w:color w:val="222222"/>
                <w:spacing w:val="-2"/>
              </w:rPr>
              <w:t>无变化</w:t>
            </w:r>
          </w:p>
        </w:tc>
      </w:tr>
      <w:tr w14:paraId="0A834AB2">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4" w:hRule="atLeast"/>
        </w:trPr>
        <w:tc>
          <w:tcPr>
            <w:tcW w:w="1021" w:type="dxa"/>
            <w:vMerge w:val="restart"/>
            <w:tcBorders>
              <w:bottom w:val="nil"/>
            </w:tcBorders>
            <w:vAlign w:val="top"/>
          </w:tcPr>
          <w:p w14:paraId="45CC5E72">
            <w:pPr>
              <w:spacing w:line="436" w:lineRule="auto"/>
              <w:rPr>
                <w:rFonts w:ascii="Arial"/>
                <w:sz w:val="21"/>
              </w:rPr>
            </w:pPr>
          </w:p>
          <w:p w14:paraId="1B792016">
            <w:pPr>
              <w:pStyle w:val="6"/>
              <w:spacing w:before="72" w:line="281" w:lineRule="auto"/>
              <w:ind w:left="66" w:right="277"/>
              <w:jc w:val="both"/>
            </w:pPr>
            <w:r>
              <w:rPr>
                <w:color w:val="222222"/>
                <w:spacing w:val="-1"/>
              </w:rPr>
              <w:t>第20章</w:t>
            </w:r>
            <w:r>
              <w:rPr>
                <w:color w:val="222222"/>
                <w:spacing w:val="-2"/>
              </w:rPr>
              <w:t>工程计价数字化与智</w:t>
            </w:r>
            <w:r>
              <w:rPr>
                <w:color w:val="222222"/>
                <w:spacing w:val="-4"/>
              </w:rPr>
              <w:t>能化</w:t>
            </w:r>
          </w:p>
        </w:tc>
        <w:tc>
          <w:tcPr>
            <w:tcW w:w="2019" w:type="dxa"/>
            <w:vAlign w:val="top"/>
          </w:tcPr>
          <w:p w14:paraId="187C4CBB">
            <w:pPr>
              <w:pStyle w:val="6"/>
              <w:spacing w:before="144" w:line="281" w:lineRule="auto"/>
              <w:ind w:left="57" w:right="173" w:firstLine="1"/>
            </w:pPr>
            <w:r>
              <w:rPr>
                <w:color w:val="222222"/>
              </w:rPr>
              <w:t>20.1 BIM在工程计价中的应用</w:t>
            </w:r>
          </w:p>
        </w:tc>
        <w:tc>
          <w:tcPr>
            <w:tcW w:w="7056" w:type="dxa"/>
            <w:vAlign w:val="top"/>
          </w:tcPr>
          <w:p w14:paraId="6EE9E3F3">
            <w:pPr>
              <w:pStyle w:val="6"/>
              <w:spacing w:before="144" w:line="221" w:lineRule="auto"/>
              <w:ind w:left="52"/>
            </w:pPr>
            <w:r>
              <w:rPr>
                <w:color w:val="A50021"/>
                <w:spacing w:val="3"/>
                <w:u w:val="single" w:color="auto"/>
              </w:rPr>
              <w:t>P373 第20章前言内容有调整。</w:t>
            </w:r>
          </w:p>
          <w:p w14:paraId="757318FC">
            <w:pPr>
              <w:pStyle w:val="6"/>
              <w:spacing w:before="71" w:line="221" w:lineRule="auto"/>
              <w:ind w:left="52"/>
            </w:pPr>
            <w:r>
              <w:rPr>
                <w:color w:val="A50021"/>
                <w:spacing w:val="1"/>
                <w:u w:val="single" w:color="auto"/>
              </w:rPr>
              <w:t xml:space="preserve">P374：20.1.1 </w:t>
            </w:r>
            <w:r>
              <w:rPr>
                <w:color w:val="A50021"/>
                <w:u w:val="single" w:color="auto"/>
              </w:rPr>
              <w:t>BIM</w:t>
            </w:r>
            <w:r>
              <w:rPr>
                <w:color w:val="A50021"/>
                <w:spacing w:val="1"/>
                <w:u w:val="single" w:color="auto"/>
              </w:rPr>
              <w:t xml:space="preserve"> 概述 3.软件类型</w:t>
            </w:r>
            <w:r>
              <w:rPr>
                <w:color w:val="A50021"/>
                <w:spacing w:val="46"/>
                <w:u w:val="single" w:color="auto"/>
              </w:rPr>
              <w:t xml:space="preserve"> </w:t>
            </w:r>
            <w:r>
              <w:rPr>
                <w:color w:val="A50021"/>
                <w:spacing w:val="1"/>
                <w:u w:val="single" w:color="auto"/>
              </w:rPr>
              <w:t>内容有调整。</w:t>
            </w:r>
          </w:p>
        </w:tc>
      </w:tr>
      <w:tr w14:paraId="3E9F719C">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44" w:hRule="atLeast"/>
        </w:trPr>
        <w:tc>
          <w:tcPr>
            <w:tcW w:w="1021" w:type="dxa"/>
            <w:vMerge w:val="continue"/>
            <w:tcBorders>
              <w:top w:val="nil"/>
              <w:bottom w:val="nil"/>
            </w:tcBorders>
            <w:vAlign w:val="top"/>
          </w:tcPr>
          <w:p w14:paraId="490BD56C">
            <w:pPr>
              <w:rPr>
                <w:rFonts w:ascii="Arial"/>
                <w:sz w:val="21"/>
              </w:rPr>
            </w:pPr>
          </w:p>
        </w:tc>
        <w:tc>
          <w:tcPr>
            <w:tcW w:w="2019" w:type="dxa"/>
            <w:vAlign w:val="top"/>
          </w:tcPr>
          <w:p w14:paraId="7944DE08">
            <w:pPr>
              <w:pStyle w:val="6"/>
              <w:spacing w:before="147" w:line="281" w:lineRule="auto"/>
              <w:ind w:left="56" w:right="62" w:firstLine="3"/>
            </w:pPr>
            <w:r>
              <w:rPr>
                <w:color w:val="222222"/>
              </w:rPr>
              <w:t>20.2 人工智能在工程计价中的应用</w:t>
            </w:r>
          </w:p>
        </w:tc>
        <w:tc>
          <w:tcPr>
            <w:tcW w:w="7056" w:type="dxa"/>
            <w:vAlign w:val="top"/>
          </w:tcPr>
          <w:p w14:paraId="58EACECA">
            <w:pPr>
              <w:spacing w:line="241" w:lineRule="auto"/>
              <w:rPr>
                <w:rFonts w:ascii="Arial"/>
                <w:sz w:val="21"/>
              </w:rPr>
            </w:pPr>
          </w:p>
          <w:p w14:paraId="7C7B0F57">
            <w:pPr>
              <w:pStyle w:val="6"/>
              <w:spacing w:before="72" w:line="222" w:lineRule="auto"/>
              <w:ind w:left="63"/>
            </w:pPr>
            <w:r>
              <w:rPr>
                <w:color w:val="222222"/>
                <w:spacing w:val="-2"/>
              </w:rPr>
              <w:t>无变化</w:t>
            </w:r>
          </w:p>
        </w:tc>
      </w:tr>
      <w:tr w14:paraId="1C79929E">
        <w:tblPrEx>
          <w:tblBorders>
            <w:top w:val="single" w:color="666666" w:sz="8" w:space="0"/>
            <w:left w:val="single" w:color="666666" w:sz="8" w:space="0"/>
            <w:bottom w:val="single" w:color="666666" w:sz="8" w:space="0"/>
            <w:right w:val="single" w:color="666666" w:sz="8" w:space="0"/>
            <w:insideH w:val="single" w:color="666666" w:sz="8" w:space="0"/>
            <w:insideV w:val="single" w:color="666666" w:sz="8" w:space="0"/>
          </w:tblBorders>
          <w:tblCellMar>
            <w:top w:w="0" w:type="dxa"/>
            <w:left w:w="0" w:type="dxa"/>
            <w:bottom w:w="0" w:type="dxa"/>
            <w:right w:w="0" w:type="dxa"/>
          </w:tblCellMar>
        </w:tblPrEx>
        <w:trPr>
          <w:trHeight w:val="855" w:hRule="atLeast"/>
        </w:trPr>
        <w:tc>
          <w:tcPr>
            <w:tcW w:w="1021" w:type="dxa"/>
            <w:vMerge w:val="continue"/>
            <w:tcBorders>
              <w:top w:val="nil"/>
            </w:tcBorders>
            <w:vAlign w:val="top"/>
          </w:tcPr>
          <w:p w14:paraId="51C7750E">
            <w:pPr>
              <w:rPr>
                <w:rFonts w:ascii="Arial"/>
                <w:sz w:val="21"/>
              </w:rPr>
            </w:pPr>
          </w:p>
        </w:tc>
        <w:tc>
          <w:tcPr>
            <w:tcW w:w="2019" w:type="dxa"/>
            <w:vAlign w:val="top"/>
          </w:tcPr>
          <w:p w14:paraId="211C1963">
            <w:pPr>
              <w:pStyle w:val="6"/>
              <w:spacing w:before="151" w:line="281" w:lineRule="auto"/>
              <w:ind w:left="57" w:right="62" w:firstLine="2"/>
            </w:pPr>
            <w:r>
              <w:rPr>
                <w:color w:val="222222"/>
              </w:rPr>
              <w:t>20.3 大数据在工程计价中的应用</w:t>
            </w:r>
          </w:p>
        </w:tc>
        <w:tc>
          <w:tcPr>
            <w:tcW w:w="7056" w:type="dxa"/>
            <w:vAlign w:val="top"/>
          </w:tcPr>
          <w:p w14:paraId="56A7C32A">
            <w:pPr>
              <w:spacing w:line="245" w:lineRule="auto"/>
              <w:rPr>
                <w:rFonts w:ascii="Arial"/>
                <w:sz w:val="21"/>
              </w:rPr>
            </w:pPr>
          </w:p>
          <w:p w14:paraId="5ED8943F">
            <w:pPr>
              <w:pStyle w:val="6"/>
              <w:spacing w:before="71" w:line="221" w:lineRule="auto"/>
              <w:ind w:left="52"/>
            </w:pPr>
            <w:r>
              <w:rPr>
                <w:color w:val="A50021"/>
                <w:spacing w:val="1"/>
                <w:u w:val="single" w:color="auto"/>
              </w:rPr>
              <w:t>P383：20.3.1 大数据概述 1.定义与5. 应用流程</w:t>
            </w:r>
            <w:r>
              <w:rPr>
                <w:color w:val="A50021"/>
                <w:spacing w:val="51"/>
                <w:u w:val="single" w:color="auto"/>
              </w:rPr>
              <w:t xml:space="preserve"> </w:t>
            </w:r>
            <w:r>
              <w:rPr>
                <w:color w:val="A50021"/>
                <w:spacing w:val="1"/>
                <w:u w:val="single" w:color="auto"/>
              </w:rPr>
              <w:t>内容有调整。</w:t>
            </w:r>
          </w:p>
        </w:tc>
      </w:tr>
    </w:tbl>
    <w:p w14:paraId="5AD97838">
      <w:pPr>
        <w:spacing w:before="71" w:line="7780" w:lineRule="exact"/>
        <w:ind w:firstLine="336"/>
      </w:pPr>
      <w:r>
        <w:rPr>
          <w:position w:val="-155"/>
        </w:rPr>
        <w:drawing>
          <wp:inline distT="0" distB="0" distL="0" distR="0">
            <wp:extent cx="7086600" cy="4940300"/>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27"/>
                    <a:stretch>
                      <a:fillRect/>
                    </a:stretch>
                  </pic:blipFill>
                  <pic:spPr>
                    <a:xfrm>
                      <a:off x="0" y="0"/>
                      <a:ext cx="7086600" cy="4940300"/>
                    </a:xfrm>
                    <a:prstGeom prst="rect">
                      <a:avLst/>
                    </a:prstGeom>
                  </pic:spPr>
                </pic:pic>
              </a:graphicData>
            </a:graphic>
          </wp:inline>
        </w:drawing>
      </w:r>
    </w:p>
    <w:sectPr>
      <w:headerReference r:id="rId23" w:type="default"/>
      <w:footerReference r:id="rId24" w:type="default"/>
      <w:pgSz w:w="11900" w:h="16840"/>
      <w:pgMar w:top="865" w:right="110" w:bottom="941" w:left="293" w:header="397" w:footer="585"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9B02B">
    <w:pPr>
      <w:pStyle w:val="2"/>
      <w:spacing w:before="122" w:line="217" w:lineRule="auto"/>
      <w:ind w:left="5628"/>
      <w:rPr>
        <w:sz w:val="19"/>
        <w:szCs w:val="19"/>
      </w:rPr>
    </w:pPr>
    <w:r>
      <w:drawing>
        <wp:anchor distT="0" distB="0" distL="0" distR="0" simplePos="0" relativeHeight="251661312"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
                  <a:stretch>
                    <a:fillRect/>
                  </a:stretch>
                </pic:blipFill>
                <pic:spPr>
                  <a:xfrm>
                    <a:off x="0" y="0"/>
                    <a:ext cx="6333814" cy="7621"/>
                  </a:xfrm>
                  <a:prstGeom prst="rect">
                    <a:avLst/>
                  </a:prstGeom>
                </pic:spPr>
              </pic:pic>
            </a:graphicData>
          </a:graphic>
        </wp:anchor>
      </w:drawing>
    </w:r>
    <w:r>
      <w:rPr>
        <w:color w:val="333333"/>
        <w:spacing w:val="-10"/>
        <w:sz w:val="19"/>
        <w:szCs w:val="19"/>
      </w:rPr>
      <w:t>1</w:t>
    </w:r>
    <w:r>
      <w:rPr>
        <w:color w:val="333333"/>
        <w:spacing w:val="11"/>
        <w:sz w:val="19"/>
        <w:szCs w:val="19"/>
      </w:rPr>
      <w:t xml:space="preserve"> </w:t>
    </w:r>
    <w:r>
      <w:rPr>
        <w:color w:val="333333"/>
        <w:spacing w:val="-10"/>
        <w:sz w:val="19"/>
        <w:szCs w:val="19"/>
      </w:rPr>
      <w:t>/</w:t>
    </w:r>
    <w:r>
      <w:rPr>
        <w:color w:val="333333"/>
        <w:spacing w:val="11"/>
        <w:sz w:val="19"/>
        <w:szCs w:val="19"/>
      </w:rPr>
      <w:t xml:space="preserve"> </w:t>
    </w:r>
    <w:r>
      <w:rPr>
        <w:color w:val="333333"/>
        <w:spacing w:val="-10"/>
        <w:sz w:val="19"/>
        <w:szCs w:val="19"/>
      </w:rPr>
      <w:t>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9CDB6">
    <w:pPr>
      <w:pStyle w:val="2"/>
      <w:spacing w:before="122" w:line="217" w:lineRule="auto"/>
      <w:ind w:left="5616"/>
      <w:rPr>
        <w:sz w:val="19"/>
        <w:szCs w:val="19"/>
      </w:rPr>
    </w:pPr>
    <w:r>
      <w:drawing>
        <wp:anchor distT="0" distB="0" distL="0" distR="0" simplePos="0" relativeHeight="251663360"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6333814" cy="7621"/>
                  </a:xfrm>
                  <a:prstGeom prst="rect">
                    <a:avLst/>
                  </a:prstGeom>
                </pic:spPr>
              </pic:pic>
            </a:graphicData>
          </a:graphic>
        </wp:anchor>
      </w:drawing>
    </w:r>
    <w:r>
      <w:rPr>
        <w:color w:val="333333"/>
        <w:spacing w:val="-7"/>
        <w:sz w:val="19"/>
        <w:szCs w:val="19"/>
      </w:rPr>
      <w:t>2</w:t>
    </w:r>
    <w:r>
      <w:rPr>
        <w:color w:val="333333"/>
        <w:spacing w:val="11"/>
        <w:sz w:val="19"/>
        <w:szCs w:val="19"/>
      </w:rPr>
      <w:t xml:space="preserve"> </w:t>
    </w:r>
    <w:r>
      <w:rPr>
        <w:color w:val="333333"/>
        <w:spacing w:val="-7"/>
        <w:sz w:val="19"/>
        <w:szCs w:val="19"/>
      </w:rPr>
      <w:t>/</w:t>
    </w:r>
    <w:r>
      <w:rPr>
        <w:color w:val="333333"/>
        <w:spacing w:val="11"/>
        <w:sz w:val="19"/>
        <w:szCs w:val="19"/>
      </w:rPr>
      <w:t xml:space="preserve"> </w:t>
    </w:r>
    <w:r>
      <w:rPr>
        <w:color w:val="333333"/>
        <w:spacing w:val="-7"/>
        <w:sz w:val="19"/>
        <w:szCs w:val="19"/>
      </w:rPr>
      <w:t>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BFB65">
    <w:pPr>
      <w:pStyle w:val="2"/>
      <w:spacing w:before="122" w:line="217" w:lineRule="auto"/>
      <w:ind w:left="5617"/>
      <w:rPr>
        <w:sz w:val="19"/>
        <w:szCs w:val="19"/>
      </w:rPr>
    </w:pPr>
    <w:r>
      <w:drawing>
        <wp:anchor distT="0" distB="0" distL="0" distR="0" simplePos="0" relativeHeight="251664384"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
                  <a:stretch>
                    <a:fillRect/>
                  </a:stretch>
                </pic:blipFill>
                <pic:spPr>
                  <a:xfrm>
                    <a:off x="0" y="0"/>
                    <a:ext cx="6333814" cy="7621"/>
                  </a:xfrm>
                  <a:prstGeom prst="rect">
                    <a:avLst/>
                  </a:prstGeom>
                </pic:spPr>
              </pic:pic>
            </a:graphicData>
          </a:graphic>
        </wp:anchor>
      </w:drawing>
    </w:r>
    <w:r>
      <w:rPr>
        <w:color w:val="333333"/>
        <w:spacing w:val="-7"/>
        <w:sz w:val="19"/>
        <w:szCs w:val="19"/>
      </w:rPr>
      <w:t>3</w:t>
    </w:r>
    <w:r>
      <w:rPr>
        <w:color w:val="333333"/>
        <w:spacing w:val="9"/>
        <w:sz w:val="19"/>
        <w:szCs w:val="19"/>
      </w:rPr>
      <w:t xml:space="preserve"> </w:t>
    </w:r>
    <w:r>
      <w:rPr>
        <w:color w:val="333333"/>
        <w:spacing w:val="-7"/>
        <w:sz w:val="19"/>
        <w:szCs w:val="19"/>
      </w:rPr>
      <w:t>/</w:t>
    </w:r>
    <w:r>
      <w:rPr>
        <w:color w:val="333333"/>
        <w:spacing w:val="12"/>
        <w:sz w:val="19"/>
        <w:szCs w:val="19"/>
      </w:rPr>
      <w:t xml:space="preserve"> </w:t>
    </w:r>
    <w:r>
      <w:rPr>
        <w:color w:val="333333"/>
        <w:spacing w:val="-7"/>
        <w:sz w:val="19"/>
        <w:szCs w:val="19"/>
      </w:rPr>
      <w:t>25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AEBF4">
    <w:pPr>
      <w:pStyle w:val="2"/>
      <w:spacing w:before="122" w:line="217" w:lineRule="auto"/>
      <w:ind w:left="5613"/>
      <w:rPr>
        <w:sz w:val="19"/>
        <w:szCs w:val="19"/>
      </w:rPr>
    </w:pPr>
    <w:r>
      <w:drawing>
        <wp:anchor distT="0" distB="0" distL="0" distR="0" simplePos="0" relativeHeight="251665408"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
                  <a:stretch>
                    <a:fillRect/>
                  </a:stretch>
                </pic:blipFill>
                <pic:spPr>
                  <a:xfrm>
                    <a:off x="0" y="0"/>
                    <a:ext cx="6333814" cy="7621"/>
                  </a:xfrm>
                  <a:prstGeom prst="rect">
                    <a:avLst/>
                  </a:prstGeom>
                </pic:spPr>
              </pic:pic>
            </a:graphicData>
          </a:graphic>
        </wp:anchor>
      </w:drawing>
    </w:r>
    <w:r>
      <w:rPr>
        <w:color w:val="333333"/>
        <w:spacing w:val="-6"/>
        <w:sz w:val="19"/>
        <w:szCs w:val="19"/>
      </w:rPr>
      <w:t>4</w:t>
    </w:r>
    <w:r>
      <w:rPr>
        <w:color w:val="333333"/>
        <w:spacing w:val="10"/>
        <w:sz w:val="19"/>
        <w:szCs w:val="19"/>
      </w:rPr>
      <w:t xml:space="preserve"> </w:t>
    </w:r>
    <w:r>
      <w:rPr>
        <w:color w:val="333333"/>
        <w:spacing w:val="-6"/>
        <w:sz w:val="19"/>
        <w:szCs w:val="19"/>
      </w:rPr>
      <w:t>/</w:t>
    </w:r>
    <w:r>
      <w:rPr>
        <w:color w:val="333333"/>
        <w:spacing w:val="11"/>
        <w:sz w:val="19"/>
        <w:szCs w:val="19"/>
      </w:rPr>
      <w:t xml:space="preserve"> </w:t>
    </w:r>
    <w:r>
      <w:rPr>
        <w:color w:val="333333"/>
        <w:spacing w:val="-6"/>
        <w:sz w:val="19"/>
        <w:szCs w:val="19"/>
      </w:rPr>
      <w:t>25</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00EB1">
    <w:pPr>
      <w:pStyle w:val="2"/>
      <w:spacing w:before="122" w:line="217" w:lineRule="auto"/>
      <w:ind w:left="5617"/>
      <w:rPr>
        <w:sz w:val="19"/>
        <w:szCs w:val="19"/>
      </w:rPr>
    </w:pPr>
    <w:r>
      <w:drawing>
        <wp:anchor distT="0" distB="0" distL="0" distR="0" simplePos="0" relativeHeight="251666432"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1"/>
                  <a:stretch>
                    <a:fillRect/>
                  </a:stretch>
                </pic:blipFill>
                <pic:spPr>
                  <a:xfrm>
                    <a:off x="0" y="0"/>
                    <a:ext cx="6333814" cy="7621"/>
                  </a:xfrm>
                  <a:prstGeom prst="rect">
                    <a:avLst/>
                  </a:prstGeom>
                </pic:spPr>
              </pic:pic>
            </a:graphicData>
          </a:graphic>
        </wp:anchor>
      </w:drawing>
    </w:r>
    <w:r>
      <w:rPr>
        <w:color w:val="333333"/>
        <w:spacing w:val="-7"/>
        <w:sz w:val="19"/>
        <w:szCs w:val="19"/>
      </w:rPr>
      <w:t>5</w:t>
    </w:r>
    <w:r>
      <w:rPr>
        <w:color w:val="333333"/>
        <w:spacing w:val="9"/>
        <w:sz w:val="19"/>
        <w:szCs w:val="19"/>
      </w:rPr>
      <w:t xml:space="preserve"> </w:t>
    </w:r>
    <w:r>
      <w:rPr>
        <w:color w:val="333333"/>
        <w:spacing w:val="-7"/>
        <w:sz w:val="19"/>
        <w:szCs w:val="19"/>
      </w:rPr>
      <w:t>/</w:t>
    </w:r>
    <w:r>
      <w:rPr>
        <w:color w:val="333333"/>
        <w:spacing w:val="12"/>
        <w:sz w:val="19"/>
        <w:szCs w:val="19"/>
      </w:rPr>
      <w:t xml:space="preserve"> </w:t>
    </w:r>
    <w:r>
      <w:rPr>
        <w:color w:val="333333"/>
        <w:spacing w:val="-7"/>
        <w:sz w:val="19"/>
        <w:szCs w:val="19"/>
      </w:rPr>
      <w:t>25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91163">
    <w:pPr>
      <w:pStyle w:val="2"/>
      <w:spacing w:before="122" w:line="217" w:lineRule="auto"/>
      <w:ind w:left="5615"/>
      <w:rPr>
        <w:sz w:val="19"/>
        <w:szCs w:val="19"/>
      </w:rPr>
    </w:pPr>
    <w:r>
      <w:drawing>
        <wp:anchor distT="0" distB="0" distL="0" distR="0" simplePos="0" relativeHeight="251667456"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1"/>
                  <a:stretch>
                    <a:fillRect/>
                  </a:stretch>
                </pic:blipFill>
                <pic:spPr>
                  <a:xfrm>
                    <a:off x="0" y="0"/>
                    <a:ext cx="6333814" cy="7621"/>
                  </a:xfrm>
                  <a:prstGeom prst="rect">
                    <a:avLst/>
                  </a:prstGeom>
                </pic:spPr>
              </pic:pic>
            </a:graphicData>
          </a:graphic>
        </wp:anchor>
      </w:drawing>
    </w:r>
    <w:r>
      <w:rPr>
        <w:color w:val="333333"/>
        <w:spacing w:val="-6"/>
        <w:sz w:val="19"/>
        <w:szCs w:val="19"/>
      </w:rPr>
      <w:t>6</w:t>
    </w:r>
    <w:r>
      <w:rPr>
        <w:color w:val="333333"/>
        <w:spacing w:val="8"/>
        <w:sz w:val="19"/>
        <w:szCs w:val="19"/>
      </w:rPr>
      <w:t xml:space="preserve"> </w:t>
    </w:r>
    <w:r>
      <w:rPr>
        <w:color w:val="333333"/>
        <w:spacing w:val="-6"/>
        <w:sz w:val="19"/>
        <w:szCs w:val="19"/>
      </w:rPr>
      <w:t>/</w:t>
    </w:r>
    <w:r>
      <w:rPr>
        <w:color w:val="333333"/>
        <w:spacing w:val="11"/>
        <w:sz w:val="19"/>
        <w:szCs w:val="19"/>
      </w:rPr>
      <w:t xml:space="preserve"> </w:t>
    </w:r>
    <w:r>
      <w:rPr>
        <w:color w:val="333333"/>
        <w:spacing w:val="-6"/>
        <w:sz w:val="19"/>
        <w:szCs w:val="19"/>
      </w:rPr>
      <w:t>25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27CE1">
    <w:pPr>
      <w:pStyle w:val="2"/>
      <w:spacing w:before="122" w:line="217" w:lineRule="auto"/>
      <w:ind w:left="5618"/>
      <w:rPr>
        <w:sz w:val="19"/>
        <w:szCs w:val="19"/>
      </w:rPr>
    </w:pPr>
    <w:r>
      <w:drawing>
        <wp:anchor distT="0" distB="0" distL="0" distR="0" simplePos="0" relativeHeight="251669504"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
                  <a:stretch>
                    <a:fillRect/>
                  </a:stretch>
                </pic:blipFill>
                <pic:spPr>
                  <a:xfrm>
                    <a:off x="0" y="0"/>
                    <a:ext cx="6333814" cy="7621"/>
                  </a:xfrm>
                  <a:prstGeom prst="rect">
                    <a:avLst/>
                  </a:prstGeom>
                </pic:spPr>
              </pic:pic>
            </a:graphicData>
          </a:graphic>
        </wp:anchor>
      </w:drawing>
    </w:r>
    <w:r>
      <w:drawing>
        <wp:anchor distT="0" distB="0" distL="0" distR="0" simplePos="0" relativeHeight="251668480" behindDoc="0" locked="0" layoutInCell="0" allowOverlap="1">
          <wp:simplePos x="0" y="0"/>
          <wp:positionH relativeFrom="page">
            <wp:posOffset>632460</wp:posOffset>
          </wp:positionH>
          <wp:positionV relativeFrom="page">
            <wp:posOffset>10140950</wp:posOffset>
          </wp:positionV>
          <wp:extent cx="2164715" cy="152400"/>
          <wp:effectExtent l="0" t="0" r="0" b="0"/>
          <wp:wrapNone/>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2"/>
                  <a:stretch>
                    <a:fillRect/>
                  </a:stretch>
                </pic:blipFill>
                <pic:spPr>
                  <a:xfrm>
                    <a:off x="0" y="0"/>
                    <a:ext cx="2164625" cy="152438"/>
                  </a:xfrm>
                  <a:prstGeom prst="rect">
                    <a:avLst/>
                  </a:prstGeom>
                </pic:spPr>
              </pic:pic>
            </a:graphicData>
          </a:graphic>
        </wp:anchor>
      </w:drawing>
    </w:r>
    <w:r>
      <w:rPr>
        <w:color w:val="333333"/>
        <w:spacing w:val="-7"/>
        <w:sz w:val="19"/>
        <w:szCs w:val="19"/>
      </w:rPr>
      <w:t>7</w:t>
    </w:r>
    <w:r>
      <w:rPr>
        <w:color w:val="333333"/>
        <w:spacing w:val="8"/>
        <w:sz w:val="19"/>
        <w:szCs w:val="19"/>
      </w:rPr>
      <w:t xml:space="preserve"> </w:t>
    </w:r>
    <w:r>
      <w:rPr>
        <w:color w:val="333333"/>
        <w:spacing w:val="-7"/>
        <w:sz w:val="19"/>
        <w:szCs w:val="19"/>
      </w:rPr>
      <w:t>/</w:t>
    </w:r>
    <w:r>
      <w:rPr>
        <w:color w:val="333333"/>
        <w:spacing w:val="12"/>
        <w:sz w:val="19"/>
        <w:szCs w:val="19"/>
      </w:rPr>
      <w:t xml:space="preserve"> </w:t>
    </w:r>
    <w:r>
      <w:rPr>
        <w:color w:val="333333"/>
        <w:spacing w:val="-7"/>
        <w:sz w:val="19"/>
        <w:szCs w:val="19"/>
      </w:rPr>
      <w:t>25</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18F6B">
    <w:pPr>
      <w:pStyle w:val="2"/>
      <w:spacing w:before="122" w:line="217" w:lineRule="auto"/>
      <w:ind w:left="5614"/>
      <w:rPr>
        <w:sz w:val="19"/>
        <w:szCs w:val="19"/>
      </w:rPr>
    </w:pPr>
    <w:r>
      <w:drawing>
        <wp:anchor distT="0" distB="0" distL="0" distR="0" simplePos="0" relativeHeight="251671552"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1"/>
                  <a:stretch>
                    <a:fillRect/>
                  </a:stretch>
                </pic:blipFill>
                <pic:spPr>
                  <a:xfrm>
                    <a:off x="0" y="0"/>
                    <a:ext cx="6333814" cy="7621"/>
                  </a:xfrm>
                  <a:prstGeom prst="rect">
                    <a:avLst/>
                  </a:prstGeom>
                </pic:spPr>
              </pic:pic>
            </a:graphicData>
          </a:graphic>
        </wp:anchor>
      </w:drawing>
    </w:r>
    <w:r>
      <w:drawing>
        <wp:anchor distT="0" distB="0" distL="0" distR="0" simplePos="0" relativeHeight="251670528" behindDoc="0" locked="0" layoutInCell="0" allowOverlap="1">
          <wp:simplePos x="0" y="0"/>
          <wp:positionH relativeFrom="page">
            <wp:posOffset>632460</wp:posOffset>
          </wp:positionH>
          <wp:positionV relativeFrom="page">
            <wp:posOffset>10140950</wp:posOffset>
          </wp:positionV>
          <wp:extent cx="2164715" cy="152400"/>
          <wp:effectExtent l="0" t="0" r="0" b="0"/>
          <wp:wrapNone/>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2"/>
                  <a:stretch>
                    <a:fillRect/>
                  </a:stretch>
                </pic:blipFill>
                <pic:spPr>
                  <a:xfrm>
                    <a:off x="0" y="0"/>
                    <a:ext cx="2164625" cy="152438"/>
                  </a:xfrm>
                  <a:prstGeom prst="rect">
                    <a:avLst/>
                  </a:prstGeom>
                </pic:spPr>
              </pic:pic>
            </a:graphicData>
          </a:graphic>
        </wp:anchor>
      </w:drawing>
    </w:r>
    <w:r>
      <w:rPr>
        <w:color w:val="333333"/>
        <w:spacing w:val="-6"/>
        <w:sz w:val="19"/>
        <w:szCs w:val="19"/>
      </w:rPr>
      <w:t>8</w:t>
    </w:r>
    <w:r>
      <w:rPr>
        <w:color w:val="333333"/>
        <w:spacing w:val="8"/>
        <w:sz w:val="19"/>
        <w:szCs w:val="19"/>
      </w:rPr>
      <w:t xml:space="preserve"> </w:t>
    </w:r>
    <w:r>
      <w:rPr>
        <w:color w:val="333333"/>
        <w:spacing w:val="-6"/>
        <w:sz w:val="19"/>
        <w:szCs w:val="19"/>
      </w:rPr>
      <w:t>/</w:t>
    </w:r>
    <w:r>
      <w:rPr>
        <w:color w:val="333333"/>
        <w:spacing w:val="12"/>
        <w:sz w:val="19"/>
        <w:szCs w:val="19"/>
      </w:rPr>
      <w:t xml:space="preserve"> </w:t>
    </w:r>
    <w:r>
      <w:rPr>
        <w:color w:val="333333"/>
        <w:spacing w:val="-6"/>
        <w:sz w:val="19"/>
        <w:szCs w:val="19"/>
      </w:rPr>
      <w:t>25</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D80E1">
    <w:pPr>
      <w:pStyle w:val="2"/>
      <w:spacing w:before="122" w:line="217" w:lineRule="auto"/>
      <w:ind w:left="5614"/>
      <w:rPr>
        <w:sz w:val="19"/>
        <w:szCs w:val="19"/>
      </w:rPr>
    </w:pPr>
    <w:r>
      <w:drawing>
        <wp:anchor distT="0" distB="0" distL="0" distR="0" simplePos="0" relativeHeight="251673600"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1"/>
                  <a:stretch>
                    <a:fillRect/>
                  </a:stretch>
                </pic:blipFill>
                <pic:spPr>
                  <a:xfrm>
                    <a:off x="0" y="0"/>
                    <a:ext cx="6333814" cy="7621"/>
                  </a:xfrm>
                  <a:prstGeom prst="rect">
                    <a:avLst/>
                  </a:prstGeom>
                </pic:spPr>
              </pic:pic>
            </a:graphicData>
          </a:graphic>
        </wp:anchor>
      </w:drawing>
    </w:r>
    <w:r>
      <w:drawing>
        <wp:anchor distT="0" distB="0" distL="0" distR="0" simplePos="0" relativeHeight="251672576" behindDoc="0" locked="0" layoutInCell="0" allowOverlap="1">
          <wp:simplePos x="0" y="0"/>
          <wp:positionH relativeFrom="page">
            <wp:posOffset>632460</wp:posOffset>
          </wp:positionH>
          <wp:positionV relativeFrom="page">
            <wp:posOffset>10140950</wp:posOffset>
          </wp:positionV>
          <wp:extent cx="2164715" cy="152400"/>
          <wp:effectExtent l="0" t="0" r="0" b="0"/>
          <wp:wrapNone/>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2"/>
                  <a:stretch>
                    <a:fillRect/>
                  </a:stretch>
                </pic:blipFill>
                <pic:spPr>
                  <a:xfrm>
                    <a:off x="0" y="0"/>
                    <a:ext cx="2164625" cy="152438"/>
                  </a:xfrm>
                  <a:prstGeom prst="rect">
                    <a:avLst/>
                  </a:prstGeom>
                </pic:spPr>
              </pic:pic>
            </a:graphicData>
          </a:graphic>
        </wp:anchor>
      </w:drawing>
    </w:r>
    <w:r>
      <w:rPr>
        <w:color w:val="333333"/>
        <w:spacing w:val="-6"/>
        <w:sz w:val="19"/>
        <w:szCs w:val="19"/>
      </w:rPr>
      <w:t>9</w:t>
    </w:r>
    <w:r>
      <w:rPr>
        <w:color w:val="333333"/>
        <w:spacing w:val="8"/>
        <w:sz w:val="19"/>
        <w:szCs w:val="19"/>
      </w:rPr>
      <w:t xml:space="preserve"> </w:t>
    </w:r>
    <w:r>
      <w:rPr>
        <w:color w:val="333333"/>
        <w:spacing w:val="-6"/>
        <w:sz w:val="19"/>
        <w:szCs w:val="19"/>
      </w:rPr>
      <w:t>/</w:t>
    </w:r>
    <w:r>
      <w:rPr>
        <w:color w:val="333333"/>
        <w:spacing w:val="12"/>
        <w:sz w:val="19"/>
        <w:szCs w:val="19"/>
      </w:rPr>
      <w:t xml:space="preserve"> </w:t>
    </w:r>
    <w:r>
      <w:rPr>
        <w:color w:val="333333"/>
        <w:spacing w:val="-6"/>
        <w:sz w:val="19"/>
        <w:szCs w:val="19"/>
      </w:rPr>
      <w:t>25</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EE86D">
    <w:pPr>
      <w:pStyle w:val="2"/>
      <w:spacing w:before="122" w:line="217" w:lineRule="auto"/>
      <w:ind w:left="5580"/>
      <w:rPr>
        <w:sz w:val="19"/>
        <w:szCs w:val="19"/>
      </w:rPr>
    </w:pPr>
    <w:r>
      <w:drawing>
        <wp:anchor distT="0" distB="0" distL="0" distR="0" simplePos="0" relativeHeight="251675648"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1"/>
                  <a:stretch>
                    <a:fillRect/>
                  </a:stretch>
                </pic:blipFill>
                <pic:spPr>
                  <a:xfrm>
                    <a:off x="0" y="0"/>
                    <a:ext cx="6333814" cy="7621"/>
                  </a:xfrm>
                  <a:prstGeom prst="rect">
                    <a:avLst/>
                  </a:prstGeom>
                </pic:spPr>
              </pic:pic>
            </a:graphicData>
          </a:graphic>
        </wp:anchor>
      </w:drawing>
    </w:r>
    <w:r>
      <w:drawing>
        <wp:anchor distT="0" distB="0" distL="0" distR="0" simplePos="0" relativeHeight="251674624" behindDoc="0" locked="0" layoutInCell="0" allowOverlap="1">
          <wp:simplePos x="0" y="0"/>
          <wp:positionH relativeFrom="page">
            <wp:posOffset>632460</wp:posOffset>
          </wp:positionH>
          <wp:positionV relativeFrom="page">
            <wp:posOffset>10140950</wp:posOffset>
          </wp:positionV>
          <wp:extent cx="2164715" cy="152400"/>
          <wp:effectExtent l="0" t="0" r="0" b="0"/>
          <wp:wrapNone/>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2"/>
                  <a:stretch>
                    <a:fillRect/>
                  </a:stretch>
                </pic:blipFill>
                <pic:spPr>
                  <a:xfrm>
                    <a:off x="0" y="0"/>
                    <a:ext cx="2164625" cy="152438"/>
                  </a:xfrm>
                  <a:prstGeom prst="rect">
                    <a:avLst/>
                  </a:prstGeom>
                </pic:spPr>
              </pic:pic>
            </a:graphicData>
          </a:graphic>
        </wp:anchor>
      </w:drawing>
    </w:r>
    <w:r>
      <w:rPr>
        <w:color w:val="333333"/>
        <w:spacing w:val="-8"/>
        <w:sz w:val="19"/>
        <w:szCs w:val="19"/>
      </w:rPr>
      <w:t>10</w:t>
    </w:r>
    <w:r>
      <w:rPr>
        <w:color w:val="333333"/>
        <w:spacing w:val="12"/>
        <w:sz w:val="19"/>
        <w:szCs w:val="19"/>
      </w:rPr>
      <w:t xml:space="preserve"> </w:t>
    </w:r>
    <w:r>
      <w:rPr>
        <w:color w:val="333333"/>
        <w:spacing w:val="-8"/>
        <w:sz w:val="19"/>
        <w:szCs w:val="19"/>
      </w:rPr>
      <w:t>/</w:t>
    </w:r>
    <w:r>
      <w:rPr>
        <w:color w:val="333333"/>
        <w:spacing w:val="11"/>
        <w:sz w:val="19"/>
        <w:szCs w:val="19"/>
      </w:rPr>
      <w:t xml:space="preserve"> </w:t>
    </w:r>
    <w:r>
      <w:rPr>
        <w:color w:val="333333"/>
        <w:spacing w:val="-8"/>
        <w:sz w:val="19"/>
        <w:szCs w:val="19"/>
      </w:rPr>
      <w:t>25</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212CC">
    <w:pPr>
      <w:pStyle w:val="2"/>
      <w:spacing w:before="122" w:line="217" w:lineRule="auto"/>
      <w:ind w:left="5580"/>
      <w:rPr>
        <w:sz w:val="19"/>
        <w:szCs w:val="19"/>
      </w:rPr>
    </w:pPr>
    <w:r>
      <w:drawing>
        <wp:anchor distT="0" distB="0" distL="0" distR="0" simplePos="0" relativeHeight="251677696"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1"/>
                  <a:stretch>
                    <a:fillRect/>
                  </a:stretch>
                </pic:blipFill>
                <pic:spPr>
                  <a:xfrm>
                    <a:off x="0" y="0"/>
                    <a:ext cx="6333814" cy="7621"/>
                  </a:xfrm>
                  <a:prstGeom prst="rect">
                    <a:avLst/>
                  </a:prstGeom>
                </pic:spPr>
              </pic:pic>
            </a:graphicData>
          </a:graphic>
        </wp:anchor>
      </w:drawing>
    </w:r>
    <w:r>
      <w:drawing>
        <wp:anchor distT="0" distB="0" distL="0" distR="0" simplePos="0" relativeHeight="251676672" behindDoc="0" locked="0" layoutInCell="0" allowOverlap="1">
          <wp:simplePos x="0" y="0"/>
          <wp:positionH relativeFrom="page">
            <wp:posOffset>632460</wp:posOffset>
          </wp:positionH>
          <wp:positionV relativeFrom="page">
            <wp:posOffset>10140950</wp:posOffset>
          </wp:positionV>
          <wp:extent cx="2164715" cy="152400"/>
          <wp:effectExtent l="0" t="0" r="0" b="0"/>
          <wp:wrapNone/>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2"/>
                  <a:stretch>
                    <a:fillRect/>
                  </a:stretch>
                </pic:blipFill>
                <pic:spPr>
                  <a:xfrm>
                    <a:off x="0" y="0"/>
                    <a:ext cx="2164625" cy="152438"/>
                  </a:xfrm>
                  <a:prstGeom prst="rect">
                    <a:avLst/>
                  </a:prstGeom>
                </pic:spPr>
              </pic:pic>
            </a:graphicData>
          </a:graphic>
        </wp:anchor>
      </w:drawing>
    </w:r>
    <w:r>
      <w:rPr>
        <w:color w:val="333333"/>
        <w:spacing w:val="-8"/>
        <w:sz w:val="19"/>
        <w:szCs w:val="19"/>
      </w:rPr>
      <w:t>11</w:t>
    </w:r>
    <w:r>
      <w:rPr>
        <w:color w:val="333333"/>
        <w:spacing w:val="12"/>
        <w:sz w:val="19"/>
        <w:szCs w:val="19"/>
      </w:rPr>
      <w:t xml:space="preserve"> </w:t>
    </w:r>
    <w:r>
      <w:rPr>
        <w:color w:val="333333"/>
        <w:spacing w:val="-8"/>
        <w:sz w:val="19"/>
        <w:szCs w:val="19"/>
      </w:rPr>
      <w:t>/</w:t>
    </w:r>
    <w:r>
      <w:rPr>
        <w:color w:val="333333"/>
        <w:spacing w:val="11"/>
        <w:sz w:val="19"/>
        <w:szCs w:val="19"/>
      </w:rPr>
      <w:t xml:space="preserve"> </w:t>
    </w:r>
    <w:r>
      <w:rPr>
        <w:color w:val="333333"/>
        <w:spacing w:val="-8"/>
        <w:sz w:val="19"/>
        <w:szCs w:val="19"/>
      </w:rPr>
      <w:t>25</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F9DCA">
    <w:pPr>
      <w:pStyle w:val="2"/>
      <w:spacing w:before="122" w:line="217" w:lineRule="auto"/>
      <w:ind w:left="5580"/>
      <w:rPr>
        <w:sz w:val="19"/>
        <w:szCs w:val="19"/>
      </w:rPr>
    </w:pPr>
    <w:r>
      <w:drawing>
        <wp:anchor distT="0" distB="0" distL="0" distR="0" simplePos="0" relativeHeight="251679744"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1"/>
                  <a:stretch>
                    <a:fillRect/>
                  </a:stretch>
                </pic:blipFill>
                <pic:spPr>
                  <a:xfrm>
                    <a:off x="0" y="0"/>
                    <a:ext cx="6333814" cy="7621"/>
                  </a:xfrm>
                  <a:prstGeom prst="rect">
                    <a:avLst/>
                  </a:prstGeom>
                </pic:spPr>
              </pic:pic>
            </a:graphicData>
          </a:graphic>
        </wp:anchor>
      </w:drawing>
    </w:r>
    <w:r>
      <w:drawing>
        <wp:anchor distT="0" distB="0" distL="0" distR="0" simplePos="0" relativeHeight="251678720" behindDoc="0" locked="0" layoutInCell="0" allowOverlap="1">
          <wp:simplePos x="0" y="0"/>
          <wp:positionH relativeFrom="page">
            <wp:posOffset>632460</wp:posOffset>
          </wp:positionH>
          <wp:positionV relativeFrom="page">
            <wp:posOffset>10140950</wp:posOffset>
          </wp:positionV>
          <wp:extent cx="2164715" cy="152400"/>
          <wp:effectExtent l="0" t="0" r="0" b="0"/>
          <wp:wrapNone/>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2"/>
                  <a:stretch>
                    <a:fillRect/>
                  </a:stretch>
                </pic:blipFill>
                <pic:spPr>
                  <a:xfrm>
                    <a:off x="0" y="0"/>
                    <a:ext cx="2164625" cy="152438"/>
                  </a:xfrm>
                  <a:prstGeom prst="rect">
                    <a:avLst/>
                  </a:prstGeom>
                </pic:spPr>
              </pic:pic>
            </a:graphicData>
          </a:graphic>
        </wp:anchor>
      </w:drawing>
    </w:r>
    <w:r>
      <w:rPr>
        <w:color w:val="333333"/>
        <w:spacing w:val="-8"/>
        <w:sz w:val="19"/>
        <w:szCs w:val="19"/>
      </w:rPr>
      <w:t>12</w:t>
    </w:r>
    <w:r>
      <w:rPr>
        <w:color w:val="333333"/>
        <w:spacing w:val="12"/>
        <w:sz w:val="19"/>
        <w:szCs w:val="19"/>
      </w:rPr>
      <w:t xml:space="preserve"> </w:t>
    </w:r>
    <w:r>
      <w:rPr>
        <w:color w:val="333333"/>
        <w:spacing w:val="-8"/>
        <w:sz w:val="19"/>
        <w:szCs w:val="19"/>
      </w:rPr>
      <w:t>/</w:t>
    </w:r>
    <w:r>
      <w:rPr>
        <w:color w:val="333333"/>
        <w:spacing w:val="11"/>
        <w:sz w:val="19"/>
        <w:szCs w:val="19"/>
      </w:rPr>
      <w:t xml:space="preserve"> </w:t>
    </w:r>
    <w:r>
      <w:rPr>
        <w:color w:val="333333"/>
        <w:spacing w:val="-8"/>
        <w:sz w:val="19"/>
        <w:szCs w:val="19"/>
      </w:rPr>
      <w:t>25</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BA11D">
    <w:pPr>
      <w:pStyle w:val="2"/>
      <w:spacing w:before="122" w:line="217" w:lineRule="auto"/>
      <w:ind w:left="5580"/>
      <w:rPr>
        <w:sz w:val="19"/>
        <w:szCs w:val="19"/>
      </w:rPr>
    </w:pPr>
    <w:r>
      <w:drawing>
        <wp:anchor distT="0" distB="0" distL="0" distR="0" simplePos="0" relativeHeight="251681792"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1"/>
                  <a:stretch>
                    <a:fillRect/>
                  </a:stretch>
                </pic:blipFill>
                <pic:spPr>
                  <a:xfrm>
                    <a:off x="0" y="0"/>
                    <a:ext cx="6333814" cy="7621"/>
                  </a:xfrm>
                  <a:prstGeom prst="rect">
                    <a:avLst/>
                  </a:prstGeom>
                </pic:spPr>
              </pic:pic>
            </a:graphicData>
          </a:graphic>
        </wp:anchor>
      </w:drawing>
    </w:r>
    <w:r>
      <w:drawing>
        <wp:anchor distT="0" distB="0" distL="0" distR="0" simplePos="0" relativeHeight="251680768" behindDoc="0" locked="0" layoutInCell="0" allowOverlap="1">
          <wp:simplePos x="0" y="0"/>
          <wp:positionH relativeFrom="page">
            <wp:posOffset>632460</wp:posOffset>
          </wp:positionH>
          <wp:positionV relativeFrom="page">
            <wp:posOffset>10140950</wp:posOffset>
          </wp:positionV>
          <wp:extent cx="2164715" cy="152400"/>
          <wp:effectExtent l="0" t="0" r="0" b="0"/>
          <wp:wrapNone/>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2"/>
                  <a:stretch>
                    <a:fillRect/>
                  </a:stretch>
                </pic:blipFill>
                <pic:spPr>
                  <a:xfrm>
                    <a:off x="0" y="0"/>
                    <a:ext cx="2164625" cy="152438"/>
                  </a:xfrm>
                  <a:prstGeom prst="rect">
                    <a:avLst/>
                  </a:prstGeom>
                </pic:spPr>
              </pic:pic>
            </a:graphicData>
          </a:graphic>
        </wp:anchor>
      </w:drawing>
    </w:r>
    <w:r>
      <w:rPr>
        <w:color w:val="333333"/>
        <w:spacing w:val="-8"/>
        <w:sz w:val="19"/>
        <w:szCs w:val="19"/>
      </w:rPr>
      <w:t>13</w:t>
    </w:r>
    <w:r>
      <w:rPr>
        <w:color w:val="333333"/>
        <w:spacing w:val="12"/>
        <w:sz w:val="19"/>
        <w:szCs w:val="19"/>
      </w:rPr>
      <w:t xml:space="preserve"> </w:t>
    </w:r>
    <w:r>
      <w:rPr>
        <w:color w:val="333333"/>
        <w:spacing w:val="-8"/>
        <w:sz w:val="19"/>
        <w:szCs w:val="19"/>
      </w:rPr>
      <w:t>/</w:t>
    </w:r>
    <w:r>
      <w:rPr>
        <w:color w:val="333333"/>
        <w:spacing w:val="11"/>
        <w:sz w:val="19"/>
        <w:szCs w:val="19"/>
      </w:rPr>
      <w:t xml:space="preserve"> </w:t>
    </w:r>
    <w:r>
      <w:rPr>
        <w:color w:val="333333"/>
        <w:spacing w:val="-8"/>
        <w:sz w:val="19"/>
        <w:szCs w:val="19"/>
      </w:rPr>
      <w:t>25</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B9ED9">
    <w:pPr>
      <w:pStyle w:val="2"/>
      <w:spacing w:before="122" w:line="217" w:lineRule="auto"/>
      <w:ind w:left="5580"/>
      <w:rPr>
        <w:sz w:val="19"/>
        <w:szCs w:val="19"/>
      </w:rPr>
    </w:pPr>
    <w:r>
      <w:drawing>
        <wp:anchor distT="0" distB="0" distL="0" distR="0" simplePos="0" relativeHeight="251683840"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1"/>
                  <a:stretch>
                    <a:fillRect/>
                  </a:stretch>
                </pic:blipFill>
                <pic:spPr>
                  <a:xfrm>
                    <a:off x="0" y="0"/>
                    <a:ext cx="6333814" cy="7621"/>
                  </a:xfrm>
                  <a:prstGeom prst="rect">
                    <a:avLst/>
                  </a:prstGeom>
                </pic:spPr>
              </pic:pic>
            </a:graphicData>
          </a:graphic>
        </wp:anchor>
      </w:drawing>
    </w:r>
    <w:r>
      <w:drawing>
        <wp:anchor distT="0" distB="0" distL="0" distR="0" simplePos="0" relativeHeight="251682816" behindDoc="0" locked="0" layoutInCell="0" allowOverlap="1">
          <wp:simplePos x="0" y="0"/>
          <wp:positionH relativeFrom="page">
            <wp:posOffset>632460</wp:posOffset>
          </wp:positionH>
          <wp:positionV relativeFrom="page">
            <wp:posOffset>10140950</wp:posOffset>
          </wp:positionV>
          <wp:extent cx="2164715" cy="152400"/>
          <wp:effectExtent l="0" t="0" r="0" b="0"/>
          <wp:wrapNone/>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2"/>
                  <a:stretch>
                    <a:fillRect/>
                  </a:stretch>
                </pic:blipFill>
                <pic:spPr>
                  <a:xfrm>
                    <a:off x="0" y="0"/>
                    <a:ext cx="2164625" cy="152438"/>
                  </a:xfrm>
                  <a:prstGeom prst="rect">
                    <a:avLst/>
                  </a:prstGeom>
                </pic:spPr>
              </pic:pic>
            </a:graphicData>
          </a:graphic>
        </wp:anchor>
      </w:drawing>
    </w:r>
    <w:r>
      <w:rPr>
        <w:color w:val="333333"/>
        <w:spacing w:val="-8"/>
        <w:sz w:val="19"/>
        <w:szCs w:val="19"/>
      </w:rPr>
      <w:t>14</w:t>
    </w:r>
    <w:r>
      <w:rPr>
        <w:color w:val="333333"/>
        <w:spacing w:val="12"/>
        <w:sz w:val="19"/>
        <w:szCs w:val="19"/>
      </w:rPr>
      <w:t xml:space="preserve"> </w:t>
    </w:r>
    <w:r>
      <w:rPr>
        <w:color w:val="333333"/>
        <w:spacing w:val="-8"/>
        <w:sz w:val="19"/>
        <w:szCs w:val="19"/>
      </w:rPr>
      <w:t>/</w:t>
    </w:r>
    <w:r>
      <w:rPr>
        <w:color w:val="333333"/>
        <w:spacing w:val="11"/>
        <w:sz w:val="19"/>
        <w:szCs w:val="19"/>
      </w:rPr>
      <w:t xml:space="preserve"> </w:t>
    </w:r>
    <w:r>
      <w:rPr>
        <w:color w:val="333333"/>
        <w:spacing w:val="-8"/>
        <w:sz w:val="19"/>
        <w:szCs w:val="19"/>
      </w:rPr>
      <w:t>25</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056B7">
    <w:pPr>
      <w:pStyle w:val="2"/>
      <w:spacing w:before="122" w:line="217" w:lineRule="auto"/>
      <w:ind w:left="5580"/>
      <w:rPr>
        <w:sz w:val="19"/>
        <w:szCs w:val="19"/>
      </w:rPr>
    </w:pPr>
    <w:r>
      <w:drawing>
        <wp:anchor distT="0" distB="0" distL="0" distR="0" simplePos="0" relativeHeight="251685888"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1"/>
                  <a:stretch>
                    <a:fillRect/>
                  </a:stretch>
                </pic:blipFill>
                <pic:spPr>
                  <a:xfrm>
                    <a:off x="0" y="0"/>
                    <a:ext cx="6333814" cy="7621"/>
                  </a:xfrm>
                  <a:prstGeom prst="rect">
                    <a:avLst/>
                  </a:prstGeom>
                </pic:spPr>
              </pic:pic>
            </a:graphicData>
          </a:graphic>
        </wp:anchor>
      </w:drawing>
    </w:r>
    <w:r>
      <w:drawing>
        <wp:anchor distT="0" distB="0" distL="0" distR="0" simplePos="0" relativeHeight="251684864" behindDoc="0" locked="0" layoutInCell="0" allowOverlap="1">
          <wp:simplePos x="0" y="0"/>
          <wp:positionH relativeFrom="page">
            <wp:posOffset>632460</wp:posOffset>
          </wp:positionH>
          <wp:positionV relativeFrom="page">
            <wp:posOffset>10140950</wp:posOffset>
          </wp:positionV>
          <wp:extent cx="2164715" cy="152400"/>
          <wp:effectExtent l="0" t="0" r="0" b="0"/>
          <wp:wrapNone/>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2"/>
                  <a:stretch>
                    <a:fillRect/>
                  </a:stretch>
                </pic:blipFill>
                <pic:spPr>
                  <a:xfrm>
                    <a:off x="0" y="0"/>
                    <a:ext cx="2164625" cy="152438"/>
                  </a:xfrm>
                  <a:prstGeom prst="rect">
                    <a:avLst/>
                  </a:prstGeom>
                </pic:spPr>
              </pic:pic>
            </a:graphicData>
          </a:graphic>
        </wp:anchor>
      </w:drawing>
    </w:r>
    <w:r>
      <w:rPr>
        <w:color w:val="333333"/>
        <w:spacing w:val="-8"/>
        <w:sz w:val="19"/>
        <w:szCs w:val="19"/>
      </w:rPr>
      <w:t>15</w:t>
    </w:r>
    <w:r>
      <w:rPr>
        <w:color w:val="333333"/>
        <w:spacing w:val="12"/>
        <w:sz w:val="19"/>
        <w:szCs w:val="19"/>
      </w:rPr>
      <w:t xml:space="preserve"> </w:t>
    </w:r>
    <w:r>
      <w:rPr>
        <w:color w:val="333333"/>
        <w:spacing w:val="-8"/>
        <w:sz w:val="19"/>
        <w:szCs w:val="19"/>
      </w:rPr>
      <w:t>/</w:t>
    </w:r>
    <w:r>
      <w:rPr>
        <w:color w:val="333333"/>
        <w:spacing w:val="11"/>
        <w:sz w:val="19"/>
        <w:szCs w:val="19"/>
      </w:rPr>
      <w:t xml:space="preserve"> </w:t>
    </w:r>
    <w:r>
      <w:rPr>
        <w:color w:val="333333"/>
        <w:spacing w:val="-8"/>
        <w:sz w:val="19"/>
        <w:szCs w:val="19"/>
      </w:rPr>
      <w:t>25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ACA32">
    <w:pPr>
      <w:pStyle w:val="2"/>
      <w:spacing w:before="122" w:line="217" w:lineRule="auto"/>
      <w:ind w:left="5580"/>
      <w:rPr>
        <w:sz w:val="19"/>
        <w:szCs w:val="19"/>
      </w:rPr>
    </w:pPr>
    <w:r>
      <w:drawing>
        <wp:anchor distT="0" distB="0" distL="0" distR="0" simplePos="0" relativeHeight="251687936"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1"/>
                  <a:stretch>
                    <a:fillRect/>
                  </a:stretch>
                </pic:blipFill>
                <pic:spPr>
                  <a:xfrm>
                    <a:off x="0" y="0"/>
                    <a:ext cx="6333814" cy="7621"/>
                  </a:xfrm>
                  <a:prstGeom prst="rect">
                    <a:avLst/>
                  </a:prstGeom>
                </pic:spPr>
              </pic:pic>
            </a:graphicData>
          </a:graphic>
        </wp:anchor>
      </w:drawing>
    </w:r>
    <w:r>
      <w:drawing>
        <wp:anchor distT="0" distB="0" distL="0" distR="0" simplePos="0" relativeHeight="251686912" behindDoc="0" locked="0" layoutInCell="0" allowOverlap="1">
          <wp:simplePos x="0" y="0"/>
          <wp:positionH relativeFrom="page">
            <wp:posOffset>632460</wp:posOffset>
          </wp:positionH>
          <wp:positionV relativeFrom="page">
            <wp:posOffset>10140950</wp:posOffset>
          </wp:positionV>
          <wp:extent cx="2164715" cy="152400"/>
          <wp:effectExtent l="0" t="0" r="0" b="0"/>
          <wp:wrapNone/>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2"/>
                  <a:stretch>
                    <a:fillRect/>
                  </a:stretch>
                </pic:blipFill>
                <pic:spPr>
                  <a:xfrm>
                    <a:off x="0" y="0"/>
                    <a:ext cx="2164625" cy="152438"/>
                  </a:xfrm>
                  <a:prstGeom prst="rect">
                    <a:avLst/>
                  </a:prstGeom>
                </pic:spPr>
              </pic:pic>
            </a:graphicData>
          </a:graphic>
        </wp:anchor>
      </w:drawing>
    </w:r>
    <w:r>
      <w:rPr>
        <w:color w:val="333333"/>
        <w:spacing w:val="-8"/>
        <w:sz w:val="19"/>
        <w:szCs w:val="19"/>
      </w:rPr>
      <w:t>16</w:t>
    </w:r>
    <w:r>
      <w:rPr>
        <w:color w:val="333333"/>
        <w:spacing w:val="12"/>
        <w:sz w:val="19"/>
        <w:szCs w:val="19"/>
      </w:rPr>
      <w:t xml:space="preserve"> </w:t>
    </w:r>
    <w:r>
      <w:rPr>
        <w:color w:val="333333"/>
        <w:spacing w:val="-8"/>
        <w:sz w:val="19"/>
        <w:szCs w:val="19"/>
      </w:rPr>
      <w:t>/</w:t>
    </w:r>
    <w:r>
      <w:rPr>
        <w:color w:val="333333"/>
        <w:spacing w:val="11"/>
        <w:sz w:val="19"/>
        <w:szCs w:val="19"/>
      </w:rPr>
      <w:t xml:space="preserve"> </w:t>
    </w:r>
    <w:r>
      <w:rPr>
        <w:color w:val="333333"/>
        <w:spacing w:val="-8"/>
        <w:sz w:val="19"/>
        <w:szCs w:val="19"/>
      </w:rPr>
      <w:t>25</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3F530">
    <w:pPr>
      <w:pStyle w:val="2"/>
      <w:spacing w:before="122" w:line="217" w:lineRule="auto"/>
      <w:ind w:left="5580"/>
      <w:rPr>
        <w:sz w:val="19"/>
        <w:szCs w:val="19"/>
      </w:rPr>
    </w:pPr>
    <w:r>
      <w:drawing>
        <wp:anchor distT="0" distB="0" distL="0" distR="0" simplePos="0" relativeHeight="251693056" behindDoc="0" locked="0" layoutInCell="0" allowOverlap="1">
          <wp:simplePos x="0" y="0"/>
          <wp:positionH relativeFrom="page">
            <wp:posOffset>609600</wp:posOffset>
          </wp:positionH>
          <wp:positionV relativeFrom="page">
            <wp:posOffset>10095230</wp:posOffset>
          </wp:positionV>
          <wp:extent cx="6334125" cy="7620"/>
          <wp:effectExtent l="0" t="0" r="0" b="0"/>
          <wp:wrapNone/>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1"/>
                  <a:stretch>
                    <a:fillRect/>
                  </a:stretch>
                </pic:blipFill>
                <pic:spPr>
                  <a:xfrm>
                    <a:off x="0" y="0"/>
                    <a:ext cx="6333814" cy="7621"/>
                  </a:xfrm>
                  <a:prstGeom prst="rect">
                    <a:avLst/>
                  </a:prstGeom>
                </pic:spPr>
              </pic:pic>
            </a:graphicData>
          </a:graphic>
        </wp:anchor>
      </w:drawing>
    </w:r>
    <w:r>
      <w:drawing>
        <wp:anchor distT="0" distB="0" distL="0" distR="0" simplePos="0" relativeHeight="251691008" behindDoc="0" locked="0" layoutInCell="0" allowOverlap="1">
          <wp:simplePos x="0" y="0"/>
          <wp:positionH relativeFrom="page">
            <wp:posOffset>632460</wp:posOffset>
          </wp:positionH>
          <wp:positionV relativeFrom="page">
            <wp:posOffset>10140950</wp:posOffset>
          </wp:positionV>
          <wp:extent cx="2164715" cy="152400"/>
          <wp:effectExtent l="0" t="0" r="0" b="0"/>
          <wp:wrapNone/>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2"/>
                  <a:stretch>
                    <a:fillRect/>
                  </a:stretch>
                </pic:blipFill>
                <pic:spPr>
                  <a:xfrm>
                    <a:off x="0" y="0"/>
                    <a:ext cx="2164625" cy="152438"/>
                  </a:xfrm>
                  <a:prstGeom prst="rect">
                    <a:avLst/>
                  </a:prstGeom>
                </pic:spPr>
              </pic:pic>
            </a:graphicData>
          </a:graphic>
        </wp:anchor>
      </w:drawing>
    </w:r>
    <w:r>
      <w:rPr>
        <w:color w:val="333333"/>
        <w:spacing w:val="-8"/>
        <w:sz w:val="19"/>
        <w:szCs w:val="19"/>
      </w:rPr>
      <w:t>17</w:t>
    </w:r>
    <w:r>
      <w:rPr>
        <w:color w:val="333333"/>
        <w:spacing w:val="12"/>
        <w:sz w:val="19"/>
        <w:szCs w:val="19"/>
      </w:rPr>
      <w:t xml:space="preserve"> </w:t>
    </w:r>
    <w:r>
      <w:rPr>
        <w:color w:val="333333"/>
        <w:spacing w:val="-8"/>
        <w:sz w:val="19"/>
        <w:szCs w:val="19"/>
      </w:rPr>
      <w:t>/</w:t>
    </w:r>
    <w:r>
      <w:rPr>
        <w:color w:val="333333"/>
        <w:spacing w:val="11"/>
        <w:sz w:val="19"/>
        <w:szCs w:val="19"/>
      </w:rPr>
      <w:t xml:space="preserve"> </w:t>
    </w:r>
    <w:r>
      <w:rPr>
        <w:color w:val="333333"/>
        <w:spacing w:val="-8"/>
        <w:sz w:val="19"/>
        <w:szCs w:val="19"/>
      </w:rPr>
      <w:t>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9B599">
    <w:pPr>
      <w:spacing w:line="312" w:lineRule="exact"/>
      <w:ind w:firstLine="9441"/>
    </w:pPr>
    <w:r>
      <w:drawing>
        <wp:anchor distT="0" distB="0" distL="0" distR="0" simplePos="0" relativeHeight="251660288" behindDoc="0" locked="0" layoutInCell="0" allowOverlap="1">
          <wp:simplePos x="0" y="0"/>
          <wp:positionH relativeFrom="page">
            <wp:posOffset>609600</wp:posOffset>
          </wp:positionH>
          <wp:positionV relativeFrom="page">
            <wp:posOffset>541655</wp:posOffset>
          </wp:positionV>
          <wp:extent cx="6334125" cy="7620"/>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
                  <a:stretch>
                    <a:fillRect/>
                  </a:stretch>
                </pic:blipFill>
                <pic:spPr>
                  <a:xfrm>
                    <a:off x="0" y="0"/>
                    <a:ext cx="6333814" cy="7622"/>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A2905">
    <w:pPr>
      <w:spacing w:line="312" w:lineRule="exact"/>
      <w:ind w:firstLine="9441"/>
    </w:pPr>
    <w:r>
      <w:drawing>
        <wp:anchor distT="0" distB="0" distL="0" distR="0" simplePos="0" relativeHeight="251662336" behindDoc="0" locked="0" layoutInCell="0" allowOverlap="1">
          <wp:simplePos x="0" y="0"/>
          <wp:positionH relativeFrom="page">
            <wp:posOffset>609600</wp:posOffset>
          </wp:positionH>
          <wp:positionV relativeFrom="page">
            <wp:posOffset>541655</wp:posOffset>
          </wp:positionV>
          <wp:extent cx="6334125" cy="762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
                  <a:stretch>
                    <a:fillRect/>
                  </a:stretch>
                </pic:blipFill>
                <pic:spPr>
                  <a:xfrm>
                    <a:off x="0" y="0"/>
                    <a:ext cx="6333814" cy="7622"/>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86681">
    <w:pPr>
      <w:spacing w:line="312" w:lineRule="exact"/>
      <w:ind w:firstLine="9441"/>
    </w:pPr>
    <w:r>
      <w:pict>
        <v:shape id="PowerPlusWaterMarkObject12" o:spid="_x0000_s2053" o:spt="136" type="#_x0000_t136" style="position:absolute;left:0pt;margin-left:18.45pt;margin-top:1.55pt;height:14.6pt;width:557.6pt;mso-position-horizontal-relative:page;mso-position-vertical-relative:page;z-index:-251627520;mso-width-relative:page;mso-height-relative:page;" fillcolor="#000000" filled="t" stroked="f" coordsize="21600,21600" o:allowincell="f">
          <v:path/>
          <v:fill on="t" opacity="32897f" focussize="0,0"/>
          <v:stroke on="f"/>
          <v:imagedata o:title=""/>
          <o:lock v:ext="edit"/>
          <v:textpath on="t" fitpath="t" trim="t" xscale="f" string="卡哥团队助你备考：少走弯路，快速通关！认准VX： kagezhukao688（天道酬勤 白嫖勿扰）" style="font-family:KaiTi;font-size:8pt;v-text-align:center;"/>
        </v:shape>
      </w:pict>
    </w:r>
    <w:r>
      <w:pict>
        <v:shape id="PowerPlusWaterMarkObject14" o:spid="_x0000_s2054" o:spt="136" type="#_x0000_t136" style="position:absolute;left:0pt;margin-left:14.65pt;margin-top:828.35pt;height:14.6pt;width:564.95pt;mso-position-horizontal-relative:page;mso-position-vertical-relative:page;z-index:-251626496;mso-width-relative:page;mso-height-relative:page;" fillcolor="#000000" filled="t" stroked="f" coordsize="21600,21600" o:allowincell="f">
          <v:path/>
          <v:fill on="t" opacity="32897f" focussize="0,0"/>
          <v:stroke on="f"/>
          <v:imagedata o:title=""/>
          <o:lock v:ext="edit"/>
          <v:textpath on="t" fitpath="t" trim="t" xscale="f" string="建工、财经、司法类考试资料请找卡哥团队！小红书号： 8666994200（天道酬勤 白嫖勿扰）" style="font-family:KaiTi;font-size:8pt;v-text-align:center;"/>
        </v:shape>
      </w:pict>
    </w:r>
    <w:r>
      <w:drawing>
        <wp:anchor distT="0" distB="0" distL="0" distR="0" simplePos="0" relativeHeight="251692032" behindDoc="0" locked="0" layoutInCell="0" allowOverlap="1">
          <wp:simplePos x="0" y="0"/>
          <wp:positionH relativeFrom="page">
            <wp:posOffset>609600</wp:posOffset>
          </wp:positionH>
          <wp:positionV relativeFrom="page">
            <wp:posOffset>541655</wp:posOffset>
          </wp:positionV>
          <wp:extent cx="6334125" cy="7620"/>
          <wp:effectExtent l="0" t="0" r="0" b="0"/>
          <wp:wrapNone/>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1"/>
                  <a:stretch>
                    <a:fillRect/>
                  </a:stretch>
                </pic:blipFill>
                <pic:spPr>
                  <a:xfrm>
                    <a:off x="0" y="0"/>
                    <a:ext cx="6333814" cy="7622"/>
                  </a:xfrm>
                  <a:prstGeom prst="rect">
                    <a:avLst/>
                  </a:prstGeom>
                </pic:spPr>
              </pic:pic>
            </a:graphicData>
          </a:graphic>
        </wp:anchor>
      </w:drawing>
    </w:r>
    <w:r>
      <w:rPr>
        <w:position w:val="-6"/>
      </w:rPr>
      <w:drawing>
        <wp:inline distT="0" distB="0" distL="0" distR="0">
          <wp:extent cx="739140" cy="198120"/>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2"/>
                  <a:stretch>
                    <a:fillRect/>
                  </a:stretch>
                </pic:blipFill>
                <pic:spPr>
                  <a:xfrm>
                    <a:off x="0" y="0"/>
                    <a:ext cx="739326" cy="19817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60D37A6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image" Target="media/image5.png"/><Relationship Id="rId26" Type="http://schemas.openxmlformats.org/officeDocument/2006/relationships/image" Target="media/image4.jpeg"/><Relationship Id="rId25" Type="http://schemas.openxmlformats.org/officeDocument/2006/relationships/theme" Target="theme/theme1.xml"/><Relationship Id="rId24" Type="http://schemas.openxmlformats.org/officeDocument/2006/relationships/footer" Target="footer17.xml"/><Relationship Id="rId23" Type="http://schemas.openxmlformats.org/officeDocument/2006/relationships/header" Target="header3.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1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1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1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1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1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1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3"/>
    <customShpInfo spid="_x0000_s2054"/>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17</Pages>
  <Words>2020</Words>
  <Characters>2129</Characters>
  <TotalTime>39</TotalTime>
  <ScaleCrop>false</ScaleCrop>
  <LinksUpToDate>false</LinksUpToDate>
  <CharactersWithSpaces>2196</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2026-01-10T09:15:00Z</dcterms:created>
  <dc:creator>EDY</dc:creator>
  <cp:lastModifiedBy>薛飞</cp:lastModifiedBy>
  <dcterms:modified xsi:type="dcterms:W3CDTF">2026-02-09T13:42:15Z</dcterms:modified>
  <dc:title>一级建造师-建设工程经济</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2026-02-09T21:02:52Z</vt:filetime>
  </property>
  <property fmtid="{D5CDD505-2E9C-101B-9397-08002B2CF9AE}" pid="4" name="KSOTemplateDocerSaveRecord">
    <vt:lpwstr>eyJoZGlkIjoiMDZhYjFkODJhOWFlZjdhZTJlNzA0NmE2MTZhNTZkMjEiLCJ1c2VySWQiOiI5NTk2ODI5NzQifQ==</vt:lpwstr>
  </property>
  <property fmtid="{D5CDD505-2E9C-101B-9397-08002B2CF9AE}" pid="5" name="KSOProductBuildVer">
    <vt:lpwstr>2052-12.1.0.24657</vt:lpwstr>
  </property>
  <property fmtid="{D5CDD505-2E9C-101B-9397-08002B2CF9AE}" pid="6" name="ICV">
    <vt:lpwstr>EAAE58E09086429B82ACF5082E0C83E5_12</vt:lpwstr>
  </property>
</Properties>
</file>