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860" w:type="dxa"/>
        <w:tblInd w:w="38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22"/>
        <w:gridCol w:w="5338"/>
      </w:tblGrid>
      <w:tr w14:paraId="71CAA1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4522" w:type="dxa"/>
            <w:vAlign w:val="top"/>
          </w:tcPr>
          <w:p w14:paraId="072869FD">
            <w:pPr>
              <w:rPr>
                <w:rFonts w:ascii="Arial"/>
                <w:sz w:val="21"/>
              </w:rPr>
            </w:pPr>
          </w:p>
        </w:tc>
        <w:tc>
          <w:tcPr>
            <w:tcW w:w="5338" w:type="dxa"/>
            <w:vAlign w:val="top"/>
          </w:tcPr>
          <w:p w14:paraId="78469A97">
            <w:pPr>
              <w:pStyle w:val="7"/>
              <w:spacing w:before="33" w:line="211" w:lineRule="auto"/>
              <w:ind w:left="111"/>
            </w:pPr>
            <w:r>
              <w:rPr>
                <w:spacing w:val="-4"/>
              </w:rPr>
              <w:t>入雨水管道。</w:t>
            </w:r>
          </w:p>
        </w:tc>
      </w:tr>
      <w:tr w14:paraId="4F6622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05F45D73">
            <w:pPr>
              <w:pStyle w:val="7"/>
              <w:spacing w:before="28" w:line="211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60E63A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129F3FFC">
            <w:pPr>
              <w:pStyle w:val="7"/>
              <w:spacing w:before="70" w:line="176" w:lineRule="auto"/>
              <w:ind w:left="2208"/>
            </w:pPr>
            <w:r>
              <w:rPr>
                <w:b/>
                <w:bCs/>
                <w:spacing w:val="-3"/>
              </w:rPr>
              <w:t>P</w:t>
            </w:r>
          </w:p>
        </w:tc>
        <w:tc>
          <w:tcPr>
            <w:tcW w:w="5338" w:type="dxa"/>
            <w:vAlign w:val="top"/>
          </w:tcPr>
          <w:p w14:paraId="1F802E00">
            <w:pPr>
              <w:pStyle w:val="7"/>
              <w:spacing w:before="67" w:line="178" w:lineRule="auto"/>
              <w:ind w:left="2446"/>
            </w:pPr>
            <w:r>
              <w:rPr>
                <w:b/>
                <w:bCs/>
                <w:spacing w:val="-3"/>
              </w:rPr>
              <w:t>P104</w:t>
            </w:r>
          </w:p>
        </w:tc>
      </w:tr>
      <w:tr w14:paraId="0DB3A8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4522" w:type="dxa"/>
            <w:vAlign w:val="top"/>
          </w:tcPr>
          <w:p w14:paraId="63C748BC">
            <w:pPr>
              <w:rPr>
                <w:rFonts w:ascii="Arial"/>
                <w:sz w:val="21"/>
              </w:rPr>
            </w:pPr>
          </w:p>
        </w:tc>
        <w:tc>
          <w:tcPr>
            <w:tcW w:w="5338" w:type="dxa"/>
            <w:vAlign w:val="top"/>
          </w:tcPr>
          <w:p w14:paraId="3F31E38D">
            <w:pPr>
              <w:pStyle w:val="7"/>
              <w:spacing w:before="32" w:line="209" w:lineRule="auto"/>
              <w:ind w:left="111"/>
            </w:pPr>
            <w:r>
              <w:rPr>
                <w:spacing w:val="-2"/>
                <w:shd w:val="clear" w:fill="FFFF00"/>
              </w:rPr>
              <w:t>删除</w:t>
            </w:r>
          </w:p>
          <w:p w14:paraId="029C77EC">
            <w:pPr>
              <w:pStyle w:val="7"/>
              <w:spacing w:before="33" w:line="225" w:lineRule="auto"/>
              <w:ind w:left="113" w:right="617" w:firstLine="2"/>
            </w:pPr>
            <w:r>
              <w:rPr>
                <w:spacing w:val="-1"/>
              </w:rPr>
              <w:t>3.4.1  智能化系统的分部分项工程及施工程序用户电话交换系统：分部分项划分、程序、组成</w:t>
            </w:r>
          </w:p>
        </w:tc>
      </w:tr>
      <w:tr w14:paraId="0FF954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594E02D8">
            <w:pPr>
              <w:pStyle w:val="7"/>
              <w:spacing w:before="29" w:line="210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4D9BE7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013E4CC3">
            <w:pPr>
              <w:pStyle w:val="7"/>
              <w:spacing w:before="66" w:line="179" w:lineRule="auto"/>
              <w:ind w:left="2042"/>
            </w:pPr>
            <w:r>
              <w:rPr>
                <w:b/>
                <w:bCs/>
                <w:spacing w:val="-3"/>
              </w:rPr>
              <w:t>P100</w:t>
            </w:r>
          </w:p>
        </w:tc>
        <w:tc>
          <w:tcPr>
            <w:tcW w:w="5338" w:type="dxa"/>
            <w:vAlign w:val="top"/>
          </w:tcPr>
          <w:p w14:paraId="14732810">
            <w:pPr>
              <w:pStyle w:val="7"/>
              <w:spacing w:before="69" w:line="177" w:lineRule="auto"/>
              <w:ind w:left="2614"/>
            </w:pPr>
            <w:r>
              <w:rPr>
                <w:b/>
                <w:bCs/>
                <w:spacing w:val="-3"/>
              </w:rPr>
              <w:t>P</w:t>
            </w:r>
          </w:p>
        </w:tc>
      </w:tr>
      <w:tr w14:paraId="37251B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8" w:hRule="atLeast"/>
        </w:trPr>
        <w:tc>
          <w:tcPr>
            <w:tcW w:w="4522" w:type="dxa"/>
            <w:vAlign w:val="top"/>
          </w:tcPr>
          <w:p w14:paraId="77475B60">
            <w:pPr>
              <w:pStyle w:val="7"/>
              <w:spacing w:before="30" w:line="209" w:lineRule="auto"/>
              <w:ind w:left="115"/>
            </w:pPr>
            <w:r>
              <w:rPr>
                <w:spacing w:val="-2"/>
                <w:shd w:val="clear" w:fill="FFFF00"/>
              </w:rPr>
              <w:t>删除</w:t>
            </w:r>
          </w:p>
          <w:p w14:paraId="7CFA49F0">
            <w:pPr>
              <w:pStyle w:val="7"/>
              <w:spacing w:before="36" w:line="220" w:lineRule="auto"/>
              <w:ind w:left="120"/>
            </w:pPr>
            <w:r>
              <w:rPr>
                <w:spacing w:val="-2"/>
              </w:rPr>
              <w:t>3.光缆敷设要求</w:t>
            </w:r>
          </w:p>
          <w:p w14:paraId="7897CAB8">
            <w:pPr>
              <w:pStyle w:val="7"/>
              <w:spacing w:before="24" w:line="232" w:lineRule="auto"/>
              <w:ind w:left="115" w:right="103" w:firstLine="7"/>
              <w:jc w:val="both"/>
            </w:pPr>
            <w:r>
              <w:rPr>
                <w:spacing w:val="-1"/>
              </w:rPr>
              <w:t>（5）梯架或托盘内垂直敷设光缆，在缆线的</w:t>
            </w:r>
            <w:r>
              <w:rPr>
                <w:spacing w:val="-2"/>
              </w:rPr>
              <w:t>上端和每间隔</w:t>
            </w:r>
            <w:r>
              <w:rPr>
                <w:spacing w:val="-24"/>
              </w:rPr>
              <w:t xml:space="preserve"> </w:t>
            </w:r>
            <w:r>
              <w:rPr>
                <w:spacing w:val="-2"/>
              </w:rPr>
              <w:t>1.5m</w:t>
            </w:r>
            <w:r>
              <w:rPr>
                <w:spacing w:val="-37"/>
              </w:rPr>
              <w:t xml:space="preserve"> </w:t>
            </w:r>
            <w:r>
              <w:rPr>
                <w:spacing w:val="-2"/>
              </w:rPr>
              <w:t>处应固定在梯架或托盘的</w:t>
            </w:r>
            <w:r>
              <w:rPr>
                <w:spacing w:val="-6"/>
              </w:rPr>
              <w:t>支架上；水平敷设时，在缆线的首、尾、转弯</w:t>
            </w:r>
            <w:r>
              <w:rPr>
                <w:spacing w:val="-4"/>
              </w:rPr>
              <w:t>及每间隔</w:t>
            </w:r>
            <w:r>
              <w:rPr>
                <w:spacing w:val="-31"/>
              </w:rPr>
              <w:t xml:space="preserve"> </w:t>
            </w:r>
            <w:r>
              <w:rPr>
                <w:spacing w:val="-4"/>
              </w:rPr>
              <w:t>5～10m</w:t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>处应进行固定。</w:t>
            </w:r>
          </w:p>
        </w:tc>
        <w:tc>
          <w:tcPr>
            <w:tcW w:w="5338" w:type="dxa"/>
            <w:vAlign w:val="top"/>
          </w:tcPr>
          <w:p w14:paraId="5811DD9F">
            <w:pPr>
              <w:rPr>
                <w:rFonts w:ascii="Arial"/>
                <w:sz w:val="21"/>
              </w:rPr>
            </w:pPr>
          </w:p>
        </w:tc>
      </w:tr>
      <w:tr w14:paraId="60829B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1D159A9F">
            <w:pPr>
              <w:pStyle w:val="7"/>
              <w:spacing w:before="29" w:line="210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576BFC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4522" w:type="dxa"/>
            <w:vAlign w:val="top"/>
          </w:tcPr>
          <w:p w14:paraId="05545DE3">
            <w:pPr>
              <w:pStyle w:val="7"/>
              <w:spacing w:before="67" w:line="179" w:lineRule="auto"/>
              <w:ind w:left="2042"/>
            </w:pPr>
            <w:r>
              <w:rPr>
                <w:b/>
                <w:bCs/>
                <w:spacing w:val="-3"/>
              </w:rPr>
              <w:t>P103</w:t>
            </w:r>
          </w:p>
        </w:tc>
        <w:tc>
          <w:tcPr>
            <w:tcW w:w="5338" w:type="dxa"/>
            <w:vAlign w:val="top"/>
          </w:tcPr>
          <w:p w14:paraId="10010658">
            <w:pPr>
              <w:pStyle w:val="7"/>
              <w:spacing w:before="67" w:line="179" w:lineRule="auto"/>
              <w:ind w:left="2446"/>
            </w:pPr>
            <w:r>
              <w:rPr>
                <w:b/>
                <w:bCs/>
                <w:spacing w:val="-3"/>
              </w:rPr>
              <w:t>P110</w:t>
            </w:r>
          </w:p>
        </w:tc>
      </w:tr>
      <w:tr w14:paraId="215AF8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7" w:hRule="atLeast"/>
        </w:trPr>
        <w:tc>
          <w:tcPr>
            <w:tcW w:w="4522" w:type="dxa"/>
            <w:vAlign w:val="top"/>
          </w:tcPr>
          <w:p w14:paraId="160C1B2B">
            <w:pPr>
              <w:pStyle w:val="7"/>
              <w:spacing w:before="30" w:line="209" w:lineRule="auto"/>
              <w:ind w:left="115"/>
            </w:pPr>
            <w:r>
              <w:rPr>
                <w:spacing w:val="-2"/>
                <w:shd w:val="clear" w:fill="FFFF00"/>
              </w:rPr>
              <w:t>删除</w:t>
            </w:r>
          </w:p>
          <w:p w14:paraId="60F701D1">
            <w:pPr>
              <w:pStyle w:val="7"/>
              <w:spacing w:before="36" w:line="220" w:lineRule="auto"/>
              <w:ind w:left="119"/>
            </w:pPr>
            <w:r>
              <w:rPr>
                <w:spacing w:val="-2"/>
              </w:rPr>
              <w:t>2）信息插座安装要求</w:t>
            </w:r>
          </w:p>
          <w:p w14:paraId="5CFC74F3">
            <w:pPr>
              <w:pStyle w:val="7"/>
              <w:spacing w:before="23" w:line="230" w:lineRule="auto"/>
              <w:ind w:left="117" w:right="115" w:firstLine="5"/>
            </w:pPr>
            <w:r>
              <w:rPr>
                <w:spacing w:val="-1"/>
              </w:rPr>
              <w:t>（1）暗装在地面上的信息插座盒应满足防水</w:t>
            </w:r>
            <w:r>
              <w:rPr>
                <w:spacing w:val="-4"/>
              </w:rPr>
              <w:t>和抗压要求。</w:t>
            </w:r>
          </w:p>
          <w:p w14:paraId="4E7A2F5E">
            <w:pPr>
              <w:pStyle w:val="7"/>
              <w:spacing w:before="22" w:line="239" w:lineRule="auto"/>
              <w:ind w:left="115" w:right="105" w:firstLine="7"/>
            </w:pPr>
            <w:r>
              <w:rPr>
                <w:spacing w:val="-1"/>
              </w:rPr>
              <w:t>（2）暗装或明装在墙体或柱子上的信息插座</w:t>
            </w:r>
            <w:r>
              <w:t>盒底距地高为 300mm,安装在工作台侧隔板面</w:t>
            </w:r>
            <w:r>
              <w:rPr>
                <w:spacing w:val="32"/>
              </w:rPr>
              <w:t>及临近墙面上的信息插座盒底距地宜为</w:t>
            </w:r>
            <w:r>
              <w:rPr>
                <w:spacing w:val="-2"/>
              </w:rPr>
              <w:t>1.0m。</w:t>
            </w:r>
          </w:p>
          <w:p w14:paraId="4A2E00F7">
            <w:pPr>
              <w:pStyle w:val="7"/>
              <w:spacing w:before="2" w:line="224" w:lineRule="auto"/>
              <w:ind w:left="118" w:right="118" w:firstLine="4"/>
            </w:pPr>
            <w:r>
              <w:rPr>
                <w:color w:val="FF0000"/>
                <w:spacing w:val="-1"/>
              </w:rPr>
              <w:t>（3）信息插座光纤模块的底盒深度不应小于</w:t>
            </w:r>
            <w:r>
              <w:rPr>
                <w:color w:val="FF0000"/>
                <w:spacing w:val="-2"/>
              </w:rPr>
              <w:t>60mm。</w:t>
            </w:r>
          </w:p>
        </w:tc>
        <w:tc>
          <w:tcPr>
            <w:tcW w:w="5338" w:type="dxa"/>
            <w:vAlign w:val="top"/>
          </w:tcPr>
          <w:p w14:paraId="7A0BAF8E">
            <w:pPr>
              <w:pStyle w:val="7"/>
              <w:spacing w:before="30" w:line="220" w:lineRule="auto"/>
              <w:ind w:left="114"/>
            </w:pPr>
            <w:r>
              <w:rPr>
                <w:spacing w:val="-2"/>
              </w:rPr>
              <w:t>2）信息插座安装要求</w:t>
            </w:r>
          </w:p>
          <w:p w14:paraId="79F2D070">
            <w:pPr>
              <w:pStyle w:val="7"/>
              <w:spacing w:before="22" w:line="231" w:lineRule="auto"/>
              <w:ind w:left="113" w:right="119" w:firstLine="4"/>
            </w:pPr>
            <w:r>
              <w:rPr>
                <w:spacing w:val="-3"/>
              </w:rPr>
              <w:t>（1）暗装在地面上的信息插座盒应满足防水</w:t>
            </w:r>
            <w:r>
              <w:rPr>
                <w:spacing w:val="-4"/>
              </w:rPr>
              <w:t>和抗压要</w:t>
            </w:r>
            <w:r>
              <w:rPr>
                <w:spacing w:val="-11"/>
              </w:rPr>
              <w:t>求。</w:t>
            </w:r>
          </w:p>
          <w:p w14:paraId="79C67FC4">
            <w:pPr>
              <w:pStyle w:val="7"/>
              <w:spacing w:before="20" w:line="233" w:lineRule="auto"/>
              <w:ind w:left="118" w:right="107"/>
            </w:pPr>
            <w:r>
              <w:rPr>
                <w:spacing w:val="-3"/>
              </w:rPr>
              <w:t>（2）暗装或明装在墙体或柱子上的信息插座盒底距地</w:t>
            </w:r>
            <w:r>
              <w:rPr>
                <w:spacing w:val="-1"/>
              </w:rPr>
              <w:t>高为</w:t>
            </w:r>
            <w:r>
              <w:rPr>
                <w:spacing w:val="-37"/>
              </w:rPr>
              <w:t xml:space="preserve"> </w:t>
            </w:r>
            <w:r>
              <w:rPr>
                <w:spacing w:val="-1"/>
              </w:rPr>
              <w:t>300mm,安装在工作台侧隔板面及临近墙面上的信</w:t>
            </w:r>
            <w:r>
              <w:rPr>
                <w:spacing w:val="-3"/>
              </w:rPr>
              <w:t>息插座盒底距地宜为</w:t>
            </w:r>
            <w:r>
              <w:rPr>
                <w:spacing w:val="-29"/>
              </w:rPr>
              <w:t xml:space="preserve"> </w:t>
            </w:r>
            <w:r>
              <w:rPr>
                <w:spacing w:val="-3"/>
              </w:rPr>
              <w:t>1.0m。</w:t>
            </w:r>
          </w:p>
        </w:tc>
      </w:tr>
      <w:tr w14:paraId="730905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33A40A24">
            <w:pPr>
              <w:pStyle w:val="7"/>
              <w:spacing w:before="30" w:line="209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3B165A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3FCB5059">
            <w:pPr>
              <w:pStyle w:val="7"/>
              <w:spacing w:before="32" w:line="208" w:lineRule="auto"/>
              <w:ind w:left="2042"/>
            </w:pPr>
            <w:r>
              <w:rPr>
                <w:b/>
                <w:bCs/>
                <w:spacing w:val="-3"/>
              </w:rPr>
              <w:t>P132</w:t>
            </w:r>
          </w:p>
        </w:tc>
        <w:tc>
          <w:tcPr>
            <w:tcW w:w="5338" w:type="dxa"/>
            <w:vAlign w:val="top"/>
          </w:tcPr>
          <w:p w14:paraId="72B5BEDF">
            <w:pPr>
              <w:pStyle w:val="7"/>
              <w:spacing w:before="32" w:line="208" w:lineRule="auto"/>
              <w:ind w:left="2225"/>
            </w:pPr>
            <w:r>
              <w:rPr>
                <w:b/>
                <w:bCs/>
                <w:spacing w:val="-2"/>
              </w:rPr>
              <w:t>P138-140</w:t>
            </w:r>
          </w:p>
        </w:tc>
      </w:tr>
      <w:tr w14:paraId="56BCD4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4" w:hRule="atLeast"/>
        </w:trPr>
        <w:tc>
          <w:tcPr>
            <w:tcW w:w="4522" w:type="dxa"/>
            <w:vAlign w:val="top"/>
          </w:tcPr>
          <w:p w14:paraId="07DC1AD4">
            <w:pPr>
              <w:pStyle w:val="7"/>
              <w:spacing w:before="32" w:line="220" w:lineRule="auto"/>
              <w:ind w:left="155"/>
            </w:pPr>
            <w:r>
              <w:rPr>
                <w:spacing w:val="-5"/>
              </w:rPr>
              <w:t>(1)螺纹连接件装配</w:t>
            </w:r>
          </w:p>
          <w:p w14:paraId="30818E24">
            <w:pPr>
              <w:pStyle w:val="7"/>
              <w:spacing w:before="23" w:line="239" w:lineRule="auto"/>
              <w:ind w:left="116" w:right="103" w:hanging="1"/>
            </w:pPr>
            <w:r>
              <w:rPr>
                <w:spacing w:val="-1"/>
              </w:rPr>
              <w:t>① 螺纹连接应按其紧固要求紧固。有规定预</w:t>
            </w:r>
            <w:r>
              <w:rPr>
                <w:spacing w:val="-6"/>
              </w:rPr>
              <w:t>紧力的螺纹连接，在紧固时应按预紧力要求进行并做测量，如有密封要求的容器、设备上的</w:t>
            </w:r>
            <w:r>
              <w:rPr>
                <w:spacing w:val="-3"/>
              </w:rPr>
              <w:t>重要螺纹连接件等。</w:t>
            </w:r>
          </w:p>
          <w:p w14:paraId="230F0EA0">
            <w:pPr>
              <w:pStyle w:val="7"/>
              <w:spacing w:line="218" w:lineRule="auto"/>
              <w:ind w:left="114"/>
            </w:pPr>
            <w:r>
              <w:rPr>
                <w:spacing w:val="-1"/>
              </w:rPr>
              <w:t>② 有预紧力要求的螺纹连接常用的紧固方</w:t>
            </w:r>
          </w:p>
          <w:p w14:paraId="553D073C">
            <w:pPr>
              <w:pStyle w:val="7"/>
              <w:spacing w:before="25" w:line="242" w:lineRule="auto"/>
              <w:ind w:left="120" w:right="104" w:hanging="3"/>
            </w:pPr>
            <w:r>
              <w:rPr>
                <w:spacing w:val="-6"/>
              </w:rPr>
              <w:t>法：定力矩法、测量伸长法、液压拉伸法、加</w:t>
            </w:r>
            <w:r>
              <w:rPr>
                <w:spacing w:val="-2"/>
              </w:rPr>
              <w:t>热伸长法。</w:t>
            </w:r>
          </w:p>
        </w:tc>
        <w:tc>
          <w:tcPr>
            <w:tcW w:w="5338" w:type="dxa"/>
            <w:vAlign w:val="top"/>
          </w:tcPr>
          <w:p w14:paraId="4F779276">
            <w:pPr>
              <w:pStyle w:val="7"/>
              <w:spacing w:before="31" w:line="216" w:lineRule="auto"/>
              <w:ind w:left="114"/>
            </w:pPr>
            <w:r>
              <w:rPr>
                <w:spacing w:val="-2"/>
              </w:rPr>
              <w:t>2）典型零部件的装配</w:t>
            </w:r>
          </w:p>
          <w:p w14:paraId="35BD9614">
            <w:pPr>
              <w:pStyle w:val="7"/>
              <w:tabs>
                <w:tab w:val="left" w:pos="227"/>
              </w:tabs>
              <w:spacing w:before="28" w:line="227" w:lineRule="auto"/>
              <w:ind w:left="111" w:right="3146" w:hanging="8"/>
            </w:pPr>
            <w:r>
              <w:rPr>
                <w:shd w:val="clear" w:fill="FFFF00"/>
              </w:rPr>
              <w:tab/>
            </w:r>
            <w:r>
              <w:rPr>
                <w:shd w:val="clear" w:fill="FFFF00"/>
              </w:rPr>
              <w:tab/>
            </w:r>
            <w:r>
              <w:rPr>
                <w:spacing w:val="-14"/>
                <w:shd w:val="clear" w:fill="FFFF00"/>
              </w:rPr>
              <w:t>（1）螺纹连接件装配</w:t>
            </w:r>
            <w:r>
              <w:rPr>
                <w:spacing w:val="-2"/>
              </w:rPr>
              <w:t>全部变动</w:t>
            </w:r>
          </w:p>
          <w:p w14:paraId="788683FD">
            <w:pPr>
              <w:spacing w:line="3385" w:lineRule="exact"/>
              <w:ind w:firstLine="102"/>
            </w:pPr>
            <w:r>
              <w:rPr>
                <w:position w:val="-67"/>
              </w:rPr>
              <w:drawing>
                <wp:inline distT="0" distB="0" distL="0" distR="0">
                  <wp:extent cx="2611755" cy="2149475"/>
                  <wp:effectExtent l="0" t="0" r="0" b="0"/>
                  <wp:docPr id="32" name="IM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 32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2136" cy="2149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58B114">
      <w:pPr>
        <w:rPr>
          <w:rFonts w:ascii="Arial"/>
          <w:sz w:val="21"/>
        </w:rPr>
      </w:pPr>
    </w:p>
    <w:p w14:paraId="2886C9D5">
      <w:pPr>
        <w:rPr>
          <w:rFonts w:ascii="Arial" w:hAnsi="Arial" w:eastAsia="Arial" w:cs="Arial"/>
          <w:sz w:val="21"/>
          <w:szCs w:val="21"/>
        </w:rPr>
        <w:sectPr>
          <w:headerReference r:id="rId5" w:type="default"/>
          <w:footerReference r:id="rId6" w:type="default"/>
          <w:pgSz w:w="11907" w:h="16839"/>
          <w:pgMar w:top="1164" w:right="757" w:bottom="1190" w:left="752" w:header="426" w:footer="398" w:gutter="0"/>
          <w:cols w:space="720" w:num="1"/>
        </w:sectPr>
      </w:pPr>
    </w:p>
    <w:tbl>
      <w:tblPr>
        <w:tblStyle w:val="6"/>
        <w:tblW w:w="9860" w:type="dxa"/>
        <w:tblInd w:w="38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22"/>
        <w:gridCol w:w="5338"/>
      </w:tblGrid>
      <w:tr w14:paraId="42E40D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28" w:hRule="atLeast"/>
        </w:trPr>
        <w:tc>
          <w:tcPr>
            <w:tcW w:w="4522" w:type="dxa"/>
            <w:vAlign w:val="top"/>
          </w:tcPr>
          <w:p w14:paraId="364EE7C4">
            <w:pPr>
              <w:rPr>
                <w:rFonts w:ascii="Arial"/>
                <w:sz w:val="21"/>
              </w:rPr>
            </w:pPr>
            <w:r>
              <w:drawing>
                <wp:anchor distT="0" distB="0" distL="0" distR="0" simplePos="0" relativeHeight="251660288" behindDoc="1" locked="0" layoutInCell="0" allowOverlap="1">
                  <wp:simplePos x="0" y="0"/>
                  <wp:positionH relativeFrom="page">
                    <wp:posOffset>1040765</wp:posOffset>
                  </wp:positionH>
                  <wp:positionV relativeFrom="page">
                    <wp:posOffset>2357120</wp:posOffset>
                  </wp:positionV>
                  <wp:extent cx="5563870" cy="5647690"/>
                  <wp:effectExtent l="0" t="0" r="0" b="0"/>
                  <wp:wrapNone/>
                  <wp:docPr id="38" name="IM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 3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3834" cy="5647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38" w:type="dxa"/>
            <w:vAlign w:val="top"/>
          </w:tcPr>
          <w:p w14:paraId="3C7B6603">
            <w:pPr>
              <w:spacing w:before="5" w:line="13112" w:lineRule="exact"/>
              <w:ind w:firstLine="102"/>
            </w:pPr>
            <w:r>
              <w:rPr>
                <w:position w:val="-262"/>
              </w:rPr>
              <w:drawing>
                <wp:inline distT="0" distB="0" distL="0" distR="0">
                  <wp:extent cx="3196590" cy="8326120"/>
                  <wp:effectExtent l="0" t="0" r="0" b="0"/>
                  <wp:docPr id="40" name="IM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 4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6590" cy="8326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63DD6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552936E2">
            <w:pPr>
              <w:pStyle w:val="7"/>
              <w:spacing w:before="33" w:line="207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229880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3E29CB23">
            <w:pPr>
              <w:pStyle w:val="7"/>
              <w:spacing w:before="33" w:line="207" w:lineRule="auto"/>
              <w:ind w:left="2042"/>
            </w:pPr>
            <w:r>
              <w:rPr>
                <w:b/>
                <w:bCs/>
                <w:spacing w:val="-3"/>
              </w:rPr>
              <w:t>P132</w:t>
            </w:r>
          </w:p>
        </w:tc>
        <w:tc>
          <w:tcPr>
            <w:tcW w:w="5338" w:type="dxa"/>
            <w:vAlign w:val="top"/>
          </w:tcPr>
          <w:p w14:paraId="45F74946">
            <w:pPr>
              <w:pStyle w:val="7"/>
              <w:spacing w:before="33" w:line="207" w:lineRule="auto"/>
              <w:ind w:left="2446"/>
            </w:pPr>
            <w:r>
              <w:rPr>
                <w:b/>
                <w:bCs/>
                <w:spacing w:val="-3"/>
              </w:rPr>
              <w:t>P140</w:t>
            </w:r>
          </w:p>
        </w:tc>
      </w:tr>
      <w:tr w14:paraId="42C4B3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4522" w:type="dxa"/>
            <w:vAlign w:val="top"/>
          </w:tcPr>
          <w:p w14:paraId="3AEE2CFE">
            <w:pPr>
              <w:pStyle w:val="7"/>
              <w:spacing w:before="32" w:line="221" w:lineRule="auto"/>
              <w:ind w:left="155"/>
            </w:pPr>
            <w:r>
              <w:rPr>
                <w:spacing w:val="-7"/>
              </w:rPr>
              <w:t>(3)齿轮装配</w:t>
            </w:r>
          </w:p>
          <w:p w14:paraId="3664B520">
            <w:pPr>
              <w:pStyle w:val="7"/>
              <w:spacing w:before="22" w:line="211" w:lineRule="auto"/>
              <w:ind w:left="115"/>
            </w:pPr>
            <w:r>
              <w:t>① 齿轮装配时，齿轮基准面端面与轴肩或定</w:t>
            </w:r>
          </w:p>
        </w:tc>
        <w:tc>
          <w:tcPr>
            <w:tcW w:w="5338" w:type="dxa"/>
            <w:vAlign w:val="top"/>
          </w:tcPr>
          <w:p w14:paraId="7240F2D3">
            <w:pPr>
              <w:pStyle w:val="7"/>
              <w:spacing w:before="33" w:line="218" w:lineRule="auto"/>
              <w:ind w:left="113"/>
            </w:pPr>
            <w:r>
              <w:rPr>
                <w:b/>
                <w:bCs/>
                <w:color w:val="FF0000"/>
                <w:spacing w:val="-3"/>
              </w:rPr>
              <w:t>齿轮装配，删除第②条</w:t>
            </w:r>
          </w:p>
        </w:tc>
      </w:tr>
    </w:tbl>
    <w:p w14:paraId="11B08500">
      <w:pPr>
        <w:spacing w:line="160" w:lineRule="exact"/>
        <w:rPr>
          <w:rFonts w:ascii="Arial"/>
          <w:sz w:val="13"/>
        </w:rPr>
      </w:pPr>
    </w:p>
    <w:p w14:paraId="6592109E">
      <w:pPr>
        <w:spacing w:line="160" w:lineRule="exact"/>
        <w:rPr>
          <w:rFonts w:ascii="Arial" w:hAnsi="Arial" w:eastAsia="Arial" w:cs="Arial"/>
          <w:sz w:val="13"/>
          <w:szCs w:val="13"/>
        </w:rPr>
        <w:sectPr>
          <w:headerReference r:id="rId7" w:type="default"/>
          <w:footerReference r:id="rId8" w:type="default"/>
          <w:pgSz w:w="11907" w:h="16839"/>
          <w:pgMar w:top="1164" w:right="757" w:bottom="1190" w:left="752" w:header="426" w:footer="398" w:gutter="0"/>
          <w:cols w:space="720" w:num="1"/>
        </w:sectPr>
      </w:pPr>
    </w:p>
    <w:tbl>
      <w:tblPr>
        <w:tblStyle w:val="6"/>
        <w:tblW w:w="9860" w:type="dxa"/>
        <w:tblInd w:w="38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22"/>
        <w:gridCol w:w="5338"/>
      </w:tblGrid>
      <w:tr w14:paraId="5EFA51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7" w:hRule="atLeast"/>
        </w:trPr>
        <w:tc>
          <w:tcPr>
            <w:tcW w:w="4522" w:type="dxa"/>
            <w:vAlign w:val="top"/>
          </w:tcPr>
          <w:p w14:paraId="632465D3">
            <w:pPr>
              <w:pStyle w:val="7"/>
              <w:spacing w:before="32"/>
              <w:ind w:left="114" w:right="102" w:firstLine="1"/>
              <w:jc w:val="both"/>
            </w:pPr>
            <w:r>
              <w:t>位套端面应靠紧贴合，且用 0.05mm 塞 尺检</w:t>
            </w:r>
            <w:r>
              <w:rPr>
                <w:spacing w:val="-6"/>
              </w:rPr>
              <w:t>查不应塞入；基准端面与轴线的垂直度应符合</w:t>
            </w:r>
            <w:r>
              <w:rPr>
                <w:spacing w:val="-1"/>
              </w:rPr>
              <w:t>传动要求。</w:t>
            </w:r>
          </w:p>
          <w:p w14:paraId="0B217C3E">
            <w:pPr>
              <w:pStyle w:val="7"/>
              <w:spacing w:before="3" w:line="234" w:lineRule="auto"/>
              <w:ind w:left="117" w:right="105" w:hanging="3"/>
            </w:pPr>
            <w:r>
              <w:t>② 相互啮合的圆柱齿轮副的轴向错位装配要</w:t>
            </w:r>
            <w:r>
              <w:rPr>
                <w:spacing w:val="-3"/>
              </w:rPr>
              <w:t>求：齿宽</w:t>
            </w:r>
            <w:r>
              <w:rPr>
                <w:spacing w:val="-53"/>
              </w:rPr>
              <w:t xml:space="preserve"> </w:t>
            </w:r>
            <w:r>
              <w:rPr>
                <w:spacing w:val="-3"/>
              </w:rPr>
              <w:t>B≤100mm  时，轴向错位应</w:t>
            </w:r>
            <w:r>
              <w:rPr>
                <w:spacing w:val="25"/>
              </w:rPr>
              <w:t xml:space="preserve"> </w:t>
            </w:r>
            <w:r>
              <w:rPr>
                <w:spacing w:val="-4"/>
              </w:rPr>
              <w:t>≤5%B;</w:t>
            </w:r>
            <w:r>
              <w:rPr>
                <w:spacing w:val="-2"/>
              </w:rPr>
              <w:t>齿 宽 B&gt;100mm</w:t>
            </w:r>
            <w:r>
              <w:rPr>
                <w:spacing w:val="33"/>
              </w:rPr>
              <w:t xml:space="preserve"> </w:t>
            </w:r>
            <w:r>
              <w:rPr>
                <w:spacing w:val="-2"/>
              </w:rPr>
              <w:t>时，轴向错位应≤5mm。</w:t>
            </w:r>
            <w:r>
              <w:rPr>
                <w:b/>
                <w:bCs/>
                <w:color w:val="FF0000"/>
                <w:spacing w:val="-2"/>
              </w:rPr>
              <w:t>【删</w:t>
            </w:r>
            <w:r>
              <w:rPr>
                <w:b/>
                <w:bCs/>
                <w:color w:val="FF0000"/>
                <w:spacing w:val="-6"/>
              </w:rPr>
              <w:t>除】</w:t>
            </w:r>
          </w:p>
          <w:p w14:paraId="4529D482">
            <w:pPr>
              <w:pStyle w:val="7"/>
              <w:spacing w:before="308" w:line="238" w:lineRule="auto"/>
              <w:ind w:left="117" w:right="102" w:hanging="3"/>
            </w:pPr>
            <w:r>
              <w:t>③ 用压铅法检查齿轮啮合间隙时，铅丝直径</w:t>
            </w:r>
            <w:r>
              <w:rPr>
                <w:spacing w:val="-2"/>
              </w:rPr>
              <w:t>不宜超过间隙的</w:t>
            </w:r>
            <w:r>
              <w:rPr>
                <w:spacing w:val="-26"/>
              </w:rPr>
              <w:t xml:space="preserve"> </w:t>
            </w:r>
            <w:r>
              <w:rPr>
                <w:spacing w:val="-2"/>
              </w:rPr>
              <w:t>3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倍，铅丝的长度不 应小于</w:t>
            </w:r>
            <w:r>
              <w:rPr>
                <w:spacing w:val="-4"/>
              </w:rPr>
              <w:t>5</w:t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>个齿距，沿齿宽方向应均匀放置至少</w:t>
            </w:r>
            <w:r>
              <w:rPr>
                <w:spacing w:val="-43"/>
              </w:rPr>
              <w:t xml:space="preserve"> </w:t>
            </w:r>
            <w:r>
              <w:rPr>
                <w:spacing w:val="-4"/>
              </w:rPr>
              <w:t>2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根铅</w:t>
            </w:r>
            <w:r>
              <w:rPr>
                <w:spacing w:val="-11"/>
              </w:rPr>
              <w:t>丝。</w:t>
            </w:r>
          </w:p>
          <w:p w14:paraId="60474928">
            <w:pPr>
              <w:pStyle w:val="7"/>
              <w:spacing w:line="237" w:lineRule="auto"/>
              <w:ind w:left="114" w:right="103"/>
            </w:pPr>
            <w:r>
              <w:t>④ 用着色法检查传动齿轮啮合的接触斑点时的要求：将颜色涂在小齿轮上，在轻 微制动</w:t>
            </w:r>
            <w:r>
              <w:rPr>
                <w:spacing w:val="-3"/>
              </w:rPr>
              <w:t>下，用小齿轮驱动大齿轮，使大齿轮转动</w:t>
            </w:r>
            <w:r>
              <w:rPr>
                <w:spacing w:val="-41"/>
              </w:rPr>
              <w:t xml:space="preserve"> </w:t>
            </w:r>
            <w:r>
              <w:rPr>
                <w:spacing w:val="-3"/>
              </w:rPr>
              <w:t>3~4</w:t>
            </w:r>
            <w:r>
              <w:t>转。圆柱齿轮和蜗轮的接触斑点， 应趋于齿</w:t>
            </w:r>
            <w:r>
              <w:rPr>
                <w:spacing w:val="-6"/>
              </w:rPr>
              <w:t>侧面中部；圆锥齿轮的接触斑点，应趋于齿侧</w:t>
            </w:r>
            <w:r>
              <w:t>面的中部并接近小端；齿顶和 齿端棱边不应</w:t>
            </w:r>
            <w:r>
              <w:rPr>
                <w:spacing w:val="-6"/>
              </w:rPr>
              <w:t>有接触。传动齿轮啮合接触斑点的百分率计算</w:t>
            </w:r>
            <w:r>
              <w:t>值应符合《机械设备安装 工程施工及验收通</w:t>
            </w:r>
            <w:r>
              <w:rPr>
                <w:spacing w:val="-3"/>
              </w:rPr>
              <w:t>用规范》GB  50231—2009</w:t>
            </w:r>
            <w:r>
              <w:rPr>
                <w:spacing w:val="-27"/>
              </w:rPr>
              <w:t xml:space="preserve"> </w:t>
            </w:r>
            <w:r>
              <w:rPr>
                <w:spacing w:val="-3"/>
              </w:rPr>
              <w:t>的规定。可逆转的</w:t>
            </w:r>
            <w:r>
              <w:rPr>
                <w:spacing w:val="-1"/>
              </w:rPr>
              <w:t>齿轮副，齿的两面均应 检 查 。</w:t>
            </w:r>
          </w:p>
        </w:tc>
        <w:tc>
          <w:tcPr>
            <w:tcW w:w="5338" w:type="dxa"/>
            <w:vAlign w:val="top"/>
          </w:tcPr>
          <w:p w14:paraId="6F5E88B6">
            <w:pPr>
              <w:spacing w:before="5" w:line="852" w:lineRule="exact"/>
              <w:ind w:firstLine="102"/>
            </w:pPr>
            <w:r>
              <w:rPr>
                <w:position w:val="-17"/>
              </w:rPr>
              <w:drawing>
                <wp:inline distT="0" distB="0" distL="0" distR="0">
                  <wp:extent cx="2933700" cy="540385"/>
                  <wp:effectExtent l="0" t="0" r="0" b="0"/>
                  <wp:docPr id="44" name="IM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 4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334" cy="541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CDE56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003F4270">
            <w:pPr>
              <w:pStyle w:val="7"/>
              <w:spacing w:before="29" w:line="210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611095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4D5F6F12">
            <w:pPr>
              <w:pStyle w:val="7"/>
              <w:spacing w:before="30" w:line="209" w:lineRule="auto"/>
              <w:ind w:left="2042"/>
            </w:pPr>
            <w:r>
              <w:rPr>
                <w:b/>
                <w:bCs/>
                <w:spacing w:val="-3"/>
              </w:rPr>
              <w:t>P133</w:t>
            </w:r>
          </w:p>
        </w:tc>
        <w:tc>
          <w:tcPr>
            <w:tcW w:w="5338" w:type="dxa"/>
            <w:vAlign w:val="top"/>
          </w:tcPr>
          <w:p w14:paraId="6F086443">
            <w:pPr>
              <w:pStyle w:val="7"/>
              <w:spacing w:before="30" w:line="209" w:lineRule="auto"/>
              <w:ind w:left="2446"/>
            </w:pPr>
            <w:r>
              <w:rPr>
                <w:b/>
                <w:bCs/>
                <w:spacing w:val="-3"/>
              </w:rPr>
              <w:t>P141</w:t>
            </w:r>
          </w:p>
        </w:tc>
      </w:tr>
      <w:tr w14:paraId="6CB1AB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6" w:hRule="atLeast"/>
        </w:trPr>
        <w:tc>
          <w:tcPr>
            <w:tcW w:w="4522" w:type="dxa"/>
            <w:vAlign w:val="top"/>
          </w:tcPr>
          <w:p w14:paraId="1130BEC8">
            <w:pPr>
              <w:pStyle w:val="7"/>
              <w:spacing w:before="30" w:line="232" w:lineRule="auto"/>
              <w:ind w:left="115" w:right="102" w:firstLine="1"/>
              <w:jc w:val="both"/>
            </w:pPr>
            <w:r>
              <w:rPr>
                <w:spacing w:val="-6"/>
              </w:rPr>
              <w:t>有间隔轴的联轴器调整两轴对中，除符合上述对中要求外，还应符合的要求：转子轴的对中调整可采用单表找正法；计算调整量时应计及</w:t>
            </w:r>
            <w:r>
              <w:rPr>
                <w:spacing w:val="-2"/>
              </w:rPr>
              <w:t>找正架自身挠度对表值的影响。</w:t>
            </w:r>
          </w:p>
        </w:tc>
        <w:tc>
          <w:tcPr>
            <w:tcW w:w="5338" w:type="dxa"/>
            <w:vAlign w:val="top"/>
          </w:tcPr>
          <w:p w14:paraId="468D777F">
            <w:pPr>
              <w:pStyle w:val="7"/>
              <w:spacing w:before="30" w:line="220" w:lineRule="auto"/>
              <w:ind w:left="111"/>
            </w:pPr>
            <w:r>
              <w:rPr>
                <w:b/>
                <w:bCs/>
                <w:color w:val="FF0000"/>
                <w:spacing w:val="-4"/>
              </w:rPr>
              <w:t>删除</w:t>
            </w:r>
          </w:p>
          <w:p w14:paraId="6AFD4448">
            <w:pPr>
              <w:pStyle w:val="7"/>
              <w:spacing w:before="23" w:line="219" w:lineRule="auto"/>
              <w:ind w:left="113"/>
            </w:pPr>
            <w:r>
              <w:rPr>
                <w:b/>
                <w:bCs/>
                <w:color w:val="FF0000"/>
                <w:spacing w:val="-3"/>
              </w:rPr>
              <w:t>联轴器装配最后一段话删除</w:t>
            </w:r>
          </w:p>
        </w:tc>
      </w:tr>
      <w:tr w14:paraId="63166F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62CDD2C0">
            <w:pPr>
              <w:pStyle w:val="7"/>
              <w:spacing w:before="32" w:line="208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1CB46D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09E9F0F3">
            <w:pPr>
              <w:pStyle w:val="7"/>
              <w:spacing w:before="32" w:line="208" w:lineRule="auto"/>
              <w:ind w:left="2042"/>
            </w:pPr>
            <w:r>
              <w:rPr>
                <w:b/>
                <w:bCs/>
                <w:spacing w:val="-3"/>
              </w:rPr>
              <w:t>P133</w:t>
            </w:r>
          </w:p>
        </w:tc>
        <w:tc>
          <w:tcPr>
            <w:tcW w:w="5338" w:type="dxa"/>
            <w:vAlign w:val="top"/>
          </w:tcPr>
          <w:p w14:paraId="6EE3FF6F">
            <w:pPr>
              <w:pStyle w:val="7"/>
              <w:spacing w:before="32" w:line="208" w:lineRule="auto"/>
              <w:ind w:left="2446"/>
            </w:pPr>
            <w:r>
              <w:rPr>
                <w:b/>
                <w:bCs/>
                <w:spacing w:val="-3"/>
              </w:rPr>
              <w:t>P141</w:t>
            </w:r>
          </w:p>
        </w:tc>
      </w:tr>
      <w:tr w14:paraId="283AB3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1" w:hRule="atLeast"/>
        </w:trPr>
        <w:tc>
          <w:tcPr>
            <w:tcW w:w="4522" w:type="dxa"/>
            <w:vAlign w:val="top"/>
          </w:tcPr>
          <w:p w14:paraId="473662C2">
            <w:pPr>
              <w:pStyle w:val="7"/>
              <w:spacing w:before="33" w:line="219" w:lineRule="auto"/>
              <w:ind w:left="155"/>
            </w:pPr>
            <w:r>
              <w:rPr>
                <w:spacing w:val="-5"/>
              </w:rPr>
              <w:t>(5)滑动轴承装配</w:t>
            </w:r>
          </w:p>
          <w:p w14:paraId="55165123">
            <w:pPr>
              <w:pStyle w:val="7"/>
              <w:spacing w:before="23" w:line="234" w:lineRule="auto"/>
              <w:ind w:left="115" w:right="102" w:hanging="1"/>
            </w:pPr>
            <w:r>
              <w:t>② 轴颈与轴瓦的侧间隙可用塞尺检查，单侧</w:t>
            </w:r>
            <w:r>
              <w:rPr>
                <w:spacing w:val="-1"/>
              </w:rPr>
              <w:t>间隙应为顶间隙的 1/2~2/3。轴颈与</w:t>
            </w:r>
            <w:r>
              <w:rPr>
                <w:spacing w:val="27"/>
              </w:rPr>
              <w:t xml:space="preserve"> </w:t>
            </w:r>
            <w:r>
              <w:rPr>
                <w:spacing w:val="-1"/>
              </w:rPr>
              <w:t>轴瓦的</w:t>
            </w:r>
            <w:r>
              <w:rPr>
                <w:spacing w:val="-6"/>
              </w:rPr>
              <w:t>顶间隙可用压铅法检查，铅丝直径不宜大于顶</w:t>
            </w:r>
            <w:r>
              <w:rPr>
                <w:spacing w:val="-2"/>
              </w:rPr>
              <w:t>间隙的</w:t>
            </w:r>
            <w:r>
              <w:rPr>
                <w:spacing w:val="-24"/>
              </w:rPr>
              <w:t xml:space="preserve"> </w:t>
            </w:r>
            <w:r>
              <w:rPr>
                <w:spacing w:val="-2"/>
              </w:rPr>
              <w:t>3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倍；</w:t>
            </w:r>
            <w:r>
              <w:rPr>
                <w:color w:val="FF0000"/>
                <w:spacing w:val="-2"/>
              </w:rPr>
              <w:t>顶间隙计算值应符合 《机械设</w:t>
            </w:r>
            <w:r>
              <w:rPr>
                <w:color w:val="FF0000"/>
                <w:spacing w:val="-10"/>
              </w:rPr>
              <w:t>备</w:t>
            </w:r>
            <w:r>
              <w:rPr>
                <w:color w:val="FF0000"/>
                <w:spacing w:val="-33"/>
              </w:rPr>
              <w:t xml:space="preserve"> </w:t>
            </w:r>
            <w:r>
              <w:rPr>
                <w:color w:val="FF0000"/>
                <w:spacing w:val="-10"/>
              </w:rPr>
              <w:t>安</w:t>
            </w:r>
            <w:r>
              <w:rPr>
                <w:color w:val="FF0000"/>
                <w:spacing w:val="-51"/>
              </w:rPr>
              <w:t xml:space="preserve"> </w:t>
            </w:r>
            <w:r>
              <w:rPr>
                <w:color w:val="FF0000"/>
                <w:spacing w:val="-10"/>
              </w:rPr>
              <w:t>装</w:t>
            </w:r>
            <w:r>
              <w:rPr>
                <w:color w:val="FF0000"/>
                <w:spacing w:val="-46"/>
              </w:rPr>
              <w:t xml:space="preserve"> </w:t>
            </w:r>
            <w:r>
              <w:rPr>
                <w:color w:val="FF0000"/>
                <w:spacing w:val="-10"/>
              </w:rPr>
              <w:t>工</w:t>
            </w:r>
            <w:r>
              <w:rPr>
                <w:color w:val="FF0000"/>
                <w:spacing w:val="-52"/>
              </w:rPr>
              <w:t xml:space="preserve"> </w:t>
            </w:r>
            <w:r>
              <w:rPr>
                <w:color w:val="FF0000"/>
                <w:spacing w:val="-10"/>
              </w:rPr>
              <w:t>程</w:t>
            </w:r>
            <w:r>
              <w:rPr>
                <w:color w:val="FF0000"/>
                <w:spacing w:val="-52"/>
              </w:rPr>
              <w:t xml:space="preserve"> </w:t>
            </w:r>
            <w:r>
              <w:rPr>
                <w:color w:val="FF0000"/>
                <w:spacing w:val="-10"/>
              </w:rPr>
              <w:t>施</w:t>
            </w:r>
            <w:r>
              <w:rPr>
                <w:color w:val="FF0000"/>
                <w:spacing w:val="-47"/>
              </w:rPr>
              <w:t xml:space="preserve"> </w:t>
            </w:r>
            <w:r>
              <w:rPr>
                <w:color w:val="FF0000"/>
                <w:spacing w:val="-10"/>
              </w:rPr>
              <w:t>工</w:t>
            </w:r>
            <w:r>
              <w:rPr>
                <w:color w:val="FF0000"/>
                <w:spacing w:val="-52"/>
              </w:rPr>
              <w:t xml:space="preserve"> </w:t>
            </w:r>
            <w:r>
              <w:rPr>
                <w:color w:val="FF0000"/>
                <w:spacing w:val="-10"/>
              </w:rPr>
              <w:t>及</w:t>
            </w:r>
            <w:r>
              <w:rPr>
                <w:color w:val="FF0000"/>
                <w:spacing w:val="-49"/>
              </w:rPr>
              <w:t xml:space="preserve"> </w:t>
            </w:r>
            <w:r>
              <w:rPr>
                <w:color w:val="FF0000"/>
                <w:spacing w:val="-10"/>
              </w:rPr>
              <w:t>验</w:t>
            </w:r>
            <w:r>
              <w:rPr>
                <w:color w:val="FF0000"/>
                <w:spacing w:val="-44"/>
              </w:rPr>
              <w:t xml:space="preserve"> </w:t>
            </w:r>
            <w:r>
              <w:rPr>
                <w:color w:val="FF0000"/>
                <w:spacing w:val="-10"/>
              </w:rPr>
              <w:t>收</w:t>
            </w:r>
            <w:r>
              <w:rPr>
                <w:color w:val="FF0000"/>
                <w:spacing w:val="-49"/>
              </w:rPr>
              <w:t xml:space="preserve"> </w:t>
            </w:r>
            <w:r>
              <w:rPr>
                <w:color w:val="FF0000"/>
                <w:spacing w:val="-10"/>
              </w:rPr>
              <w:t>通</w:t>
            </w:r>
            <w:r>
              <w:rPr>
                <w:color w:val="FF0000"/>
                <w:spacing w:val="-49"/>
              </w:rPr>
              <w:t xml:space="preserve"> </w:t>
            </w:r>
            <w:r>
              <w:rPr>
                <w:color w:val="FF0000"/>
                <w:spacing w:val="-10"/>
              </w:rPr>
              <w:t>用</w:t>
            </w:r>
            <w:r>
              <w:rPr>
                <w:color w:val="FF0000"/>
                <w:spacing w:val="-48"/>
              </w:rPr>
              <w:t xml:space="preserve"> </w:t>
            </w:r>
            <w:r>
              <w:rPr>
                <w:color w:val="FF0000"/>
                <w:spacing w:val="-10"/>
              </w:rPr>
              <w:t>规</w:t>
            </w:r>
            <w:r>
              <w:rPr>
                <w:color w:val="FF0000"/>
                <w:spacing w:val="-46"/>
              </w:rPr>
              <w:t xml:space="preserve"> </w:t>
            </w:r>
            <w:r>
              <w:rPr>
                <w:color w:val="FF0000"/>
                <w:spacing w:val="-10"/>
              </w:rPr>
              <w:t>范</w:t>
            </w:r>
            <w:r>
              <w:rPr>
                <w:color w:val="FF0000"/>
                <w:spacing w:val="-39"/>
              </w:rPr>
              <w:t xml:space="preserve"> </w:t>
            </w:r>
            <w:r>
              <w:rPr>
                <w:color w:val="FF0000"/>
                <w:spacing w:val="-10"/>
              </w:rPr>
              <w:t>》</w:t>
            </w:r>
            <w:r>
              <w:rPr>
                <w:color w:val="FF0000"/>
                <w:spacing w:val="-47"/>
              </w:rPr>
              <w:t xml:space="preserve"> </w:t>
            </w:r>
            <w:r>
              <w:rPr>
                <w:color w:val="FF0000"/>
                <w:spacing w:val="-10"/>
              </w:rPr>
              <w:t>GB</w:t>
            </w:r>
            <w:r>
              <w:rPr>
                <w:color w:val="FF0000"/>
              </w:rPr>
              <w:t xml:space="preserve"> </w:t>
            </w:r>
            <w:r>
              <w:rPr>
                <w:color w:val="FF0000"/>
                <w:spacing w:val="-2"/>
              </w:rPr>
              <w:t>50231—2009</w:t>
            </w:r>
            <w:r>
              <w:rPr>
                <w:color w:val="FF0000"/>
                <w:spacing w:val="-29"/>
              </w:rPr>
              <w:t xml:space="preserve"> </w:t>
            </w:r>
            <w:r>
              <w:rPr>
                <w:color w:val="FF0000"/>
                <w:spacing w:val="-2"/>
              </w:rPr>
              <w:t>的规定。【删除】</w:t>
            </w:r>
          </w:p>
        </w:tc>
        <w:tc>
          <w:tcPr>
            <w:tcW w:w="5338" w:type="dxa"/>
            <w:vAlign w:val="top"/>
          </w:tcPr>
          <w:p w14:paraId="01ED7C33">
            <w:pPr>
              <w:pStyle w:val="7"/>
              <w:spacing w:before="32" w:line="220" w:lineRule="auto"/>
              <w:ind w:left="111"/>
            </w:pPr>
            <w:r>
              <w:rPr>
                <w:b/>
                <w:bCs/>
                <w:color w:val="FF0000"/>
                <w:spacing w:val="-4"/>
              </w:rPr>
              <w:t>删除</w:t>
            </w:r>
          </w:p>
          <w:p w14:paraId="36123A5D">
            <w:pPr>
              <w:pStyle w:val="7"/>
              <w:spacing w:before="22" w:line="241" w:lineRule="auto"/>
              <w:ind w:left="112" w:right="3467" w:firstLine="38"/>
            </w:pPr>
            <w:r>
              <w:rPr>
                <w:spacing w:val="-5"/>
              </w:rPr>
              <w:t>(5)滑动轴承装配</w:t>
            </w:r>
            <w:r>
              <w:rPr>
                <w:spacing w:val="-1"/>
              </w:rPr>
              <w:t>第②条后半句删除</w:t>
            </w:r>
          </w:p>
        </w:tc>
      </w:tr>
      <w:tr w14:paraId="7CD4F3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5F507FC1">
            <w:pPr>
              <w:pStyle w:val="7"/>
              <w:spacing w:before="33" w:line="207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76C5F6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7B8579D7">
            <w:pPr>
              <w:pStyle w:val="7"/>
              <w:spacing w:before="33" w:line="207" w:lineRule="auto"/>
              <w:ind w:left="2042"/>
            </w:pPr>
            <w:r>
              <w:rPr>
                <w:b/>
                <w:bCs/>
                <w:spacing w:val="-3"/>
              </w:rPr>
              <w:t>P140</w:t>
            </w:r>
          </w:p>
        </w:tc>
        <w:tc>
          <w:tcPr>
            <w:tcW w:w="5338" w:type="dxa"/>
            <w:vAlign w:val="top"/>
          </w:tcPr>
          <w:p w14:paraId="3453CEC9">
            <w:pPr>
              <w:pStyle w:val="7"/>
              <w:spacing w:before="33" w:line="207" w:lineRule="auto"/>
              <w:ind w:left="2446"/>
            </w:pPr>
            <w:r>
              <w:rPr>
                <w:b/>
                <w:bCs/>
                <w:spacing w:val="-3"/>
              </w:rPr>
              <w:t>P148</w:t>
            </w:r>
          </w:p>
        </w:tc>
      </w:tr>
      <w:tr w14:paraId="0AFF0E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8" w:hRule="atLeast"/>
        </w:trPr>
        <w:tc>
          <w:tcPr>
            <w:tcW w:w="4522" w:type="dxa"/>
            <w:vAlign w:val="top"/>
          </w:tcPr>
          <w:p w14:paraId="46868F7B">
            <w:pPr>
              <w:pStyle w:val="7"/>
              <w:spacing w:before="33" w:line="219" w:lineRule="auto"/>
              <w:ind w:left="120"/>
            </w:pPr>
            <w:r>
              <w:rPr>
                <w:spacing w:val="-1"/>
              </w:rPr>
              <w:t>5.典型设备单机试运行要求</w:t>
            </w:r>
          </w:p>
          <w:p w14:paraId="3E5EE7FE">
            <w:pPr>
              <w:pStyle w:val="7"/>
              <w:spacing w:before="24" w:line="219" w:lineRule="auto"/>
              <w:ind w:left="132"/>
            </w:pPr>
            <w:r>
              <w:rPr>
                <w:spacing w:val="-2"/>
              </w:rPr>
              <w:t>1)离心通风机试运行要求</w:t>
            </w:r>
          </w:p>
          <w:p w14:paraId="1AF5CB26">
            <w:pPr>
              <w:pStyle w:val="7"/>
              <w:spacing w:before="23" w:line="221" w:lineRule="auto"/>
              <w:ind w:left="155"/>
            </w:pPr>
            <w:r>
              <w:rPr>
                <w:spacing w:val="-5"/>
              </w:rPr>
              <w:t>(1)启动前关闭进气调节门。</w:t>
            </w:r>
          </w:p>
          <w:p w14:paraId="144FAB22">
            <w:pPr>
              <w:pStyle w:val="7"/>
              <w:spacing w:before="23" w:line="230" w:lineRule="auto"/>
              <w:ind w:left="119" w:right="105" w:firstLine="36"/>
            </w:pPr>
            <w:r>
              <w:rPr>
                <w:spacing w:val="-2"/>
              </w:rPr>
              <w:t>(2)点动电动机，电动机旋转方向应正确，各</w:t>
            </w:r>
            <w:r>
              <w:rPr>
                <w:spacing w:val="-1"/>
              </w:rPr>
              <w:t>部位应无异常现象和摩擦声响。</w:t>
            </w:r>
            <w:r>
              <w:rPr>
                <w:color w:val="FF0000"/>
                <w:spacing w:val="-1"/>
              </w:rPr>
              <w:t>【删除】</w:t>
            </w:r>
          </w:p>
          <w:p w14:paraId="0FE135CD">
            <w:pPr>
              <w:pStyle w:val="7"/>
              <w:spacing w:before="23" w:line="230" w:lineRule="auto"/>
              <w:ind w:left="119" w:right="105" w:firstLine="36"/>
            </w:pPr>
            <w:r>
              <w:rPr>
                <w:spacing w:val="-2"/>
              </w:rPr>
              <w:t>(3)风机启动达到正常转速后，在调节门开度为</w:t>
            </w:r>
            <w:r>
              <w:rPr>
                <w:spacing w:val="-31"/>
              </w:rPr>
              <w:t xml:space="preserve"> </w:t>
            </w:r>
            <w:r>
              <w:rPr>
                <w:spacing w:val="-2"/>
              </w:rPr>
              <w:t>0°~5°时进行带小负荷试运行。</w:t>
            </w:r>
          </w:p>
          <w:p w14:paraId="03F047DD">
            <w:pPr>
              <w:pStyle w:val="7"/>
              <w:spacing w:before="22" w:line="232" w:lineRule="auto"/>
              <w:ind w:left="119" w:right="103" w:firstLine="35"/>
            </w:pPr>
            <w:r>
              <w:rPr>
                <w:spacing w:val="-2"/>
              </w:rPr>
              <w:t>(4)带小负荷试运行正常后，应逐渐开大调节</w:t>
            </w:r>
            <w:r>
              <w:rPr>
                <w:spacing w:val="-6"/>
              </w:rPr>
              <w:t>门，但电动机电流不得超过额定值，直至规定的负荷，轴承达到稳定温度后，连续运行时间</w:t>
            </w:r>
            <w:r>
              <w:rPr>
                <w:spacing w:val="-2"/>
              </w:rPr>
              <w:t>不应少于</w:t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20min。</w:t>
            </w:r>
          </w:p>
        </w:tc>
        <w:tc>
          <w:tcPr>
            <w:tcW w:w="5338" w:type="dxa"/>
            <w:vAlign w:val="top"/>
          </w:tcPr>
          <w:p w14:paraId="76D731E1">
            <w:pPr>
              <w:pStyle w:val="7"/>
              <w:spacing w:before="33" w:line="219" w:lineRule="auto"/>
              <w:ind w:left="116"/>
            </w:pPr>
            <w:r>
              <w:rPr>
                <w:spacing w:val="-1"/>
              </w:rPr>
              <w:t>5.典型设备单机试运行要求</w:t>
            </w:r>
          </w:p>
          <w:p w14:paraId="493C1AC0">
            <w:pPr>
              <w:pStyle w:val="7"/>
              <w:spacing w:before="23"/>
              <w:ind w:left="118" w:right="2368" w:firstLine="9"/>
            </w:pPr>
            <w:r>
              <w:rPr>
                <w:spacing w:val="-3"/>
              </w:rPr>
              <w:t>1)离心通风机试运行要求</w:t>
            </w:r>
            <w:r>
              <w:rPr>
                <w:b/>
                <w:bCs/>
                <w:color w:val="FF0000"/>
                <w:spacing w:val="-3"/>
              </w:rPr>
              <w:t>删除</w:t>
            </w:r>
            <w:r>
              <w:rPr>
                <w:b/>
                <w:bCs/>
                <w:color w:val="FF0000"/>
                <w:spacing w:val="-7"/>
              </w:rPr>
              <w:t>（2）条</w:t>
            </w:r>
          </w:p>
          <w:p w14:paraId="5BF3E9E3">
            <w:pPr>
              <w:pStyle w:val="7"/>
              <w:spacing w:before="1" w:line="241" w:lineRule="auto"/>
              <w:ind w:left="118" w:right="4033"/>
            </w:pPr>
            <w:r>
              <w:rPr>
                <w:b/>
                <w:bCs/>
                <w:color w:val="FF0000"/>
                <w:spacing w:val="-8"/>
              </w:rPr>
              <w:t>（6）后半句</w:t>
            </w:r>
            <w:r>
              <w:rPr>
                <w:b/>
                <w:bCs/>
                <w:color w:val="FF0000"/>
                <w:spacing w:val="-7"/>
              </w:rPr>
              <w:t>（8）条</w:t>
            </w:r>
          </w:p>
        </w:tc>
      </w:tr>
    </w:tbl>
    <w:p w14:paraId="1AC3BE29">
      <w:pPr>
        <w:spacing w:line="96" w:lineRule="exact"/>
        <w:rPr>
          <w:rFonts w:ascii="Arial"/>
          <w:sz w:val="8"/>
        </w:rPr>
      </w:pPr>
    </w:p>
    <w:p w14:paraId="4C565F1A">
      <w:pPr>
        <w:spacing w:line="96" w:lineRule="exact"/>
        <w:rPr>
          <w:rFonts w:ascii="Arial" w:hAnsi="Arial" w:eastAsia="Arial" w:cs="Arial"/>
          <w:sz w:val="8"/>
          <w:szCs w:val="8"/>
        </w:rPr>
        <w:sectPr>
          <w:headerReference r:id="rId9" w:type="default"/>
          <w:footerReference r:id="rId10" w:type="default"/>
          <w:pgSz w:w="11907" w:h="16839"/>
          <w:pgMar w:top="1164" w:right="757" w:bottom="1190" w:left="752" w:header="426" w:footer="398" w:gutter="0"/>
          <w:cols w:space="720" w:num="1"/>
        </w:sectPr>
      </w:pPr>
    </w:p>
    <w:tbl>
      <w:tblPr>
        <w:tblStyle w:val="6"/>
        <w:tblW w:w="9860" w:type="dxa"/>
        <w:tblInd w:w="38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22"/>
        <w:gridCol w:w="5338"/>
      </w:tblGrid>
      <w:tr w14:paraId="7F1BD6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5" w:hRule="atLeast"/>
        </w:trPr>
        <w:tc>
          <w:tcPr>
            <w:tcW w:w="4522" w:type="dxa"/>
            <w:vAlign w:val="top"/>
          </w:tcPr>
          <w:p w14:paraId="368B7760">
            <w:pPr>
              <w:pStyle w:val="7"/>
              <w:spacing w:before="33" w:line="235" w:lineRule="auto"/>
              <w:ind w:left="116" w:right="105" w:firstLine="38"/>
            </w:pPr>
            <w:r>
              <w:rPr>
                <w:spacing w:val="-2"/>
              </w:rPr>
              <w:t>(5)具有滑动轴承的大型风机，带负荷试运行</w:t>
            </w:r>
            <w:r>
              <w:rPr>
                <w:spacing w:val="-3"/>
              </w:rPr>
              <w:t>2h</w:t>
            </w:r>
            <w:r>
              <w:rPr>
                <w:spacing w:val="-43"/>
              </w:rPr>
              <w:t xml:space="preserve"> </w:t>
            </w:r>
            <w:r>
              <w:rPr>
                <w:spacing w:val="-3"/>
              </w:rPr>
              <w:t>后应停机检查轴承，轴承应无异 常现象；</w:t>
            </w:r>
            <w:r>
              <w:rPr>
                <w:spacing w:val="-6"/>
              </w:rPr>
              <w:t>当合金表面有局部研伤时应进行修整，再连续</w:t>
            </w:r>
            <w:r>
              <w:rPr>
                <w:spacing w:val="-2"/>
              </w:rPr>
              <w:t>运行不应少于</w:t>
            </w:r>
            <w:r>
              <w:rPr>
                <w:spacing w:val="-43"/>
              </w:rPr>
              <w:t xml:space="preserve"> </w:t>
            </w:r>
            <w:r>
              <w:rPr>
                <w:spacing w:val="-2"/>
              </w:rPr>
              <w:t>6h。</w:t>
            </w:r>
          </w:p>
          <w:p w14:paraId="129C65AF">
            <w:pPr>
              <w:pStyle w:val="7"/>
              <w:spacing w:before="21" w:line="235" w:lineRule="auto"/>
              <w:ind w:left="117" w:right="102" w:firstLine="37"/>
            </w:pPr>
            <w:r>
              <w:rPr>
                <w:spacing w:val="-2"/>
              </w:rPr>
              <w:t>(6)高温离心通风机进行高温试运行时，其升</w:t>
            </w:r>
            <w:r>
              <w:rPr>
                <w:spacing w:val="3"/>
              </w:rPr>
              <w:t>温速率不应大于 50℃/h;</w:t>
            </w:r>
            <w:r>
              <w:rPr>
                <w:spacing w:val="10"/>
              </w:rPr>
              <w:t xml:space="preserve">   </w:t>
            </w:r>
            <w:r>
              <w:rPr>
                <w:color w:val="FF0000"/>
                <w:spacing w:val="3"/>
              </w:rPr>
              <w:t>进行冷态</w:t>
            </w:r>
            <w:r>
              <w:rPr>
                <w:color w:val="FF0000"/>
                <w:spacing w:val="26"/>
              </w:rPr>
              <w:t xml:space="preserve"> </w:t>
            </w:r>
            <w:r>
              <w:rPr>
                <w:color w:val="FF0000"/>
                <w:spacing w:val="3"/>
              </w:rPr>
              <w:t>试运</w:t>
            </w:r>
            <w:r>
              <w:rPr>
                <w:color w:val="FF0000"/>
                <w:spacing w:val="-6"/>
              </w:rPr>
              <w:t>行时，其电动机不得超负荷运行。【删除后半</w:t>
            </w:r>
            <w:r>
              <w:rPr>
                <w:color w:val="FF0000"/>
                <w:spacing w:val="-3"/>
              </w:rPr>
              <w:t>句】</w:t>
            </w:r>
          </w:p>
          <w:p w14:paraId="06DAAEFA">
            <w:pPr>
              <w:pStyle w:val="7"/>
              <w:spacing w:before="19" w:line="235" w:lineRule="auto"/>
              <w:ind w:left="115" w:right="105" w:firstLine="39"/>
            </w:pPr>
            <w:r>
              <w:rPr>
                <w:spacing w:val="-2"/>
              </w:rPr>
              <w:t>(7)试运行中，在轴承表面测得的温度不得高</w:t>
            </w:r>
            <w:r>
              <w:t>于环境温度 40℃,轴承振动速度有 效值不得超过 6.3mm/s;  矿井用离心通风机振动速度</w:t>
            </w:r>
            <w:r>
              <w:rPr>
                <w:spacing w:val="-1"/>
              </w:rPr>
              <w:t>有效值不得超过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4.6mm/s。</w:t>
            </w:r>
          </w:p>
          <w:p w14:paraId="10E9F1CF">
            <w:pPr>
              <w:pStyle w:val="7"/>
              <w:spacing w:before="23" w:line="233" w:lineRule="auto"/>
              <w:ind w:left="118" w:right="105" w:firstLine="37"/>
            </w:pPr>
            <w:r>
              <w:rPr>
                <w:spacing w:val="-2"/>
              </w:rPr>
              <w:t>(8)风机的安全和联锁报警与停机控制系统应</w:t>
            </w:r>
            <w:r>
              <w:t>经模拟试验，其动作应灵敏、正确、 可靠，</w:t>
            </w:r>
            <w:r>
              <w:rPr>
                <w:spacing w:val="-1"/>
              </w:rPr>
              <w:t>并应记录实测数值备查。</w:t>
            </w:r>
          </w:p>
          <w:p w14:paraId="3D8709D2">
            <w:pPr>
              <w:pStyle w:val="7"/>
              <w:spacing w:before="24" w:line="229" w:lineRule="auto"/>
              <w:ind w:left="116" w:right="41" w:firstLine="149"/>
            </w:pPr>
            <w:r>
              <w:rPr>
                <w:spacing w:val="3"/>
              </w:rPr>
              <w:t>(8)风机的安全和联锁报警与停机控制系统</w:t>
            </w:r>
            <w:r>
              <w:rPr>
                <w:spacing w:val="-12"/>
              </w:rPr>
              <w:t>应经模拟试验，其动作应灵敏、正确、  可靠，</w:t>
            </w:r>
            <w:r>
              <w:rPr>
                <w:spacing w:val="-2"/>
              </w:rPr>
              <w:t>并应记录实测数值备查。</w:t>
            </w:r>
            <w:r>
              <w:rPr>
                <w:b/>
                <w:bCs/>
                <w:color w:val="FF0000"/>
                <w:spacing w:val="-2"/>
              </w:rPr>
              <w:t>【删除】</w:t>
            </w:r>
          </w:p>
        </w:tc>
        <w:tc>
          <w:tcPr>
            <w:tcW w:w="5338" w:type="dxa"/>
            <w:vAlign w:val="top"/>
          </w:tcPr>
          <w:p w14:paraId="7A270B37">
            <w:pPr>
              <w:spacing w:before="5" w:line="2077" w:lineRule="exact"/>
              <w:ind w:firstLine="102"/>
            </w:pPr>
            <w:r>
              <w:rPr>
                <w:position w:val="-41"/>
              </w:rPr>
              <w:drawing>
                <wp:inline distT="0" distB="0" distL="0" distR="0">
                  <wp:extent cx="3091180" cy="1318895"/>
                  <wp:effectExtent l="0" t="0" r="0" b="0"/>
                  <wp:docPr id="48" name="IM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 48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1433" cy="1318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CD28A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19DB482B">
            <w:pPr>
              <w:pStyle w:val="7"/>
              <w:spacing w:before="29" w:line="210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21946F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70976CBE">
            <w:pPr>
              <w:pStyle w:val="7"/>
              <w:spacing w:before="29" w:line="210" w:lineRule="auto"/>
              <w:ind w:left="2042"/>
            </w:pPr>
            <w:r>
              <w:rPr>
                <w:b/>
                <w:bCs/>
                <w:spacing w:val="-3"/>
              </w:rPr>
              <w:t>P141</w:t>
            </w:r>
          </w:p>
        </w:tc>
        <w:tc>
          <w:tcPr>
            <w:tcW w:w="5338" w:type="dxa"/>
            <w:vAlign w:val="top"/>
          </w:tcPr>
          <w:p w14:paraId="7750FC8B">
            <w:pPr>
              <w:pStyle w:val="7"/>
              <w:spacing w:before="29" w:line="210" w:lineRule="auto"/>
              <w:ind w:left="2446"/>
            </w:pPr>
            <w:r>
              <w:rPr>
                <w:b/>
                <w:bCs/>
                <w:spacing w:val="-3"/>
              </w:rPr>
              <w:t>P149</w:t>
            </w:r>
          </w:p>
        </w:tc>
      </w:tr>
      <w:tr w14:paraId="618B85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2" w:hRule="atLeast"/>
        </w:trPr>
        <w:tc>
          <w:tcPr>
            <w:tcW w:w="4522" w:type="dxa"/>
            <w:vAlign w:val="top"/>
          </w:tcPr>
          <w:p w14:paraId="0050FFEF">
            <w:pPr>
              <w:pStyle w:val="7"/>
              <w:spacing w:before="33" w:line="219" w:lineRule="auto"/>
              <w:ind w:left="119"/>
            </w:pPr>
            <w:r>
              <w:rPr>
                <w:spacing w:val="-1"/>
              </w:rPr>
              <w:t>2)离心鼓风机试运行要求</w:t>
            </w:r>
          </w:p>
          <w:p w14:paraId="0A49DF77">
            <w:pPr>
              <w:pStyle w:val="7"/>
              <w:spacing w:before="21" w:line="230" w:lineRule="auto"/>
              <w:ind w:left="117" w:right="45" w:firstLine="37"/>
            </w:pPr>
            <w:r>
              <w:rPr>
                <w:spacing w:val="-9"/>
              </w:rPr>
              <w:t>(3)电动机带动的主机，点动检查转子与定子，</w:t>
            </w:r>
            <w:r>
              <w:rPr>
                <w:spacing w:val="-1"/>
              </w:rPr>
              <w:t>其应无摩擦和异常声响。</w:t>
            </w:r>
            <w:r>
              <w:rPr>
                <w:color w:val="FF0000"/>
                <w:spacing w:val="-1"/>
              </w:rPr>
              <w:t>【删除】</w:t>
            </w:r>
          </w:p>
          <w:p w14:paraId="6AE3D1D7">
            <w:pPr>
              <w:pStyle w:val="7"/>
              <w:spacing w:before="24" w:line="224" w:lineRule="auto"/>
              <w:ind w:left="119" w:right="105" w:firstLine="36"/>
            </w:pPr>
            <w:r>
              <w:rPr>
                <w:spacing w:val="-2"/>
              </w:rPr>
              <w:t>(8)试运行完毕后，应将各有关装置调整到准</w:t>
            </w:r>
            <w:r>
              <w:rPr>
                <w:spacing w:val="-1"/>
              </w:rPr>
              <w:t>备启动状态。</w:t>
            </w:r>
            <w:r>
              <w:rPr>
                <w:color w:val="FF0000"/>
                <w:spacing w:val="-1"/>
              </w:rPr>
              <w:t>【删除】</w:t>
            </w:r>
          </w:p>
        </w:tc>
        <w:tc>
          <w:tcPr>
            <w:tcW w:w="5338" w:type="dxa"/>
            <w:vAlign w:val="top"/>
          </w:tcPr>
          <w:p w14:paraId="10FE8077">
            <w:pPr>
              <w:pStyle w:val="7"/>
              <w:spacing w:before="33" w:line="219" w:lineRule="auto"/>
              <w:ind w:left="114"/>
            </w:pPr>
            <w:r>
              <w:rPr>
                <w:spacing w:val="-1"/>
              </w:rPr>
              <w:t>2)离心鼓风机试运行要求</w:t>
            </w:r>
          </w:p>
          <w:p w14:paraId="7EE978BA">
            <w:pPr>
              <w:pStyle w:val="7"/>
              <w:spacing w:before="21" w:line="220" w:lineRule="auto"/>
              <w:ind w:left="111"/>
            </w:pPr>
            <w:r>
              <w:rPr>
                <w:b/>
                <w:bCs/>
                <w:color w:val="FF0000"/>
                <w:spacing w:val="-3"/>
              </w:rPr>
              <w:t>删除（3）、（8）条</w:t>
            </w:r>
          </w:p>
        </w:tc>
      </w:tr>
      <w:tr w14:paraId="4E1B2B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7C295C8A">
            <w:pPr>
              <w:pStyle w:val="7"/>
              <w:spacing w:before="30" w:line="209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080315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3B791F8A">
            <w:pPr>
              <w:pStyle w:val="7"/>
              <w:spacing w:before="30" w:line="209" w:lineRule="auto"/>
              <w:ind w:left="2042"/>
            </w:pPr>
            <w:r>
              <w:rPr>
                <w:b/>
                <w:bCs/>
                <w:spacing w:val="-3"/>
              </w:rPr>
              <w:t>P152</w:t>
            </w:r>
          </w:p>
        </w:tc>
        <w:tc>
          <w:tcPr>
            <w:tcW w:w="5338" w:type="dxa"/>
            <w:vAlign w:val="top"/>
          </w:tcPr>
          <w:p w14:paraId="549CA592">
            <w:pPr>
              <w:pStyle w:val="7"/>
              <w:spacing w:before="30" w:line="209" w:lineRule="auto"/>
              <w:ind w:left="2446"/>
            </w:pPr>
            <w:r>
              <w:rPr>
                <w:b/>
                <w:bCs/>
                <w:spacing w:val="-3"/>
              </w:rPr>
              <w:t>P160</w:t>
            </w:r>
          </w:p>
        </w:tc>
      </w:tr>
      <w:tr w14:paraId="075B4F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1" w:hRule="atLeast"/>
        </w:trPr>
        <w:tc>
          <w:tcPr>
            <w:tcW w:w="4522" w:type="dxa"/>
            <w:vAlign w:val="top"/>
          </w:tcPr>
          <w:p w14:paraId="5D6109B6">
            <w:pPr>
              <w:pStyle w:val="7"/>
              <w:spacing w:before="31" w:line="220" w:lineRule="auto"/>
              <w:ind w:left="119"/>
            </w:pPr>
            <w:r>
              <w:rPr>
                <w:spacing w:val="-1"/>
              </w:rPr>
              <w:t>2.管道工厂化预制工作流程</w:t>
            </w:r>
          </w:p>
          <w:p w14:paraId="7054BB5D">
            <w:pPr>
              <w:pStyle w:val="7"/>
              <w:spacing w:before="23" w:line="220" w:lineRule="auto"/>
              <w:ind w:left="132"/>
            </w:pPr>
            <w:r>
              <w:rPr>
                <w:spacing w:val="-2"/>
              </w:rPr>
              <w:t>1)管道工厂化预制的一般工作流程</w:t>
            </w:r>
          </w:p>
          <w:p w14:paraId="1C84F4A2">
            <w:pPr>
              <w:pStyle w:val="7"/>
              <w:spacing w:before="22" w:line="233" w:lineRule="auto"/>
              <w:ind w:left="116" w:right="102" w:firstLine="5"/>
            </w:pPr>
            <w:r>
              <w:rPr>
                <w:spacing w:val="-6"/>
              </w:rPr>
              <w:t>管道工厂化预制的一般工作流程：深化设计→</w:t>
            </w:r>
            <w:r>
              <w:rPr>
                <w:b/>
                <w:bCs/>
                <w:color w:val="FF0000"/>
                <w:spacing w:val="4"/>
              </w:rPr>
              <w:t>形成管道预制加工图(轴测图)</w:t>
            </w:r>
            <w:r>
              <w:rPr>
                <w:spacing w:val="4"/>
              </w:rPr>
              <w:t>→管段切割→</w:t>
            </w:r>
            <w:r>
              <w:rPr>
                <w:spacing w:val="3"/>
              </w:rPr>
              <w:t>坡口加工→管段组对</w:t>
            </w:r>
            <w:r>
              <w:rPr>
                <w:spacing w:val="-76"/>
              </w:rPr>
              <w:t xml:space="preserve"> </w:t>
            </w:r>
            <w:r>
              <w:rPr>
                <w:spacing w:val="3"/>
              </w:rPr>
              <w:t>→焊接→无损检测</w:t>
            </w:r>
            <w:r>
              <w:rPr>
                <w:spacing w:val="-85"/>
              </w:rPr>
              <w:t xml:space="preserve"> </w:t>
            </w:r>
            <w:r>
              <w:rPr>
                <w:spacing w:val="3"/>
              </w:rPr>
              <w:t>→热</w:t>
            </w:r>
            <w:r>
              <w:t>处理→压力试验/严密性试验→吹 扫/清洗→</w:t>
            </w:r>
            <w:r>
              <w:rPr>
                <w:spacing w:val="-1"/>
              </w:rPr>
              <w:t>防腐→</w:t>
            </w:r>
            <w:r>
              <w:rPr>
                <w:b/>
                <w:bCs/>
                <w:color w:val="FF0000"/>
                <w:spacing w:val="-1"/>
              </w:rPr>
              <w:t>管口封闭/成品包装</w:t>
            </w:r>
            <w:r>
              <w:rPr>
                <w:spacing w:val="-1"/>
              </w:rPr>
              <w:t>→交付现场安装。</w:t>
            </w:r>
          </w:p>
        </w:tc>
        <w:tc>
          <w:tcPr>
            <w:tcW w:w="5338" w:type="dxa"/>
            <w:vAlign w:val="top"/>
          </w:tcPr>
          <w:p w14:paraId="70F27ECD">
            <w:pPr>
              <w:pStyle w:val="7"/>
              <w:spacing w:before="31" w:line="221" w:lineRule="auto"/>
              <w:ind w:left="102"/>
            </w:pPr>
            <w:r>
              <w:rPr>
                <w:b/>
                <w:bCs/>
                <w:color w:val="FF0000"/>
                <w:spacing w:val="-2"/>
              </w:rPr>
              <w:t>【变动】</w:t>
            </w:r>
          </w:p>
          <w:p w14:paraId="1CC5CD94">
            <w:pPr>
              <w:pStyle w:val="7"/>
              <w:spacing w:before="22" w:line="220" w:lineRule="auto"/>
              <w:ind w:left="114"/>
            </w:pPr>
            <w:r>
              <w:rPr>
                <w:spacing w:val="-1"/>
              </w:rPr>
              <w:t>2. 管道工厂化预制工作流程</w:t>
            </w:r>
          </w:p>
          <w:p w14:paraId="75274762">
            <w:pPr>
              <w:pStyle w:val="7"/>
              <w:spacing w:before="23" w:line="220" w:lineRule="auto"/>
              <w:ind w:left="128"/>
            </w:pPr>
            <w:r>
              <w:rPr>
                <w:spacing w:val="-2"/>
              </w:rPr>
              <w:t>1)管道工厂化预制的一般工作流程</w:t>
            </w:r>
          </w:p>
          <w:p w14:paraId="2F47F298">
            <w:pPr>
              <w:pStyle w:val="7"/>
              <w:spacing w:before="24" w:line="231" w:lineRule="auto"/>
              <w:ind w:left="111" w:right="106" w:firstLine="6"/>
            </w:pPr>
            <w:r>
              <w:rPr>
                <w:spacing w:val="-1"/>
              </w:rPr>
              <w:t>管道工厂化预制的一般工作流程：深化设计→</w:t>
            </w:r>
            <w:r>
              <w:rPr>
                <w:b/>
                <w:bCs/>
                <w:color w:val="FF0000"/>
                <w:spacing w:val="-1"/>
              </w:rPr>
              <w:t>管道加工图</w:t>
            </w:r>
            <w:r>
              <w:rPr>
                <w:spacing w:val="-1"/>
              </w:rPr>
              <w:t>→管段切割→坡口加工→ 管段组对→焊接→无</w:t>
            </w:r>
            <w:r>
              <w:rPr>
                <w:spacing w:val="-3"/>
              </w:rPr>
              <w:t>损检测→热处理→压力试验、严密性试验→ 吹扫、清</w:t>
            </w:r>
            <w:r>
              <w:rPr>
                <w:spacing w:val="-5"/>
              </w:rPr>
              <w:t>洗→ 防腐→</w:t>
            </w:r>
            <w:r>
              <w:rPr>
                <w:b/>
                <w:bCs/>
                <w:color w:val="FF0000"/>
                <w:spacing w:val="-5"/>
              </w:rPr>
              <w:t>管</w:t>
            </w:r>
            <w:r>
              <w:rPr>
                <w:color w:val="FF0000"/>
                <w:spacing w:val="42"/>
              </w:rPr>
              <w:t xml:space="preserve"> </w:t>
            </w:r>
            <w:r>
              <w:rPr>
                <w:b/>
                <w:bCs/>
                <w:color w:val="FF0000"/>
                <w:spacing w:val="-5"/>
              </w:rPr>
              <w:t>口封闭、包装</w:t>
            </w:r>
            <w:r>
              <w:rPr>
                <w:color w:val="FF0000"/>
                <w:spacing w:val="21"/>
              </w:rPr>
              <w:t xml:space="preserve"> </w:t>
            </w:r>
            <w:r>
              <w:rPr>
                <w:spacing w:val="-5"/>
              </w:rPr>
              <w:t>→现场安装。</w:t>
            </w:r>
          </w:p>
        </w:tc>
      </w:tr>
      <w:tr w14:paraId="29EAC7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157252A2">
            <w:pPr>
              <w:pStyle w:val="7"/>
              <w:spacing w:before="34" w:line="206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170A5D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7163796C">
            <w:pPr>
              <w:pStyle w:val="7"/>
              <w:spacing w:before="34" w:line="206" w:lineRule="auto"/>
              <w:ind w:left="2042"/>
            </w:pPr>
            <w:r>
              <w:rPr>
                <w:b/>
                <w:bCs/>
                <w:spacing w:val="-3"/>
              </w:rPr>
              <w:t>P153</w:t>
            </w:r>
          </w:p>
        </w:tc>
        <w:tc>
          <w:tcPr>
            <w:tcW w:w="5338" w:type="dxa"/>
            <w:vAlign w:val="top"/>
          </w:tcPr>
          <w:p w14:paraId="15765C3C">
            <w:pPr>
              <w:pStyle w:val="7"/>
              <w:spacing w:before="34" w:line="206" w:lineRule="auto"/>
              <w:ind w:left="2446"/>
            </w:pPr>
            <w:r>
              <w:rPr>
                <w:b/>
                <w:bCs/>
                <w:spacing w:val="-3"/>
              </w:rPr>
              <w:t>P161</w:t>
            </w:r>
          </w:p>
        </w:tc>
      </w:tr>
      <w:tr w14:paraId="7D4B7E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4" w:hRule="atLeast"/>
        </w:trPr>
        <w:tc>
          <w:tcPr>
            <w:tcW w:w="4522" w:type="dxa"/>
            <w:vAlign w:val="top"/>
          </w:tcPr>
          <w:p w14:paraId="15C0A5F2">
            <w:pPr>
              <w:pStyle w:val="7"/>
              <w:spacing w:before="34"/>
              <w:ind w:left="115" w:right="103"/>
              <w:jc w:val="both"/>
            </w:pPr>
            <w:r>
              <w:rPr>
                <w:spacing w:val="6"/>
              </w:rPr>
              <w:t>深化设计的成果一般以轴测图形式形成管段</w:t>
            </w:r>
            <w:r>
              <w:t>图，图中除管道施工图的内容外，还 应有管</w:t>
            </w:r>
            <w:r>
              <w:rPr>
                <w:spacing w:val="-6"/>
              </w:rPr>
              <w:t>道组成件的检测要求、空间尺寸、管线号、焊</w:t>
            </w:r>
            <w:r>
              <w:rPr>
                <w:spacing w:val="-1"/>
              </w:rPr>
              <w:t>缝编号、仪表位置、</w:t>
            </w:r>
            <w:r>
              <w:rPr>
                <w:b/>
                <w:bCs/>
                <w:color w:val="FF0000"/>
                <w:spacing w:val="-1"/>
              </w:rPr>
              <w:t>预制的公差要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b/>
                <w:bCs/>
                <w:color w:val="FF0000"/>
                <w:spacing w:val="-1"/>
              </w:rPr>
              <w:t>求等必要</w:t>
            </w:r>
            <w:r>
              <w:rPr>
                <w:b/>
                <w:bCs/>
                <w:color w:val="FF0000"/>
                <w:spacing w:val="-6"/>
              </w:rPr>
              <w:t>的预制信息</w:t>
            </w:r>
            <w:r>
              <w:rPr>
                <w:spacing w:val="-6"/>
              </w:rPr>
              <w:t>。预制段的界限分隔、自由管段和</w:t>
            </w:r>
            <w:r>
              <w:t>封闭管段的划分应合理，施工图 标示应在现</w:t>
            </w:r>
            <w:r>
              <w:rPr>
                <w:spacing w:val="6"/>
              </w:rPr>
              <w:t>场进行预拉伸和预压缩的焊缝不得在预制时</w:t>
            </w:r>
            <w:r>
              <w:rPr>
                <w:spacing w:val="-9"/>
              </w:rPr>
              <w:t>焊接。</w:t>
            </w:r>
          </w:p>
        </w:tc>
        <w:tc>
          <w:tcPr>
            <w:tcW w:w="5338" w:type="dxa"/>
            <w:vAlign w:val="top"/>
          </w:tcPr>
          <w:p w14:paraId="70C7BBC6">
            <w:pPr>
              <w:pStyle w:val="7"/>
              <w:spacing w:before="34" w:line="221" w:lineRule="auto"/>
              <w:ind w:left="102"/>
            </w:pPr>
            <w:r>
              <w:rPr>
                <w:b/>
                <w:bCs/>
                <w:color w:val="FF0000"/>
                <w:spacing w:val="-2"/>
              </w:rPr>
              <w:t>【变动】</w:t>
            </w:r>
          </w:p>
          <w:p w14:paraId="3A4A20D7">
            <w:pPr>
              <w:pStyle w:val="7"/>
              <w:spacing w:before="22" w:line="220" w:lineRule="auto"/>
              <w:ind w:left="116"/>
            </w:pPr>
            <w:r>
              <w:rPr>
                <w:spacing w:val="-1"/>
              </w:rPr>
              <w:t>3. 管道工厂化预制的主要工作内容</w:t>
            </w:r>
          </w:p>
          <w:p w14:paraId="06DB2312">
            <w:pPr>
              <w:pStyle w:val="7"/>
              <w:spacing w:before="20" w:line="222" w:lineRule="auto"/>
              <w:ind w:left="151"/>
            </w:pPr>
            <w:r>
              <w:rPr>
                <w:spacing w:val="-5"/>
              </w:rPr>
              <w:t>(2)深化设计图纸</w:t>
            </w:r>
          </w:p>
          <w:p w14:paraId="6ACAB013">
            <w:pPr>
              <w:pStyle w:val="7"/>
              <w:spacing w:before="25" w:line="235" w:lineRule="auto"/>
              <w:ind w:left="112" w:right="105"/>
            </w:pPr>
            <w:r>
              <w:rPr>
                <w:spacing w:val="-1"/>
              </w:rPr>
              <w:t>深化设计的成果一般以轴测图形式形成管段图，图中</w:t>
            </w:r>
            <w:r>
              <w:rPr>
                <w:spacing w:val="-3"/>
              </w:rPr>
              <w:t>除管道施工图的内容外，还 应有管道组成件的检测要</w:t>
            </w:r>
            <w:r>
              <w:rPr>
                <w:spacing w:val="-1"/>
              </w:rPr>
              <w:t>求、空间尺寸、管线号、焊缝编号、仪表位置、</w:t>
            </w:r>
            <w:r>
              <w:rPr>
                <w:b/>
                <w:bCs/>
                <w:color w:val="FF0000"/>
                <w:spacing w:val="-1"/>
              </w:rPr>
              <w:t>管段</w:t>
            </w:r>
            <w:r>
              <w:rPr>
                <w:b/>
                <w:bCs/>
                <w:color w:val="FF0000"/>
                <w:spacing w:val="-5"/>
              </w:rPr>
              <w:t>预制公差</w:t>
            </w:r>
            <w:r>
              <w:rPr>
                <w:color w:val="FF0000"/>
                <w:spacing w:val="-5"/>
              </w:rPr>
              <w:t xml:space="preserve"> </w:t>
            </w:r>
            <w:r>
              <w:rPr>
                <w:b/>
                <w:bCs/>
                <w:color w:val="FF0000"/>
                <w:spacing w:val="-5"/>
              </w:rPr>
              <w:t>要求、管段空间位置、管段组装顺序、成品</w:t>
            </w:r>
            <w:r>
              <w:rPr>
                <w:b/>
                <w:bCs/>
                <w:color w:val="FF0000"/>
                <w:spacing w:val="-6"/>
              </w:rPr>
              <w:t>保护、转运储存等必要的预制信息</w:t>
            </w:r>
            <w:r>
              <w:rPr>
                <w:spacing w:val="-6"/>
              </w:rPr>
              <w:t>。预制段</w:t>
            </w:r>
            <w:r>
              <w:rPr>
                <w:spacing w:val="46"/>
              </w:rPr>
              <w:t xml:space="preserve"> </w:t>
            </w:r>
            <w:r>
              <w:rPr>
                <w:spacing w:val="-6"/>
              </w:rPr>
              <w:t>的界限分</w:t>
            </w:r>
            <w:r>
              <w:rPr>
                <w:spacing w:val="-1"/>
              </w:rPr>
              <w:t>隔、自由管段和封闭管段的划分应合理，施工图标示应在现场进行预拉伸和预 压缩的焊缝不得在预制时</w:t>
            </w:r>
            <w:r>
              <w:rPr>
                <w:spacing w:val="-9"/>
              </w:rPr>
              <w:t>焊接。</w:t>
            </w:r>
          </w:p>
        </w:tc>
      </w:tr>
      <w:tr w14:paraId="780AFE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06D2B139">
            <w:pPr>
              <w:pStyle w:val="7"/>
              <w:spacing w:before="33" w:line="207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71429A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37272B06">
            <w:pPr>
              <w:pStyle w:val="7"/>
              <w:spacing w:before="35" w:line="205" w:lineRule="auto"/>
              <w:ind w:left="2042"/>
            </w:pPr>
            <w:r>
              <w:rPr>
                <w:b/>
                <w:bCs/>
                <w:spacing w:val="-3"/>
              </w:rPr>
              <w:t>P154</w:t>
            </w:r>
          </w:p>
        </w:tc>
        <w:tc>
          <w:tcPr>
            <w:tcW w:w="5338" w:type="dxa"/>
            <w:vAlign w:val="top"/>
          </w:tcPr>
          <w:p w14:paraId="10A9B728">
            <w:pPr>
              <w:pStyle w:val="7"/>
              <w:spacing w:before="35" w:line="205" w:lineRule="auto"/>
              <w:ind w:left="2446"/>
            </w:pPr>
            <w:r>
              <w:rPr>
                <w:b/>
                <w:bCs/>
                <w:spacing w:val="-3"/>
              </w:rPr>
              <w:t>P161</w:t>
            </w:r>
          </w:p>
        </w:tc>
      </w:tr>
      <w:tr w14:paraId="1C509F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4522" w:type="dxa"/>
            <w:vAlign w:val="top"/>
          </w:tcPr>
          <w:p w14:paraId="3197D3C3">
            <w:pPr>
              <w:pStyle w:val="7"/>
              <w:spacing w:before="35" w:line="211" w:lineRule="auto"/>
              <w:ind w:left="155"/>
            </w:pPr>
            <w:r>
              <w:rPr>
                <w:spacing w:val="-4"/>
              </w:rPr>
              <w:t>(2)管道试验前应具备的条件</w:t>
            </w:r>
          </w:p>
        </w:tc>
        <w:tc>
          <w:tcPr>
            <w:tcW w:w="5338" w:type="dxa"/>
            <w:vAlign w:val="top"/>
          </w:tcPr>
          <w:p w14:paraId="2DADB9FB">
            <w:pPr>
              <w:pStyle w:val="7"/>
              <w:spacing w:before="35" w:line="211" w:lineRule="auto"/>
              <w:ind w:left="102"/>
            </w:pPr>
            <w:r>
              <w:rPr>
                <w:b/>
                <w:bCs/>
                <w:color w:val="FF0000"/>
                <w:spacing w:val="-2"/>
              </w:rPr>
              <w:t>【新增】</w:t>
            </w:r>
          </w:p>
        </w:tc>
      </w:tr>
    </w:tbl>
    <w:p w14:paraId="272A7D49">
      <w:pPr>
        <w:spacing w:line="64" w:lineRule="exact"/>
        <w:rPr>
          <w:rFonts w:ascii="Arial"/>
          <w:sz w:val="5"/>
        </w:rPr>
      </w:pPr>
    </w:p>
    <w:p w14:paraId="35FC5677">
      <w:pPr>
        <w:spacing w:line="64" w:lineRule="exact"/>
        <w:rPr>
          <w:rFonts w:ascii="Arial" w:hAnsi="Arial" w:eastAsia="Arial" w:cs="Arial"/>
          <w:sz w:val="5"/>
          <w:szCs w:val="5"/>
        </w:rPr>
        <w:sectPr>
          <w:footerReference r:id="rId11" w:type="default"/>
          <w:pgSz w:w="11907" w:h="16839"/>
          <w:pgMar w:top="1164" w:right="757" w:bottom="1190" w:left="752" w:header="426" w:footer="398" w:gutter="0"/>
          <w:cols w:space="720" w:num="1"/>
        </w:sectPr>
      </w:pPr>
    </w:p>
    <w:tbl>
      <w:tblPr>
        <w:tblStyle w:val="6"/>
        <w:tblW w:w="9860" w:type="dxa"/>
        <w:tblInd w:w="38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22"/>
        <w:gridCol w:w="5338"/>
      </w:tblGrid>
      <w:tr w14:paraId="54C637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3" w:hRule="atLeast"/>
        </w:trPr>
        <w:tc>
          <w:tcPr>
            <w:tcW w:w="4522" w:type="dxa"/>
            <w:vAlign w:val="top"/>
          </w:tcPr>
          <w:p w14:paraId="1B1CC2E6">
            <w:pPr>
              <w:pStyle w:val="7"/>
              <w:spacing w:before="30" w:line="241" w:lineRule="auto"/>
              <w:ind w:left="115" w:right="103"/>
              <w:jc w:val="both"/>
            </w:pPr>
            <w:r>
              <w:t>① 试验范围内的管道安装工程已按设计图纸全部完成，安装质量符合设计及有关 标准规</w:t>
            </w:r>
            <w:r>
              <w:rPr>
                <w:spacing w:val="-6"/>
              </w:rPr>
              <w:t>定。管道的防腐和绝热在试验前可部分完成或</w:t>
            </w:r>
            <w:r>
              <w:t>不完成，但焊缝和管道的待检部位 在试验前</w:t>
            </w:r>
            <w:r>
              <w:rPr>
                <w:spacing w:val="-4"/>
              </w:rPr>
              <w:t>不得进行防腐、绝热。</w:t>
            </w:r>
          </w:p>
        </w:tc>
        <w:tc>
          <w:tcPr>
            <w:tcW w:w="5338" w:type="dxa"/>
            <w:vAlign w:val="top"/>
          </w:tcPr>
          <w:p w14:paraId="6426C148">
            <w:pPr>
              <w:pStyle w:val="7"/>
              <w:spacing w:before="33" w:line="220" w:lineRule="auto"/>
              <w:ind w:left="151"/>
            </w:pPr>
            <w:r>
              <w:rPr>
                <w:spacing w:val="-4"/>
              </w:rPr>
              <w:t>(2)管道试验前应具备的条件</w:t>
            </w:r>
          </w:p>
          <w:p w14:paraId="741FE629">
            <w:pPr>
              <w:pStyle w:val="7"/>
              <w:spacing w:before="23" w:line="218" w:lineRule="auto"/>
              <w:ind w:left="111"/>
            </w:pPr>
            <w:r>
              <w:rPr>
                <w:spacing w:val="-1"/>
              </w:rPr>
              <w:t>①试验范围内的管道安装工程已按设计图纸全部完</w:t>
            </w:r>
          </w:p>
          <w:p w14:paraId="1084C1F7">
            <w:pPr>
              <w:pStyle w:val="7"/>
              <w:spacing w:before="28" w:line="232" w:lineRule="auto"/>
              <w:ind w:left="113" w:right="107"/>
            </w:pPr>
            <w:r>
              <w:rPr>
                <w:spacing w:val="-1"/>
              </w:rPr>
              <w:t>成，</w:t>
            </w:r>
            <w:r>
              <w:rPr>
                <w:b/>
                <w:bCs/>
                <w:color w:val="FF0000"/>
                <w:spacing w:val="-1"/>
              </w:rPr>
              <w:t>热处理和无损检测合格，</w:t>
            </w:r>
            <w:r>
              <w:rPr>
                <w:spacing w:val="-1"/>
              </w:rPr>
              <w:t>安装质量符合设</w:t>
            </w:r>
            <w:r>
              <w:rPr>
                <w:spacing w:val="-2"/>
              </w:rPr>
              <w:t>计及有</w:t>
            </w:r>
            <w:r>
              <w:rPr>
                <w:spacing w:val="-1"/>
              </w:rPr>
              <w:t>关标准规定。管道的防腐和绝热在试验前可部分完成或不完成，</w:t>
            </w:r>
            <w:r>
              <w:rPr>
                <w:spacing w:val="-38"/>
              </w:rPr>
              <w:t xml:space="preserve"> </w:t>
            </w:r>
            <w:r>
              <w:rPr>
                <w:spacing w:val="-1"/>
              </w:rPr>
              <w:t>但焊缝和管道的待检部位在试验前不得进</w:t>
            </w:r>
            <w:r>
              <w:rPr>
                <w:spacing w:val="-6"/>
              </w:rPr>
              <w:t>行防腐、绝热。</w:t>
            </w:r>
          </w:p>
        </w:tc>
      </w:tr>
      <w:tr w14:paraId="2D68D6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739C366D">
            <w:pPr>
              <w:pStyle w:val="7"/>
              <w:spacing w:before="28" w:line="211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47AA64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52B3A283">
            <w:pPr>
              <w:pStyle w:val="7"/>
              <w:spacing w:before="28" w:line="211" w:lineRule="auto"/>
              <w:ind w:left="2042"/>
            </w:pPr>
            <w:r>
              <w:rPr>
                <w:b/>
                <w:bCs/>
                <w:spacing w:val="-3"/>
              </w:rPr>
              <w:t>P155</w:t>
            </w:r>
          </w:p>
        </w:tc>
        <w:tc>
          <w:tcPr>
            <w:tcW w:w="5338" w:type="dxa"/>
            <w:vAlign w:val="top"/>
          </w:tcPr>
          <w:p w14:paraId="46EE244B">
            <w:pPr>
              <w:pStyle w:val="7"/>
              <w:spacing w:before="28" w:line="211" w:lineRule="auto"/>
              <w:ind w:left="2446"/>
            </w:pPr>
            <w:r>
              <w:rPr>
                <w:b/>
                <w:bCs/>
                <w:spacing w:val="-3"/>
              </w:rPr>
              <w:t>P163</w:t>
            </w:r>
          </w:p>
        </w:tc>
      </w:tr>
      <w:tr w14:paraId="158F48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5" w:hRule="atLeast"/>
        </w:trPr>
        <w:tc>
          <w:tcPr>
            <w:tcW w:w="4522" w:type="dxa"/>
            <w:vAlign w:val="top"/>
          </w:tcPr>
          <w:p w14:paraId="5F96E25C">
            <w:pPr>
              <w:pStyle w:val="7"/>
              <w:spacing w:before="31" w:line="234" w:lineRule="auto"/>
              <w:ind w:left="114" w:right="102"/>
              <w:jc w:val="both"/>
            </w:pPr>
            <w:r>
              <w:t>③ 考虑到气压试验的危险性，经过技术分析</w:t>
            </w:r>
            <w:r>
              <w:rPr>
                <w:spacing w:val="5"/>
              </w:rPr>
              <w:t>和验算，可采用</w:t>
            </w:r>
            <w:r>
              <w:rPr>
                <w:b/>
                <w:bCs/>
                <w:color w:val="FF0000"/>
                <w:spacing w:val="5"/>
              </w:rPr>
              <w:t>液压-气压试验</w:t>
            </w:r>
            <w:r>
              <w:rPr>
                <w:spacing w:val="5"/>
              </w:rPr>
              <w:t>代替 气压试</w:t>
            </w:r>
            <w:r>
              <w:rPr>
                <w:spacing w:val="-1"/>
              </w:rPr>
              <w:t>验。</w:t>
            </w:r>
            <w:r>
              <w:rPr>
                <w:b/>
                <w:bCs/>
                <w:color w:val="FF0000"/>
                <w:spacing w:val="-1"/>
              </w:rPr>
              <w:t>液压-气压试验</w:t>
            </w:r>
            <w:r>
              <w:rPr>
                <w:spacing w:val="-1"/>
              </w:rPr>
              <w:t>应符合设计要求及气压试</w:t>
            </w:r>
            <w:r>
              <w:t>验的规定。当管道的上下落差较大 时，被液</w:t>
            </w:r>
            <w:r>
              <w:rPr>
                <w:spacing w:val="6"/>
              </w:rPr>
              <w:t>体充填部分管道的压力不应大于以液压试验</w:t>
            </w:r>
            <w:r>
              <w:rPr>
                <w:spacing w:val="-3"/>
              </w:rPr>
              <w:t>方式计算的试验压力。</w:t>
            </w:r>
          </w:p>
        </w:tc>
        <w:tc>
          <w:tcPr>
            <w:tcW w:w="5338" w:type="dxa"/>
            <w:vAlign w:val="top"/>
          </w:tcPr>
          <w:p w14:paraId="0CD997CF">
            <w:pPr>
              <w:pStyle w:val="7"/>
              <w:spacing w:before="29" w:line="221" w:lineRule="auto"/>
              <w:ind w:left="102"/>
            </w:pPr>
            <w:r>
              <w:rPr>
                <w:b/>
                <w:bCs/>
                <w:color w:val="FF0000"/>
                <w:spacing w:val="-2"/>
              </w:rPr>
              <w:t>【变动】</w:t>
            </w:r>
          </w:p>
          <w:p w14:paraId="5DED1560">
            <w:pPr>
              <w:pStyle w:val="7"/>
              <w:spacing w:before="22" w:line="218" w:lineRule="auto"/>
              <w:ind w:left="110"/>
            </w:pPr>
            <w:r>
              <w:rPr>
                <w:spacing w:val="-1"/>
              </w:rPr>
              <w:t>③考虑到气压试验的危险性，经过技术分析和验算，</w:t>
            </w:r>
          </w:p>
          <w:p w14:paraId="6F8CC5A9">
            <w:pPr>
              <w:pStyle w:val="7"/>
              <w:spacing w:before="24"/>
              <w:ind w:left="113" w:right="104"/>
            </w:pPr>
            <w:r>
              <w:rPr>
                <w:spacing w:val="-3"/>
              </w:rPr>
              <w:t>可采用</w:t>
            </w:r>
            <w:r>
              <w:rPr>
                <w:b/>
                <w:bCs/>
                <w:color w:val="FF0000"/>
                <w:spacing w:val="-3"/>
              </w:rPr>
              <w:t>液压试验</w:t>
            </w:r>
            <w:r>
              <w:rPr>
                <w:spacing w:val="-3"/>
              </w:rPr>
              <w:t>代替气压试 验。</w:t>
            </w:r>
            <w:r>
              <w:rPr>
                <w:b/>
                <w:bCs/>
                <w:color w:val="FF0000"/>
                <w:spacing w:val="-3"/>
              </w:rPr>
              <w:t>液压试验</w:t>
            </w:r>
            <w:r>
              <w:rPr>
                <w:spacing w:val="-3"/>
              </w:rPr>
              <w:t>应符</w:t>
            </w:r>
            <w:r>
              <w:rPr>
                <w:spacing w:val="-4"/>
              </w:rPr>
              <w:t>合设计</w:t>
            </w:r>
            <w:r>
              <w:rPr>
                <w:spacing w:val="-1"/>
              </w:rPr>
              <w:t>要求及气压试验的规定。当管道的上下落差较大时，</w:t>
            </w:r>
          </w:p>
          <w:p w14:paraId="0F4039E5">
            <w:pPr>
              <w:pStyle w:val="7"/>
              <w:spacing w:before="1" w:line="223" w:lineRule="auto"/>
              <w:ind w:left="116" w:right="277" w:hanging="4"/>
            </w:pPr>
            <w:r>
              <w:rPr>
                <w:spacing w:val="-1"/>
              </w:rPr>
              <w:t>被液体充 填部分管道的压力不应大于以液压试验方</w:t>
            </w:r>
            <w:r>
              <w:rPr>
                <w:spacing w:val="-3"/>
              </w:rPr>
              <w:t>式计算的试验压力。</w:t>
            </w:r>
          </w:p>
        </w:tc>
      </w:tr>
      <w:tr w14:paraId="11F0C1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1CA13DB7">
            <w:pPr>
              <w:pStyle w:val="7"/>
              <w:spacing w:before="29" w:line="210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29A890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4522" w:type="dxa"/>
            <w:vAlign w:val="top"/>
          </w:tcPr>
          <w:p w14:paraId="1204A093">
            <w:pPr>
              <w:pStyle w:val="7"/>
              <w:spacing w:before="30" w:line="210" w:lineRule="auto"/>
              <w:ind w:left="2042"/>
            </w:pPr>
            <w:r>
              <w:rPr>
                <w:b/>
                <w:bCs/>
                <w:spacing w:val="-3"/>
              </w:rPr>
              <w:t>P156</w:t>
            </w:r>
          </w:p>
        </w:tc>
        <w:tc>
          <w:tcPr>
            <w:tcW w:w="5338" w:type="dxa"/>
            <w:vAlign w:val="top"/>
          </w:tcPr>
          <w:p w14:paraId="65D6EAE2">
            <w:pPr>
              <w:pStyle w:val="7"/>
              <w:spacing w:before="30" w:line="210" w:lineRule="auto"/>
              <w:ind w:left="2446"/>
            </w:pPr>
            <w:r>
              <w:rPr>
                <w:b/>
                <w:bCs/>
                <w:spacing w:val="-3"/>
              </w:rPr>
              <w:t>P164</w:t>
            </w:r>
          </w:p>
        </w:tc>
      </w:tr>
      <w:tr w14:paraId="73D427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2" w:hRule="atLeast"/>
        </w:trPr>
        <w:tc>
          <w:tcPr>
            <w:tcW w:w="4522" w:type="dxa"/>
            <w:vAlign w:val="top"/>
          </w:tcPr>
          <w:p w14:paraId="6E87A174">
            <w:pPr>
              <w:pStyle w:val="7"/>
              <w:spacing w:before="32"/>
              <w:ind w:left="115" w:right="102" w:hanging="1"/>
              <w:jc w:val="both"/>
            </w:pPr>
            <w:r>
              <w:t>⑦ 承受内压的埋地铸铁管道的试验压力，当</w:t>
            </w:r>
            <w:r>
              <w:rPr>
                <w:b/>
                <w:bCs/>
                <w:color w:val="FF0000"/>
                <w:spacing w:val="-4"/>
              </w:rPr>
              <w:t>试验压力</w:t>
            </w:r>
            <w:r>
              <w:rPr>
                <w:spacing w:val="-4"/>
              </w:rPr>
              <w:t>小于或等于0.5MPa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时，应为 设计压</w:t>
            </w:r>
            <w:r>
              <w:rPr>
                <w:spacing w:val="-3"/>
              </w:rPr>
              <w:t>力的</w:t>
            </w:r>
            <w:r>
              <w:rPr>
                <w:spacing w:val="-40"/>
              </w:rPr>
              <w:t xml:space="preserve"> </w:t>
            </w:r>
            <w:r>
              <w:rPr>
                <w:spacing w:val="-3"/>
              </w:rPr>
              <w:t>2</w:t>
            </w:r>
            <w:r>
              <w:rPr>
                <w:spacing w:val="-44"/>
              </w:rPr>
              <w:t xml:space="preserve"> </w:t>
            </w:r>
            <w:r>
              <w:rPr>
                <w:spacing w:val="-3"/>
              </w:rPr>
              <w:t>倍；当设计压力大于</w:t>
            </w:r>
            <w:r>
              <w:rPr>
                <w:spacing w:val="-42"/>
              </w:rPr>
              <w:t xml:space="preserve"> </w:t>
            </w:r>
            <w:r>
              <w:rPr>
                <w:spacing w:val="-3"/>
              </w:rPr>
              <w:t>0.5MPa</w:t>
            </w:r>
            <w:r>
              <w:rPr>
                <w:spacing w:val="-33"/>
              </w:rPr>
              <w:t xml:space="preserve"> </w:t>
            </w:r>
            <w:r>
              <w:rPr>
                <w:spacing w:val="-3"/>
              </w:rPr>
              <w:t>时，应为</w:t>
            </w:r>
            <w:r>
              <w:rPr>
                <w:spacing w:val="-2"/>
              </w:rPr>
              <w:t>设计压力加</w:t>
            </w:r>
            <w:r>
              <w:rPr>
                <w:spacing w:val="-39"/>
              </w:rPr>
              <w:t xml:space="preserve"> </w:t>
            </w:r>
            <w:r>
              <w:rPr>
                <w:spacing w:val="-2"/>
              </w:rPr>
              <w:t>0.5MPa。</w:t>
            </w:r>
          </w:p>
        </w:tc>
        <w:tc>
          <w:tcPr>
            <w:tcW w:w="5338" w:type="dxa"/>
            <w:vAlign w:val="top"/>
          </w:tcPr>
          <w:p w14:paraId="0BFF538D">
            <w:pPr>
              <w:pStyle w:val="7"/>
              <w:spacing w:before="32" w:line="221" w:lineRule="auto"/>
              <w:ind w:left="102"/>
            </w:pPr>
            <w:r>
              <w:rPr>
                <w:b/>
                <w:bCs/>
                <w:color w:val="FF0000"/>
                <w:spacing w:val="-2"/>
              </w:rPr>
              <w:t>【变动】</w:t>
            </w:r>
          </w:p>
          <w:p w14:paraId="084752AD">
            <w:pPr>
              <w:pStyle w:val="7"/>
              <w:spacing w:before="20" w:line="220" w:lineRule="auto"/>
              <w:ind w:left="151"/>
            </w:pPr>
            <w:r>
              <w:rPr>
                <w:spacing w:val="-5"/>
              </w:rPr>
              <w:t>(3)管道液压试验</w:t>
            </w:r>
          </w:p>
          <w:p w14:paraId="321D86D7">
            <w:pPr>
              <w:pStyle w:val="7"/>
              <w:spacing w:before="21" w:line="230" w:lineRule="auto"/>
              <w:ind w:left="111" w:right="164" w:hanging="1"/>
            </w:pPr>
            <w:r>
              <w:rPr>
                <w:spacing w:val="-1"/>
              </w:rPr>
              <w:t>⑦承受内压的埋地铸铁管道的试验压力，当</w:t>
            </w:r>
            <w:r>
              <w:rPr>
                <w:b/>
                <w:bCs/>
                <w:color w:val="FF0000"/>
                <w:spacing w:val="-1"/>
              </w:rPr>
              <w:t>设计压力</w:t>
            </w:r>
            <w:r>
              <w:rPr>
                <w:spacing w:val="-2"/>
              </w:rPr>
              <w:t>小于或等于</w:t>
            </w:r>
            <w:r>
              <w:rPr>
                <w:spacing w:val="-44"/>
              </w:rPr>
              <w:t xml:space="preserve"> </w:t>
            </w:r>
            <w:r>
              <w:rPr>
                <w:spacing w:val="-2"/>
              </w:rPr>
              <w:t>0.5MPa</w:t>
            </w:r>
            <w:r>
              <w:rPr>
                <w:spacing w:val="-36"/>
              </w:rPr>
              <w:t xml:space="preserve"> </w:t>
            </w:r>
            <w:r>
              <w:rPr>
                <w:spacing w:val="-2"/>
              </w:rPr>
              <w:t>时，应为 设计压力的</w:t>
            </w:r>
            <w:r>
              <w:rPr>
                <w:spacing w:val="-43"/>
              </w:rPr>
              <w:t xml:space="preserve"> </w:t>
            </w:r>
            <w:r>
              <w:rPr>
                <w:spacing w:val="-2"/>
              </w:rPr>
              <w:t>2</w:t>
            </w:r>
            <w:r>
              <w:rPr>
                <w:spacing w:val="-46"/>
              </w:rPr>
              <w:t xml:space="preserve"> </w:t>
            </w:r>
            <w:r>
              <w:rPr>
                <w:spacing w:val="-3"/>
              </w:rPr>
              <w:t>倍；当设</w:t>
            </w:r>
            <w:r>
              <w:rPr>
                <w:spacing w:val="1"/>
              </w:rPr>
              <w:t>计压力大于</w:t>
            </w:r>
            <w:r>
              <w:rPr>
                <w:spacing w:val="-44"/>
              </w:rPr>
              <w:t xml:space="preserve"> </w:t>
            </w:r>
            <w:r>
              <w:rPr>
                <w:spacing w:val="1"/>
              </w:rPr>
              <w:t>0.5</w:t>
            </w:r>
            <w:r>
              <w:t>MPa</w:t>
            </w:r>
            <w:r>
              <w:rPr>
                <w:spacing w:val="-36"/>
              </w:rPr>
              <w:t xml:space="preserve"> </w:t>
            </w:r>
            <w:r>
              <w:rPr>
                <w:spacing w:val="1"/>
              </w:rPr>
              <w:t>时，应为设计压力加0.5</w:t>
            </w:r>
            <w:r>
              <w:t>MPa</w:t>
            </w:r>
            <w:r>
              <w:rPr>
                <w:spacing w:val="1"/>
              </w:rPr>
              <w:t>。</w:t>
            </w:r>
          </w:p>
        </w:tc>
      </w:tr>
      <w:tr w14:paraId="3319F0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642EF567">
            <w:pPr>
              <w:pStyle w:val="7"/>
              <w:spacing w:before="30" w:line="209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3EAC31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5FF30245">
            <w:pPr>
              <w:pStyle w:val="7"/>
              <w:spacing w:before="30" w:line="209" w:lineRule="auto"/>
              <w:ind w:left="1819"/>
            </w:pPr>
            <w:r>
              <w:rPr>
                <w:b/>
                <w:bCs/>
                <w:spacing w:val="-2"/>
              </w:rPr>
              <w:t>P161-163</w:t>
            </w:r>
          </w:p>
        </w:tc>
        <w:tc>
          <w:tcPr>
            <w:tcW w:w="5338" w:type="dxa"/>
            <w:vAlign w:val="top"/>
          </w:tcPr>
          <w:p w14:paraId="12251D6C">
            <w:pPr>
              <w:pStyle w:val="7"/>
              <w:spacing w:before="30" w:line="209" w:lineRule="auto"/>
              <w:ind w:left="2225"/>
            </w:pPr>
            <w:r>
              <w:rPr>
                <w:b/>
                <w:bCs/>
                <w:spacing w:val="-2"/>
              </w:rPr>
              <w:t>P169-172</w:t>
            </w:r>
          </w:p>
        </w:tc>
      </w:tr>
      <w:tr w14:paraId="701E55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5" w:hRule="atLeast"/>
        </w:trPr>
        <w:tc>
          <w:tcPr>
            <w:tcW w:w="4522" w:type="dxa"/>
            <w:vAlign w:val="top"/>
          </w:tcPr>
          <w:p w14:paraId="7BCFC5FB">
            <w:pPr>
              <w:pStyle w:val="7"/>
              <w:spacing w:before="30" w:line="215" w:lineRule="auto"/>
              <w:ind w:left="120"/>
            </w:pPr>
            <w:r>
              <w:rPr>
                <w:spacing w:val="-1"/>
              </w:rPr>
              <w:t>5)变压器的交接试验【全变】</w:t>
            </w:r>
          </w:p>
          <w:p w14:paraId="4483ECB2">
            <w:pPr>
              <w:spacing w:line="6187" w:lineRule="exact"/>
              <w:ind w:firstLine="106"/>
            </w:pPr>
            <w:r>
              <w:rPr>
                <w:position w:val="-123"/>
              </w:rPr>
              <w:drawing>
                <wp:inline distT="0" distB="0" distL="0" distR="0">
                  <wp:extent cx="2485390" cy="3928745"/>
                  <wp:effectExtent l="0" t="0" r="0" b="0"/>
                  <wp:docPr id="52" name="IM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 52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5516" cy="3929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8" w:type="dxa"/>
            <w:vAlign w:val="top"/>
          </w:tcPr>
          <w:p w14:paraId="41381BE2">
            <w:pPr>
              <w:pStyle w:val="7"/>
              <w:spacing w:before="30"/>
              <w:ind w:left="113" w:right="816" w:firstLine="3"/>
            </w:pPr>
            <w:r>
              <w:rPr>
                <w:b/>
                <w:bCs/>
                <w:spacing w:val="-2"/>
              </w:rPr>
              <w:t>5）变压器的交接试验</w:t>
            </w:r>
            <w:r>
              <w:rPr>
                <w:color w:val="FF0000"/>
                <w:spacing w:val="-2"/>
              </w:rPr>
              <w:t>【（1）-（8）条</w:t>
            </w:r>
            <w:r>
              <w:rPr>
                <w:b/>
                <w:bCs/>
                <w:color w:val="FF0000"/>
                <w:spacing w:val="-2"/>
              </w:rPr>
              <w:t>全变</w:t>
            </w:r>
            <w:r>
              <w:rPr>
                <w:color w:val="FF0000"/>
                <w:spacing w:val="-2"/>
              </w:rPr>
              <w:t>】</w:t>
            </w:r>
            <w:r>
              <w:rPr>
                <w:spacing w:val="-3"/>
              </w:rPr>
              <w:t>新增内容较多，标题细微变化，</w:t>
            </w:r>
          </w:p>
          <w:p w14:paraId="0D47525D">
            <w:pPr>
              <w:pStyle w:val="7"/>
              <w:spacing w:line="214" w:lineRule="auto"/>
              <w:ind w:left="113"/>
            </w:pPr>
            <w:r>
              <w:rPr>
                <w:spacing w:val="-1"/>
              </w:rPr>
              <w:t>保留较少原文内容</w:t>
            </w:r>
          </w:p>
          <w:p w14:paraId="705678A5">
            <w:pPr>
              <w:spacing w:line="5521" w:lineRule="exact"/>
              <w:ind w:firstLine="102"/>
            </w:pPr>
            <w:r>
              <w:rPr>
                <w:position w:val="-110"/>
              </w:rPr>
              <w:drawing>
                <wp:inline distT="0" distB="0" distL="0" distR="0">
                  <wp:extent cx="3131820" cy="3505835"/>
                  <wp:effectExtent l="0" t="0" r="0" b="0"/>
                  <wp:docPr id="54" name="IM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 54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328" cy="3506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A84436">
      <w:pPr>
        <w:rPr>
          <w:rFonts w:ascii="Arial"/>
          <w:sz w:val="21"/>
        </w:rPr>
      </w:pPr>
    </w:p>
    <w:p w14:paraId="2BDECEA8">
      <w:pPr>
        <w:rPr>
          <w:rFonts w:ascii="Arial" w:hAnsi="Arial" w:eastAsia="Arial" w:cs="Arial"/>
          <w:sz w:val="21"/>
          <w:szCs w:val="21"/>
        </w:rPr>
        <w:sectPr>
          <w:footerReference r:id="rId12" w:type="default"/>
          <w:pgSz w:w="11907" w:h="16839"/>
          <w:pgMar w:top="1164" w:right="757" w:bottom="1190" w:left="752" w:header="426" w:footer="398" w:gutter="0"/>
          <w:cols w:space="720" w:num="1"/>
        </w:sectPr>
      </w:pPr>
    </w:p>
    <w:tbl>
      <w:tblPr>
        <w:tblStyle w:val="6"/>
        <w:tblW w:w="9860" w:type="dxa"/>
        <w:tblInd w:w="38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22"/>
        <w:gridCol w:w="5338"/>
      </w:tblGrid>
      <w:tr w14:paraId="7F9409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17" w:hRule="atLeast"/>
        </w:trPr>
        <w:tc>
          <w:tcPr>
            <w:tcW w:w="4522" w:type="dxa"/>
            <w:vAlign w:val="top"/>
          </w:tcPr>
          <w:p w14:paraId="4FD14D04">
            <w:pPr>
              <w:rPr>
                <w:rFonts w:ascii="Arial"/>
                <w:sz w:val="21"/>
              </w:rPr>
            </w:pPr>
            <w:r>
              <w:drawing>
                <wp:anchor distT="0" distB="0" distL="0" distR="0" simplePos="0" relativeHeight="251662336" behindDoc="1" locked="0" layoutInCell="0" allowOverlap="1">
                  <wp:simplePos x="0" y="0"/>
                  <wp:positionH relativeFrom="page">
                    <wp:posOffset>1040765</wp:posOffset>
                  </wp:positionH>
                  <wp:positionV relativeFrom="page">
                    <wp:posOffset>2357120</wp:posOffset>
                  </wp:positionV>
                  <wp:extent cx="5563870" cy="5647690"/>
                  <wp:effectExtent l="0" t="0" r="0" b="0"/>
                  <wp:wrapNone/>
                  <wp:docPr id="58" name="IM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 5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3834" cy="5647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38" w:type="dxa"/>
            <w:vAlign w:val="top"/>
          </w:tcPr>
          <w:p w14:paraId="0AA2F30B">
            <w:pPr>
              <w:spacing w:before="5" w:line="13301" w:lineRule="exact"/>
              <w:ind w:firstLine="102"/>
            </w:pPr>
            <w:r>
              <w:rPr>
                <w:position w:val="-266"/>
              </w:rPr>
              <w:drawing>
                <wp:inline distT="0" distB="0" distL="0" distR="0">
                  <wp:extent cx="3209290" cy="8446135"/>
                  <wp:effectExtent l="0" t="0" r="0" b="0"/>
                  <wp:docPr id="60" name="IM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 60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290" cy="8446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518A7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860" w:type="dxa"/>
            <w:gridSpan w:val="2"/>
            <w:vAlign w:val="top"/>
          </w:tcPr>
          <w:p w14:paraId="40513A23">
            <w:pPr>
              <w:pStyle w:val="7"/>
              <w:spacing w:before="35" w:line="205" w:lineRule="auto"/>
              <w:ind w:left="4715"/>
            </w:pPr>
            <w:r>
              <w:rPr>
                <w:b/>
                <w:bCs/>
                <w:spacing w:val="-5"/>
              </w:rPr>
              <w:t>变化</w:t>
            </w:r>
          </w:p>
        </w:tc>
      </w:tr>
      <w:tr w14:paraId="587E7C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4522" w:type="dxa"/>
            <w:vAlign w:val="top"/>
          </w:tcPr>
          <w:p w14:paraId="6D8601C5">
            <w:pPr>
              <w:pStyle w:val="7"/>
              <w:spacing w:before="35" w:line="205" w:lineRule="auto"/>
              <w:ind w:left="2042"/>
            </w:pPr>
            <w:r>
              <w:rPr>
                <w:b/>
                <w:bCs/>
                <w:spacing w:val="-3"/>
              </w:rPr>
              <w:t>P164</w:t>
            </w:r>
          </w:p>
        </w:tc>
        <w:tc>
          <w:tcPr>
            <w:tcW w:w="5338" w:type="dxa"/>
            <w:vAlign w:val="top"/>
          </w:tcPr>
          <w:p w14:paraId="7D487F28">
            <w:pPr>
              <w:pStyle w:val="7"/>
              <w:spacing w:before="35" w:line="205" w:lineRule="auto"/>
              <w:ind w:left="2446"/>
            </w:pPr>
            <w:r>
              <w:rPr>
                <w:b/>
                <w:bCs/>
                <w:spacing w:val="-3"/>
              </w:rPr>
              <w:t>P172</w:t>
            </w:r>
          </w:p>
        </w:tc>
      </w:tr>
      <w:tr w14:paraId="2E9686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4522" w:type="dxa"/>
            <w:vAlign w:val="top"/>
          </w:tcPr>
          <w:p w14:paraId="349E0748">
            <w:pPr>
              <w:pStyle w:val="7"/>
              <w:spacing w:before="35" w:line="211" w:lineRule="auto"/>
              <w:ind w:left="119"/>
            </w:pPr>
            <w:r>
              <w:rPr>
                <w:spacing w:val="5"/>
              </w:rPr>
              <w:t>2.气体绝缘金属封闭开关(</w:t>
            </w:r>
            <w:r>
              <w:t>GIS</w:t>
            </w:r>
            <w:r>
              <w:rPr>
                <w:spacing w:val="5"/>
              </w:rPr>
              <w:t>) 设备安装技</w:t>
            </w:r>
          </w:p>
        </w:tc>
        <w:tc>
          <w:tcPr>
            <w:tcW w:w="5338" w:type="dxa"/>
            <w:vAlign w:val="top"/>
          </w:tcPr>
          <w:p w14:paraId="21A08EFE">
            <w:pPr>
              <w:pStyle w:val="7"/>
              <w:spacing w:before="35" w:line="211" w:lineRule="auto"/>
              <w:ind w:left="114"/>
            </w:pPr>
            <w:r>
              <w:rPr>
                <w:spacing w:val="-1"/>
              </w:rPr>
              <w:t>2.气体绝缘金属封闭开关(GIS) 设备安装技术</w:t>
            </w:r>
          </w:p>
        </w:tc>
      </w:tr>
    </w:tbl>
    <w:p w14:paraId="5B8E830E">
      <w:pPr>
        <w:rPr>
          <w:rFonts w:ascii="Arial"/>
          <w:sz w:val="21"/>
        </w:rPr>
      </w:pPr>
      <w:bookmarkStart w:id="0" w:name="_GoBack"/>
      <w:bookmarkEnd w:id="0"/>
    </w:p>
    <w:sectPr>
      <w:headerReference r:id="rId13" w:type="default"/>
      <w:footerReference r:id="rId14" w:type="default"/>
      <w:pgSz w:w="11907" w:h="16839"/>
      <w:pgMar w:top="1164" w:right="757" w:bottom="1190" w:left="752" w:header="426" w:footer="39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6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5BBDD1">
    <w:pPr>
      <w:pStyle w:val="2"/>
      <w:spacing w:before="275" w:line="192" w:lineRule="auto"/>
      <w:ind w:left="7610"/>
      <w:rPr>
        <w:sz w:val="19"/>
        <w:szCs w:val="19"/>
      </w:rPr>
    </w:pPr>
  </w:p>
  <w:p w14:paraId="581B360A">
    <w:pPr>
      <w:pStyle w:val="2"/>
      <w:spacing w:after="75" w:line="227" w:lineRule="auto"/>
      <w:ind w:left="4571"/>
      <w:rPr>
        <w:sz w:val="19"/>
        <w:szCs w:val="19"/>
      </w:rPr>
    </w:pPr>
    <w:r>
      <w:rPr>
        <w:spacing w:val="-2"/>
        <w:sz w:val="19"/>
        <w:szCs w:val="19"/>
      </w:rPr>
      <w:t>第</w:t>
    </w:r>
    <w:r>
      <w:rPr>
        <w:spacing w:val="28"/>
        <w:sz w:val="19"/>
        <w:szCs w:val="19"/>
      </w:rPr>
      <w:t xml:space="preserve"> </w:t>
    </w:r>
    <w:r>
      <w:rPr>
        <w:spacing w:val="-2"/>
        <w:sz w:val="19"/>
        <w:szCs w:val="19"/>
      </w:rPr>
      <w:t>12</w:t>
    </w:r>
    <w:r>
      <w:rPr>
        <w:spacing w:val="19"/>
        <w:sz w:val="19"/>
        <w:szCs w:val="19"/>
      </w:rPr>
      <w:t xml:space="preserve"> </w:t>
    </w:r>
    <w:r>
      <w:rPr>
        <w:spacing w:val="-2"/>
        <w:sz w:val="19"/>
        <w:szCs w:val="19"/>
      </w:rPr>
      <w:t>页</w:t>
    </w:r>
    <w:r>
      <w:rPr>
        <w:spacing w:val="13"/>
        <w:sz w:val="19"/>
        <w:szCs w:val="19"/>
      </w:rPr>
      <w:t xml:space="preserve"> </w:t>
    </w:r>
    <w:r>
      <w:rPr>
        <w:spacing w:val="-2"/>
        <w:sz w:val="19"/>
        <w:szCs w:val="19"/>
      </w:rPr>
      <w:t>共</w:t>
    </w:r>
    <w:r>
      <w:rPr>
        <w:spacing w:val="17"/>
        <w:sz w:val="19"/>
        <w:szCs w:val="19"/>
      </w:rPr>
      <w:t xml:space="preserve"> </w:t>
    </w:r>
    <w:r>
      <w:rPr>
        <w:spacing w:val="-2"/>
        <w:sz w:val="19"/>
        <w:szCs w:val="19"/>
      </w:rPr>
      <w:t>52</w:t>
    </w:r>
    <w:r>
      <w:rPr>
        <w:spacing w:val="20"/>
        <w:sz w:val="19"/>
        <w:szCs w:val="19"/>
      </w:rPr>
      <w:t xml:space="preserve"> </w:t>
    </w:r>
    <w:r>
      <w:rPr>
        <w:spacing w:val="-2"/>
        <w:sz w:val="19"/>
        <w:szCs w:val="19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AF4321">
    <w:pPr>
      <w:pStyle w:val="2"/>
      <w:spacing w:before="275" w:line="192" w:lineRule="auto"/>
      <w:ind w:left="7610"/>
      <w:rPr>
        <w:sz w:val="19"/>
        <w:szCs w:val="19"/>
      </w:rPr>
    </w:pPr>
  </w:p>
  <w:p w14:paraId="0B8BF0C5">
    <w:pPr>
      <w:pStyle w:val="2"/>
      <w:spacing w:after="75" w:line="227" w:lineRule="auto"/>
      <w:ind w:left="4571"/>
      <w:rPr>
        <w:sz w:val="19"/>
        <w:szCs w:val="19"/>
      </w:rPr>
    </w:pPr>
    <w:r>
      <w:rPr>
        <w:spacing w:val="-2"/>
        <w:sz w:val="19"/>
        <w:szCs w:val="19"/>
      </w:rPr>
      <w:t>第</w:t>
    </w:r>
    <w:r>
      <w:rPr>
        <w:spacing w:val="28"/>
        <w:sz w:val="19"/>
        <w:szCs w:val="19"/>
      </w:rPr>
      <w:t xml:space="preserve"> </w:t>
    </w:r>
    <w:r>
      <w:rPr>
        <w:spacing w:val="-2"/>
        <w:sz w:val="19"/>
        <w:szCs w:val="19"/>
      </w:rPr>
      <w:t>13</w:t>
    </w:r>
    <w:r>
      <w:rPr>
        <w:spacing w:val="19"/>
        <w:sz w:val="19"/>
        <w:szCs w:val="19"/>
      </w:rPr>
      <w:t xml:space="preserve"> </w:t>
    </w:r>
    <w:r>
      <w:rPr>
        <w:spacing w:val="-2"/>
        <w:sz w:val="19"/>
        <w:szCs w:val="19"/>
      </w:rPr>
      <w:t>页</w:t>
    </w:r>
    <w:r>
      <w:rPr>
        <w:spacing w:val="13"/>
        <w:sz w:val="19"/>
        <w:szCs w:val="19"/>
      </w:rPr>
      <w:t xml:space="preserve"> </w:t>
    </w:r>
    <w:r>
      <w:rPr>
        <w:spacing w:val="-2"/>
        <w:sz w:val="19"/>
        <w:szCs w:val="19"/>
      </w:rPr>
      <w:t>共</w:t>
    </w:r>
    <w:r>
      <w:rPr>
        <w:spacing w:val="17"/>
        <w:sz w:val="19"/>
        <w:szCs w:val="19"/>
      </w:rPr>
      <w:t xml:space="preserve"> </w:t>
    </w:r>
    <w:r>
      <w:rPr>
        <w:spacing w:val="-2"/>
        <w:sz w:val="19"/>
        <w:szCs w:val="19"/>
      </w:rPr>
      <w:t>52</w:t>
    </w:r>
    <w:r>
      <w:rPr>
        <w:spacing w:val="20"/>
        <w:sz w:val="19"/>
        <w:szCs w:val="19"/>
      </w:rPr>
      <w:t xml:space="preserve"> </w:t>
    </w:r>
    <w:r>
      <w:rPr>
        <w:spacing w:val="-2"/>
        <w:sz w:val="19"/>
        <w:szCs w:val="19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BBEA5C">
    <w:pPr>
      <w:pStyle w:val="2"/>
      <w:spacing w:before="275" w:line="192" w:lineRule="auto"/>
      <w:ind w:left="7610"/>
      <w:rPr>
        <w:sz w:val="19"/>
        <w:szCs w:val="19"/>
      </w:rPr>
    </w:pPr>
  </w:p>
  <w:p w14:paraId="72DFCF26">
    <w:pPr>
      <w:pStyle w:val="2"/>
      <w:spacing w:after="75" w:line="227" w:lineRule="auto"/>
      <w:ind w:left="4571"/>
      <w:rPr>
        <w:sz w:val="19"/>
        <w:szCs w:val="19"/>
      </w:rPr>
    </w:pPr>
    <w:r>
      <w:rPr>
        <w:spacing w:val="-2"/>
        <w:sz w:val="19"/>
        <w:szCs w:val="19"/>
      </w:rPr>
      <w:t>第</w:t>
    </w:r>
    <w:r>
      <w:rPr>
        <w:spacing w:val="28"/>
        <w:sz w:val="19"/>
        <w:szCs w:val="19"/>
      </w:rPr>
      <w:t xml:space="preserve"> </w:t>
    </w:r>
    <w:r>
      <w:rPr>
        <w:spacing w:val="-2"/>
        <w:sz w:val="19"/>
        <w:szCs w:val="19"/>
      </w:rPr>
      <w:t>14</w:t>
    </w:r>
    <w:r>
      <w:rPr>
        <w:spacing w:val="19"/>
        <w:sz w:val="19"/>
        <w:szCs w:val="19"/>
      </w:rPr>
      <w:t xml:space="preserve"> </w:t>
    </w:r>
    <w:r>
      <w:rPr>
        <w:spacing w:val="-2"/>
        <w:sz w:val="19"/>
        <w:szCs w:val="19"/>
      </w:rPr>
      <w:t>页</w:t>
    </w:r>
    <w:r>
      <w:rPr>
        <w:spacing w:val="13"/>
        <w:sz w:val="19"/>
        <w:szCs w:val="19"/>
      </w:rPr>
      <w:t xml:space="preserve"> </w:t>
    </w:r>
    <w:r>
      <w:rPr>
        <w:spacing w:val="-2"/>
        <w:sz w:val="19"/>
        <w:szCs w:val="19"/>
      </w:rPr>
      <w:t>共</w:t>
    </w:r>
    <w:r>
      <w:rPr>
        <w:spacing w:val="17"/>
        <w:sz w:val="19"/>
        <w:szCs w:val="19"/>
      </w:rPr>
      <w:t xml:space="preserve"> </w:t>
    </w:r>
    <w:r>
      <w:rPr>
        <w:spacing w:val="-2"/>
        <w:sz w:val="19"/>
        <w:szCs w:val="19"/>
      </w:rPr>
      <w:t>52</w:t>
    </w:r>
    <w:r>
      <w:rPr>
        <w:spacing w:val="20"/>
        <w:sz w:val="19"/>
        <w:szCs w:val="19"/>
      </w:rPr>
      <w:t xml:space="preserve"> </w:t>
    </w:r>
    <w:r>
      <w:rPr>
        <w:spacing w:val="-2"/>
        <w:sz w:val="19"/>
        <w:szCs w:val="19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97AE83">
    <w:pPr>
      <w:pStyle w:val="2"/>
      <w:spacing w:before="275" w:line="192" w:lineRule="auto"/>
      <w:ind w:left="7610"/>
      <w:rPr>
        <w:sz w:val="19"/>
        <w:szCs w:val="19"/>
      </w:rPr>
    </w:pPr>
  </w:p>
  <w:p w14:paraId="062E9C74">
    <w:pPr>
      <w:pStyle w:val="2"/>
      <w:spacing w:after="75" w:line="227" w:lineRule="auto"/>
      <w:ind w:left="4571"/>
      <w:rPr>
        <w:sz w:val="19"/>
        <w:szCs w:val="19"/>
      </w:rPr>
    </w:pPr>
    <w:r>
      <w:rPr>
        <w:spacing w:val="-2"/>
        <w:sz w:val="19"/>
        <w:szCs w:val="19"/>
      </w:rPr>
      <w:t>第</w:t>
    </w:r>
    <w:r>
      <w:rPr>
        <w:spacing w:val="28"/>
        <w:sz w:val="19"/>
        <w:szCs w:val="19"/>
      </w:rPr>
      <w:t xml:space="preserve"> </w:t>
    </w:r>
    <w:r>
      <w:rPr>
        <w:spacing w:val="-2"/>
        <w:sz w:val="19"/>
        <w:szCs w:val="19"/>
      </w:rPr>
      <w:t>15</w:t>
    </w:r>
    <w:r>
      <w:rPr>
        <w:spacing w:val="19"/>
        <w:sz w:val="19"/>
        <w:szCs w:val="19"/>
      </w:rPr>
      <w:t xml:space="preserve"> </w:t>
    </w:r>
    <w:r>
      <w:rPr>
        <w:spacing w:val="-2"/>
        <w:sz w:val="19"/>
        <w:szCs w:val="19"/>
      </w:rPr>
      <w:t>页</w:t>
    </w:r>
    <w:r>
      <w:rPr>
        <w:spacing w:val="13"/>
        <w:sz w:val="19"/>
        <w:szCs w:val="19"/>
      </w:rPr>
      <w:t xml:space="preserve"> </w:t>
    </w:r>
    <w:r>
      <w:rPr>
        <w:spacing w:val="-2"/>
        <w:sz w:val="19"/>
        <w:szCs w:val="19"/>
      </w:rPr>
      <w:t>共</w:t>
    </w:r>
    <w:r>
      <w:rPr>
        <w:spacing w:val="17"/>
        <w:sz w:val="19"/>
        <w:szCs w:val="19"/>
      </w:rPr>
      <w:t xml:space="preserve"> </w:t>
    </w:r>
    <w:r>
      <w:rPr>
        <w:spacing w:val="-2"/>
        <w:sz w:val="19"/>
        <w:szCs w:val="19"/>
      </w:rPr>
      <w:t>52</w:t>
    </w:r>
    <w:r>
      <w:rPr>
        <w:spacing w:val="20"/>
        <w:sz w:val="19"/>
        <w:szCs w:val="19"/>
      </w:rPr>
      <w:t xml:space="preserve"> </w:t>
    </w:r>
    <w:r>
      <w:rPr>
        <w:spacing w:val="-2"/>
        <w:sz w:val="19"/>
        <w:szCs w:val="19"/>
      </w:rPr>
      <w:t>页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A15261">
    <w:pPr>
      <w:pStyle w:val="2"/>
      <w:spacing w:before="275" w:line="192" w:lineRule="auto"/>
      <w:ind w:left="7610"/>
      <w:rPr>
        <w:sz w:val="19"/>
        <w:szCs w:val="19"/>
      </w:rPr>
    </w:pPr>
  </w:p>
  <w:p w14:paraId="31302ED5">
    <w:pPr>
      <w:pStyle w:val="2"/>
      <w:spacing w:after="75" w:line="227" w:lineRule="auto"/>
      <w:ind w:left="4571"/>
      <w:rPr>
        <w:sz w:val="19"/>
        <w:szCs w:val="19"/>
      </w:rPr>
    </w:pPr>
    <w:r>
      <w:rPr>
        <w:spacing w:val="-2"/>
        <w:sz w:val="19"/>
        <w:szCs w:val="19"/>
      </w:rPr>
      <w:t>第</w:t>
    </w:r>
    <w:r>
      <w:rPr>
        <w:spacing w:val="28"/>
        <w:sz w:val="19"/>
        <w:szCs w:val="19"/>
      </w:rPr>
      <w:t xml:space="preserve"> </w:t>
    </w:r>
    <w:r>
      <w:rPr>
        <w:spacing w:val="-2"/>
        <w:sz w:val="19"/>
        <w:szCs w:val="19"/>
      </w:rPr>
      <w:t>16</w:t>
    </w:r>
    <w:r>
      <w:rPr>
        <w:spacing w:val="19"/>
        <w:sz w:val="19"/>
        <w:szCs w:val="19"/>
      </w:rPr>
      <w:t xml:space="preserve"> </w:t>
    </w:r>
    <w:r>
      <w:rPr>
        <w:spacing w:val="-2"/>
        <w:sz w:val="19"/>
        <w:szCs w:val="19"/>
      </w:rPr>
      <w:t>页</w:t>
    </w:r>
    <w:r>
      <w:rPr>
        <w:spacing w:val="13"/>
        <w:sz w:val="19"/>
        <w:szCs w:val="19"/>
      </w:rPr>
      <w:t xml:space="preserve"> </w:t>
    </w:r>
    <w:r>
      <w:rPr>
        <w:spacing w:val="-2"/>
        <w:sz w:val="19"/>
        <w:szCs w:val="19"/>
      </w:rPr>
      <w:t>共</w:t>
    </w:r>
    <w:r>
      <w:rPr>
        <w:spacing w:val="17"/>
        <w:sz w:val="19"/>
        <w:szCs w:val="19"/>
      </w:rPr>
      <w:t xml:space="preserve"> </w:t>
    </w:r>
    <w:r>
      <w:rPr>
        <w:spacing w:val="-2"/>
        <w:sz w:val="19"/>
        <w:szCs w:val="19"/>
      </w:rPr>
      <w:t>52</w:t>
    </w:r>
    <w:r>
      <w:rPr>
        <w:spacing w:val="20"/>
        <w:sz w:val="19"/>
        <w:szCs w:val="19"/>
      </w:rPr>
      <w:t xml:space="preserve"> </w:t>
    </w:r>
    <w:r>
      <w:rPr>
        <w:spacing w:val="-2"/>
        <w:sz w:val="19"/>
        <w:szCs w:val="19"/>
      </w:rPr>
      <w:t>页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4C8AA0">
    <w:pPr>
      <w:pStyle w:val="2"/>
      <w:spacing w:before="275" w:line="192" w:lineRule="auto"/>
      <w:ind w:left="7610"/>
      <w:rPr>
        <w:sz w:val="19"/>
        <w:szCs w:val="19"/>
      </w:rPr>
    </w:pPr>
  </w:p>
  <w:p w14:paraId="15161AF8">
    <w:pPr>
      <w:pStyle w:val="2"/>
      <w:spacing w:after="75" w:line="227" w:lineRule="auto"/>
      <w:ind w:left="4571"/>
      <w:rPr>
        <w:sz w:val="19"/>
        <w:szCs w:val="19"/>
      </w:rPr>
    </w:pPr>
    <w:r>
      <w:rPr>
        <w:spacing w:val="-1"/>
        <w:sz w:val="19"/>
        <w:szCs w:val="19"/>
      </w:rPr>
      <w:t>第</w:t>
    </w:r>
    <w:r>
      <w:rPr>
        <w:spacing w:val="19"/>
        <w:sz w:val="19"/>
        <w:szCs w:val="19"/>
      </w:rPr>
      <w:t xml:space="preserve"> </w:t>
    </w:r>
    <w:r>
      <w:rPr>
        <w:spacing w:val="-1"/>
        <w:sz w:val="19"/>
        <w:szCs w:val="19"/>
      </w:rPr>
      <w:t>52</w:t>
    </w:r>
    <w:r>
      <w:rPr>
        <w:spacing w:val="20"/>
        <w:sz w:val="19"/>
        <w:szCs w:val="19"/>
      </w:rPr>
      <w:t xml:space="preserve"> </w:t>
    </w:r>
    <w:r>
      <w:rPr>
        <w:spacing w:val="-1"/>
        <w:sz w:val="19"/>
        <w:szCs w:val="19"/>
      </w:rPr>
      <w:t>页</w:t>
    </w:r>
    <w:r>
      <w:rPr>
        <w:spacing w:val="13"/>
        <w:sz w:val="19"/>
        <w:szCs w:val="19"/>
      </w:rPr>
      <w:t xml:space="preserve"> </w:t>
    </w:r>
    <w:r>
      <w:rPr>
        <w:spacing w:val="-1"/>
        <w:sz w:val="19"/>
        <w:szCs w:val="19"/>
      </w:rPr>
      <w:t>共</w:t>
    </w:r>
    <w:r>
      <w:rPr>
        <w:spacing w:val="17"/>
        <w:sz w:val="19"/>
        <w:szCs w:val="19"/>
      </w:rPr>
      <w:t xml:space="preserve"> </w:t>
    </w:r>
    <w:r>
      <w:rPr>
        <w:spacing w:val="-1"/>
        <w:sz w:val="19"/>
        <w:szCs w:val="19"/>
      </w:rPr>
      <w:t>52</w:t>
    </w:r>
    <w:r>
      <w:rPr>
        <w:spacing w:val="20"/>
        <w:sz w:val="19"/>
        <w:szCs w:val="19"/>
      </w:rPr>
      <w:t xml:space="preserve"> </w:t>
    </w:r>
    <w:r>
      <w:rPr>
        <w:spacing w:val="-1"/>
        <w:sz w:val="19"/>
        <w:szCs w:val="19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B8C3E0">
    <w:pPr>
      <w:pStyle w:val="2"/>
      <w:spacing w:before="170" w:line="229" w:lineRule="auto"/>
      <w:ind w:left="506"/>
      <w:rPr>
        <w:sz w:val="19"/>
        <w:szCs w:val="19"/>
      </w:rPr>
    </w:pPr>
    <w:r>
      <w:pict>
        <v:shape id="_x0000_s2055" o:spid="_x0000_s2055" style="position:absolute;left:0pt;margin-left:61.7pt;margin-top:44.05pt;height:0.55pt;width:370pt;mso-position-horizontal-relative:page;mso-position-vertical-relative:page;z-index:251659264;mso-width-relative:page;mso-height-relative:page;" filled="f" stroked="t" coordsize="7400,11" o:allowincell="f" path="m0,5l7399,5e">
          <v:fill on="f" focussize="0,0"/>
          <v:stroke weight="0.5pt" color="#000000" miterlimit="10" joinstyle="miter"/>
          <v:imagedata o:title=""/>
          <o:lock v:ext="edit"/>
        </v:shape>
      </w:pict>
    </w:r>
    <w:r>
      <w:rPr>
        <w:spacing w:val="7"/>
        <w:sz w:val="19"/>
        <w:szCs w:val="19"/>
      </w:rPr>
      <w:t>学员专用 请勿外泄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AD6EAB">
    <w:pPr>
      <w:pStyle w:val="2"/>
      <w:spacing w:before="170" w:line="229" w:lineRule="auto"/>
      <w:ind w:left="506"/>
      <w:rPr>
        <w:sz w:val="19"/>
        <w:szCs w:val="19"/>
      </w:rPr>
    </w:pPr>
    <w:r>
      <w:pict>
        <v:shape id="_x0000_s2058" o:spid="_x0000_s2058" style="position:absolute;left:0pt;margin-left:61.7pt;margin-top:44.05pt;height:0.55pt;width:370pt;mso-position-horizontal-relative:page;mso-position-vertical-relative:page;z-index:251661312;mso-width-relative:page;mso-height-relative:page;" filled="f" stroked="t" coordsize="7400,11" o:allowincell="f" path="m0,5l7399,5e">
          <v:fill on="f" focussize="0,0"/>
          <v:stroke weight="0.5pt" color="#000000" miterlimit="10" joinstyle="miter"/>
          <v:imagedata o:title=""/>
          <o:lock v:ext="edit"/>
        </v:shape>
      </w:pict>
    </w:r>
    <w:r>
      <w:rPr>
        <w:spacing w:val="7"/>
        <w:sz w:val="19"/>
        <w:szCs w:val="19"/>
      </w:rPr>
      <w:t>学员专用 请勿外泄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568614">
    <w:pPr>
      <w:pStyle w:val="2"/>
      <w:spacing w:before="170" w:line="229" w:lineRule="auto"/>
      <w:ind w:left="506"/>
      <w:rPr>
        <w:sz w:val="19"/>
        <w:szCs w:val="19"/>
      </w:rPr>
    </w:pPr>
    <w:r>
      <w:pict>
        <v:shape id="_x0000_s2059" o:spid="_x0000_s2059" style="position:absolute;left:0pt;margin-left:61.7pt;margin-top:44.05pt;height:0.55pt;width:370pt;mso-position-horizontal-relative:page;mso-position-vertical-relative:page;z-index:251659264;mso-width-relative:page;mso-height-relative:page;" filled="f" stroked="t" coordsize="7400,11" o:allowincell="f" path="m0,5l7399,5e">
          <v:fill on="f" focussize="0,0"/>
          <v:stroke weight="0.5pt" color="#000000" miterlimit="10" joinstyle="miter"/>
          <v:imagedata o:title=""/>
          <o:lock v:ext="edit"/>
        </v:shape>
      </w:pict>
    </w:r>
    <w:r>
      <w:rPr>
        <w:spacing w:val="7"/>
        <w:sz w:val="19"/>
        <w:szCs w:val="19"/>
      </w:rPr>
      <w:t>学员专用 请勿外泄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3695B2">
    <w:pPr>
      <w:pStyle w:val="2"/>
      <w:spacing w:before="170" w:line="229" w:lineRule="auto"/>
      <w:ind w:left="506"/>
      <w:rPr>
        <w:sz w:val="19"/>
        <w:szCs w:val="19"/>
      </w:rPr>
    </w:pPr>
    <w:r>
      <w:pict>
        <v:shape id="_x0000_s2065" o:spid="_x0000_s2065" style="position:absolute;left:0pt;margin-left:61.7pt;margin-top:44.05pt;height:0.55pt;width:370pt;mso-position-horizontal-relative:page;mso-position-vertical-relative:page;z-index:251659264;mso-width-relative:page;mso-height-relative:page;" filled="f" stroked="t" coordsize="7400,11" o:allowincell="f" path="m0,5l7399,5e">
          <v:fill on="f" focussize="0,0"/>
          <v:stroke weight="0.5pt" color="#000000" miterlimit="10" joinstyle="miter"/>
          <v:imagedata o:title=""/>
          <o:lock v:ext="edit"/>
        </v:shape>
      </w:pict>
    </w:r>
    <w:r>
      <w:rPr>
        <w:spacing w:val="7"/>
        <w:sz w:val="19"/>
        <w:szCs w:val="19"/>
      </w:rPr>
      <w:t>学员专用 请勿外泄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13A36B9"/>
    <w:rsid w:val="27232688"/>
    <w:rsid w:val="4D4D64A5"/>
    <w:rsid w:val="50742B20"/>
    <w:rsid w:val="66E2751B"/>
    <w:rsid w:val="6C1769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image" Target="media/image8.png"/><Relationship Id="rId22" Type="http://schemas.openxmlformats.org/officeDocument/2006/relationships/image" Target="media/image7.png"/><Relationship Id="rId21" Type="http://schemas.openxmlformats.org/officeDocument/2006/relationships/image" Target="media/image6.png"/><Relationship Id="rId20" Type="http://schemas.openxmlformats.org/officeDocument/2006/relationships/image" Target="media/image5.jpeg"/><Relationship Id="rId2" Type="http://schemas.openxmlformats.org/officeDocument/2006/relationships/settings" Target="settings.xml"/><Relationship Id="rId19" Type="http://schemas.openxmlformats.org/officeDocument/2006/relationships/image" Target="media/image4.jpeg"/><Relationship Id="rId18" Type="http://schemas.openxmlformats.org/officeDocument/2006/relationships/image" Target="media/image3.png"/><Relationship Id="rId17" Type="http://schemas.openxmlformats.org/officeDocument/2006/relationships/image" Target="media/image2.png"/><Relationship Id="rId16" Type="http://schemas.openxmlformats.org/officeDocument/2006/relationships/image" Target="media/image1.jpeg"/><Relationship Id="rId15" Type="http://schemas.openxmlformats.org/officeDocument/2006/relationships/theme" Target="theme/theme1.xml"/><Relationship Id="rId14" Type="http://schemas.openxmlformats.org/officeDocument/2006/relationships/footer" Target="footer6.xml"/><Relationship Id="rId13" Type="http://schemas.openxmlformats.org/officeDocument/2006/relationships/header" Target="header4.xml"/><Relationship Id="rId12" Type="http://schemas.openxmlformats.org/officeDocument/2006/relationships/footer" Target="footer5.xml"/><Relationship Id="rId11" Type="http://schemas.openxmlformats.org/officeDocument/2006/relationships/footer" Target="foot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2055"/>
    <customShpInfo spid="_x0000_s2058"/>
    <customShpInfo spid="_x0000_s2059"/>
    <customShpInfo spid="_x0000_s206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6516</Words>
  <Characters>6803</Characters>
  <TotalTime>16</TotalTime>
  <ScaleCrop>false</ScaleCrop>
  <LinksUpToDate>false</LinksUpToDate>
  <CharactersWithSpaces>6957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2026-01-07T11:33:00Z</dcterms:created>
  <dc:creator>ZMY</dc:creator>
  <cp:lastModifiedBy>薛飞</cp:lastModifiedBy>
  <dcterms:modified xsi:type="dcterms:W3CDTF">2026-02-09T12:51:52Z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2026-02-09T20:15:41Z</vt:filetime>
  </property>
  <property fmtid="{D5CDD505-2E9C-101B-9397-08002B2CF9AE}" pid="4" name="KSOTemplateDocerSaveRecord">
    <vt:lpwstr>eyJoZGlkIjoiMDZhYjFkODJhOWFlZjdhZTJlNzA0NmE2MTZhNTZkMjEiLCJ1c2VySWQiOiI5NTk2ODI5NzQifQ==</vt:lpwstr>
  </property>
  <property fmtid="{D5CDD505-2E9C-101B-9397-08002B2CF9AE}" pid="5" name="KSOProductBuildVer">
    <vt:lpwstr>2052-12.1.0.24657</vt:lpwstr>
  </property>
  <property fmtid="{D5CDD505-2E9C-101B-9397-08002B2CF9AE}" pid="6" name="ICV">
    <vt:lpwstr>0F246CB16434492597CD5E1889A59C59_12</vt:lpwstr>
  </property>
</Properties>
</file>