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48CC56">
      <w:pPr>
        <w:framePr w:w="904" w:h="1540" w:hRule="exact" w:wrap="around" w:vAnchor="page" w:hAnchor="page" w:x="8536" w:y="467"/>
        <w:widowControl/>
        <w:shd w:val="solid" w:color="FFFFFF" w:fill="FFFFFF"/>
        <w:spacing w:line="0" w:lineRule="atLeast"/>
        <w:rPr>
          <w:rFonts w:hint="eastAsia" w:ascii="等线" w:hAnsi="等线" w:eastAsia="等线" w:cs="等线"/>
          <w:b/>
          <w:w w:val="130"/>
          <w:kern w:val="0"/>
          <w:sz w:val="100"/>
          <w:szCs w:val="100"/>
        </w:rPr>
      </w:pPr>
      <w:r>
        <w:rPr>
          <w:rFonts w:hint="eastAsia" w:ascii="等线" w:hAnsi="等线" w:eastAsia="等线" w:cs="等线"/>
          <w:b/>
          <w:w w:val="130"/>
          <w:kern w:val="0"/>
          <w:sz w:val="110"/>
          <w:szCs w:val="110"/>
        </w:rPr>
        <w:t>T</w:t>
      </w:r>
    </w:p>
    <w:p w14:paraId="346801E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黑体" w:hAnsi="黑体" w:eastAsia="黑体" w:cs="黑体"/>
          <w:szCs w:val="22"/>
        </w:rPr>
      </w:pPr>
    </w:p>
    <w:p w14:paraId="7D83F1A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黑体" w:hAnsi="黑体" w:eastAsia="黑体" w:cs="黑体"/>
          <w:color w:val="FF0000"/>
          <w:szCs w:val="22"/>
          <w:lang w:val="en-US" w:eastAsia="zh-CN"/>
        </w:rPr>
      </w:pPr>
      <w:r>
        <w:rPr>
          <w:rFonts w:hint="eastAsia" w:ascii="Times New Roman" w:hAnsi="Times New Roman" w:eastAsia="宋体" w:cs="Times New Roman"/>
          <w:szCs w:val="22"/>
          <w:lang w:eastAsia="zh-CN"/>
        </w:rPr>
        <w:drawing>
          <wp:anchor distT="0" distB="0" distL="114300" distR="114300" simplePos="0" relativeHeight="251659264" behindDoc="1" locked="0" layoutInCell="1" allowOverlap="1">
            <wp:simplePos x="0" y="0"/>
            <wp:positionH relativeFrom="column">
              <wp:posOffset>-596265</wp:posOffset>
            </wp:positionH>
            <wp:positionV relativeFrom="paragraph">
              <wp:posOffset>153035</wp:posOffset>
            </wp:positionV>
            <wp:extent cx="1866265" cy="1226185"/>
            <wp:effectExtent l="0" t="0" r="635" b="12065"/>
            <wp:wrapNone/>
            <wp:docPr id="1" name="图片 2" descr="标委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标委会"/>
                    <pic:cNvPicPr>
                      <a:picLocks noChangeAspect="1"/>
                    </pic:cNvPicPr>
                  </pic:nvPicPr>
                  <pic:blipFill>
                    <a:blip r:embed="rId12"/>
                    <a:stretch>
                      <a:fillRect/>
                    </a:stretch>
                  </pic:blipFill>
                  <pic:spPr>
                    <a:xfrm>
                      <a:off x="0" y="0"/>
                      <a:ext cx="1866265" cy="1226185"/>
                    </a:xfrm>
                    <a:prstGeom prst="rect">
                      <a:avLst/>
                    </a:prstGeom>
                    <a:noFill/>
                    <a:ln>
                      <a:noFill/>
                    </a:ln>
                  </pic:spPr>
                </pic:pic>
              </a:graphicData>
            </a:graphic>
          </wp:anchor>
        </w:drawing>
      </w:r>
      <w:r>
        <w:rPr>
          <w:rFonts w:hint="eastAsia" w:ascii="黑体" w:hAnsi="黑体" w:eastAsia="黑体" w:cs="黑体"/>
          <w:szCs w:val="22"/>
        </w:rPr>
        <w:t xml:space="preserve">ICS  </w:t>
      </w:r>
      <w:r>
        <w:rPr>
          <w:rFonts w:hint="eastAsia" w:ascii="黑体" w:hAnsi="黑体" w:eastAsia="黑体" w:cs="黑体"/>
          <w:szCs w:val="22"/>
          <w:lang w:val="en-US" w:eastAsia="zh-CN"/>
        </w:rPr>
        <w:t>93.160</w:t>
      </w:r>
      <w:r>
        <w:rPr>
          <w:rFonts w:hint="eastAsia" w:ascii="黑体" w:hAnsi="黑体" w:eastAsia="黑体" w:cs="黑体"/>
          <w:color w:val="FF0000"/>
          <w:szCs w:val="22"/>
        </w:rPr>
        <w:t xml:space="preserve">   </w:t>
      </w:r>
      <w:r>
        <w:rPr>
          <w:rFonts w:hint="eastAsia" w:ascii="黑体" w:hAnsi="黑体" w:eastAsia="黑体" w:cs="黑体"/>
          <w:color w:val="FF0000"/>
          <w:szCs w:val="22"/>
          <w:lang w:val="en-US" w:eastAsia="zh-CN"/>
        </w:rPr>
        <w:t xml:space="preserve">    </w:t>
      </w:r>
    </w:p>
    <w:p w14:paraId="294953B7">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黑体" w:hAnsi="黑体" w:eastAsia="黑体" w:cs="黑体"/>
          <w:szCs w:val="22"/>
          <w:lang w:val="en-US" w:eastAsia="zh-CN"/>
        </w:rPr>
      </w:pPr>
      <w:r>
        <w:rPr>
          <w:rFonts w:hint="eastAsia" w:ascii="黑体" w:hAnsi="黑体" w:eastAsia="黑体" w:cs="黑体"/>
          <w:szCs w:val="22"/>
        </w:rPr>
        <w:t xml:space="preserve">CCS  </w:t>
      </w:r>
      <w:r>
        <w:rPr>
          <w:rFonts w:hint="eastAsia" w:ascii="黑体" w:hAnsi="黑体" w:eastAsia="黑体" w:cs="黑体"/>
          <w:szCs w:val="22"/>
          <w:lang w:val="en-US" w:eastAsia="zh-CN"/>
        </w:rPr>
        <w:t>P 55</w:t>
      </w:r>
    </w:p>
    <w:p w14:paraId="66A4AB3F">
      <w:pPr>
        <w:spacing w:line="360" w:lineRule="auto"/>
        <w:rPr>
          <w:rFonts w:hint="eastAsia" w:ascii="Times New Roman" w:hAnsi="Times New Roman" w:eastAsia="宋体" w:cs="Times New Roman"/>
          <w:szCs w:val="22"/>
          <w:lang w:eastAsia="zh-CN"/>
        </w:rPr>
      </w:pPr>
    </w:p>
    <w:p w14:paraId="1ECAA58F">
      <w:pPr>
        <w:spacing w:line="360" w:lineRule="auto"/>
        <w:rPr>
          <w:rFonts w:ascii="Times New Roman" w:hAnsi="Times New Roman" w:eastAsia="宋体" w:cs="Times New Roman"/>
          <w:szCs w:val="22"/>
        </w:rPr>
      </w:pPr>
    </w:p>
    <w:p w14:paraId="7CFB7834">
      <w:pPr>
        <w:spacing w:line="360" w:lineRule="auto"/>
        <w:jc w:val="distribute"/>
        <w:rPr>
          <w:rFonts w:hint="eastAsia" w:ascii="隶属" w:hAnsi="隶属" w:eastAsia="隶属" w:cs="隶属"/>
          <w:b/>
          <w:bCs/>
          <w:sz w:val="84"/>
          <w:szCs w:val="84"/>
        </w:rPr>
      </w:pPr>
      <w:r>
        <w:rPr>
          <w:rFonts w:hint="eastAsia" w:ascii="隶属" w:hAnsi="隶属" w:eastAsia="隶属" w:cs="隶属"/>
          <w:b/>
          <w:bCs/>
          <w:sz w:val="84"/>
          <w:szCs w:val="84"/>
        </w:rPr>
        <w:t>团体标准</w:t>
      </w:r>
    </w:p>
    <w:p w14:paraId="2B6E11BA">
      <w:pPr>
        <w:wordWrap w:val="0"/>
        <w:spacing w:line="360" w:lineRule="auto"/>
        <w:ind w:right="420"/>
        <w:jc w:val="right"/>
        <w:rPr>
          <w:rFonts w:ascii="Times New Roman" w:hAnsi="Times New Roman" w:eastAsia="黑体" w:cs="Times New Roman"/>
          <w:szCs w:val="22"/>
        </w:rPr>
      </w:pPr>
      <w:r>
        <w:rPr>
          <w:rFonts w:ascii="Times New Roman" w:hAnsi="Times New Roman" w:eastAsia="宋体" w:cs="Times New Roman"/>
          <w:color w:val="FF0000"/>
          <w:szCs w:val="22"/>
        </w:rPr>
        <w:t xml:space="preserve"> </w:t>
      </w:r>
      <w:r>
        <w:rPr>
          <w:rFonts w:ascii="Times New Roman" w:hAnsi="Times New Roman" w:eastAsia="宋体" w:cs="Times New Roman"/>
          <w:szCs w:val="22"/>
        </w:rPr>
        <w:t xml:space="preserve">  </w:t>
      </w:r>
      <w:r>
        <w:rPr>
          <w:rFonts w:hint="eastAsia" w:ascii="Times New Roman" w:hAnsi="Times New Roman" w:cs="Times New Roman"/>
          <w:szCs w:val="22"/>
          <w:lang w:val="en-US" w:eastAsia="zh-CN"/>
        </w:rPr>
        <w:t xml:space="preserve"> </w:t>
      </w:r>
      <w:r>
        <w:rPr>
          <w:rFonts w:hint="eastAsia" w:ascii="黑体" w:hAnsi="黑体" w:eastAsia="黑体" w:cs="黑体"/>
          <w:sz w:val="28"/>
          <w:szCs w:val="28"/>
        </w:rPr>
        <w:t xml:space="preserve"> T/CI </w:t>
      </w:r>
      <w:r>
        <w:rPr>
          <w:rFonts w:hint="eastAsia" w:ascii="黑体" w:hAnsi="黑体" w:eastAsia="黑体" w:cs="黑体"/>
          <w:sz w:val="28"/>
          <w:szCs w:val="28"/>
          <w:lang w:val="en-US" w:eastAsia="zh-CN"/>
        </w:rPr>
        <w:t>XXX</w:t>
      </w:r>
      <w:r>
        <w:rPr>
          <w:rFonts w:hint="eastAsia" w:ascii="黑体" w:hAnsi="黑体" w:eastAsia="黑体" w:cs="黑体"/>
          <w:sz w:val="28"/>
          <w:szCs w:val="28"/>
        </w:rPr>
        <w:t>—202</w:t>
      </w:r>
      <w:r>
        <w:rPr>
          <w:rFonts w:hint="eastAsia" w:ascii="黑体" w:hAnsi="黑体" w:eastAsia="黑体" w:cs="黑体"/>
          <w:sz w:val="28"/>
          <w:szCs w:val="28"/>
          <w:lang w:val="en-US" w:eastAsia="zh-CN"/>
        </w:rPr>
        <w:t>5</w:t>
      </w:r>
      <w:r>
        <w:rPr>
          <w:rFonts w:hint="eastAsia" w:ascii="黑体" w:hAnsi="黑体" w:eastAsia="黑体" w:cs="黑体"/>
          <w:sz w:val="28"/>
          <w:szCs w:val="28"/>
        </w:rPr>
        <w:t xml:space="preserve"> </w:t>
      </w:r>
      <w:r>
        <w:rPr>
          <w:rFonts w:ascii="Times New Roman" w:hAnsi="Times New Roman" w:eastAsia="黑体" w:cs="Times New Roman"/>
          <w:szCs w:val="22"/>
        </w:rPr>
        <w:t xml:space="preserve">  </w:t>
      </w:r>
    </w:p>
    <w:p w14:paraId="7B16494A">
      <w:pPr>
        <w:spacing w:line="360" w:lineRule="auto"/>
        <w:jc w:val="right"/>
        <w:rPr>
          <w:rFonts w:ascii="Times New Roman" w:hAnsi="Times New Roman" w:eastAsia="宋体" w:cs="Times New Roman"/>
          <w:szCs w:val="22"/>
        </w:rPr>
      </w:pPr>
      <w:r>
        <w:rPr>
          <w:rFonts w:ascii="Times New Roman" w:hAnsi="Times New Roman" w:eastAsia="宋体" w:cs="Times New Roman"/>
          <w:szCs w:val="22"/>
        </w:rPr>
        <w:drawing>
          <wp:inline distT="0" distB="0" distL="114300" distR="114300">
            <wp:extent cx="5525770" cy="10795"/>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3"/>
                    <a:stretch>
                      <a:fillRect/>
                    </a:stretch>
                  </pic:blipFill>
                  <pic:spPr>
                    <a:xfrm>
                      <a:off x="0" y="0"/>
                      <a:ext cx="5525770" cy="10795"/>
                    </a:xfrm>
                    <a:prstGeom prst="rect">
                      <a:avLst/>
                    </a:prstGeom>
                    <a:noFill/>
                    <a:ln>
                      <a:noFill/>
                    </a:ln>
                  </pic:spPr>
                </pic:pic>
              </a:graphicData>
            </a:graphic>
          </wp:inline>
        </w:drawing>
      </w:r>
      <w:r>
        <w:rPr>
          <w:rFonts w:ascii="Times New Roman" w:hAnsi="Times New Roman" w:eastAsia="宋体" w:cs="Times New Roman"/>
          <w:szCs w:val="22"/>
        </w:rPr>
        <w:t xml:space="preserve">                                                                                                                  </w:t>
      </w:r>
    </w:p>
    <w:p w14:paraId="30081C60">
      <w:pPr>
        <w:spacing w:line="360" w:lineRule="auto"/>
        <w:rPr>
          <w:rFonts w:ascii="Times New Roman" w:hAnsi="Times New Roman" w:eastAsia="宋体" w:cs="Times New Roman"/>
          <w:szCs w:val="22"/>
        </w:rPr>
      </w:pPr>
    </w:p>
    <w:p w14:paraId="5C750B7F">
      <w:pPr>
        <w:spacing w:line="360" w:lineRule="auto"/>
        <w:rPr>
          <w:rFonts w:ascii="Times New Roman" w:hAnsi="Times New Roman" w:eastAsia="宋体" w:cs="Times New Roman"/>
          <w:szCs w:val="22"/>
        </w:rPr>
      </w:pPr>
    </w:p>
    <w:p w14:paraId="6702763F">
      <w:pPr>
        <w:spacing w:line="360" w:lineRule="auto"/>
        <w:jc w:val="center"/>
        <w:rPr>
          <w:rFonts w:ascii="Times New Roman" w:hAnsi="Times New Roman" w:eastAsia="黑体" w:cs="Times New Roman"/>
          <w:sz w:val="52"/>
          <w:szCs w:val="52"/>
        </w:rPr>
      </w:pPr>
    </w:p>
    <w:p w14:paraId="3BFE1BD5">
      <w:pPr>
        <w:spacing w:line="360" w:lineRule="auto"/>
        <w:jc w:val="center"/>
        <w:rPr>
          <w:rFonts w:hint="default" w:ascii="Times New Roman" w:hAnsi="Times New Roman" w:eastAsia="黑体" w:cs="Times New Roman"/>
          <w:sz w:val="52"/>
          <w:szCs w:val="52"/>
          <w:lang w:val="en-US" w:eastAsia="zh-CN"/>
        </w:rPr>
      </w:pPr>
      <w:r>
        <w:rPr>
          <w:rFonts w:hint="eastAsia" w:ascii="黑体" w:hAnsi="黑体" w:eastAsia="黑体" w:cs="Times New Roman"/>
          <w:bCs/>
          <w:sz w:val="52"/>
          <w:lang w:val="en-US" w:eastAsia="zh-CN" w:bidi="ar-SA"/>
        </w:rPr>
        <w:t>水库大坝除险加固技术规程</w:t>
      </w:r>
    </w:p>
    <w:p w14:paraId="1733DAC9">
      <w:pPr>
        <w:spacing w:line="360" w:lineRule="auto"/>
        <w:jc w:val="center"/>
        <w:rPr>
          <w:rFonts w:ascii="Times New Roman" w:hAnsi="Times New Roman" w:eastAsia="黑体" w:cs="Times New Roman"/>
          <w:szCs w:val="21"/>
        </w:rPr>
      </w:pPr>
    </w:p>
    <w:p w14:paraId="6C5B77BD">
      <w:pPr>
        <w:spacing w:line="360" w:lineRule="auto"/>
        <w:jc w:val="center"/>
        <w:rPr>
          <w:rFonts w:hint="eastAsia" w:ascii="黑体" w:hAnsi="黑体" w:eastAsia="黑体" w:cs="黑体"/>
          <w:sz w:val="28"/>
          <w:szCs w:val="28"/>
          <w:lang w:val="en-US" w:eastAsia="zh-CN"/>
        </w:rPr>
      </w:pPr>
      <w:r>
        <w:rPr>
          <w:rFonts w:hint="eastAsia" w:ascii="黑体" w:hAnsi="黑体" w:eastAsia="黑体" w:cs="黑体"/>
          <w:sz w:val="28"/>
          <w:szCs w:val="28"/>
          <w:lang w:val="en-US" w:eastAsia="zh-CN" w:bidi="ar-SA"/>
        </w:rPr>
        <w:t>Consultation guide for risk removal and reinforcement technology of reservoir dams</w:t>
      </w:r>
    </w:p>
    <w:p w14:paraId="368A3BE4">
      <w:pPr>
        <w:spacing w:line="360" w:lineRule="auto"/>
        <w:jc w:val="center"/>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（设计草案）</w:t>
      </w:r>
    </w:p>
    <w:p w14:paraId="6DD41756">
      <w:pPr>
        <w:spacing w:line="360" w:lineRule="auto"/>
        <w:jc w:val="center"/>
        <w:rPr>
          <w:rFonts w:ascii="Times New Roman" w:hAnsi="Times New Roman" w:eastAsia="宋体" w:cs="Times New Roman"/>
          <w:szCs w:val="22"/>
        </w:rPr>
      </w:pPr>
    </w:p>
    <w:p w14:paraId="263AB9DE">
      <w:pPr>
        <w:spacing w:line="360" w:lineRule="auto"/>
        <w:jc w:val="center"/>
        <w:rPr>
          <w:rFonts w:ascii="Times New Roman" w:hAnsi="Times New Roman" w:eastAsia="宋体" w:cs="Times New Roman"/>
          <w:szCs w:val="22"/>
        </w:rPr>
      </w:pPr>
    </w:p>
    <w:p w14:paraId="5FA3441E">
      <w:pPr>
        <w:spacing w:line="360" w:lineRule="auto"/>
        <w:jc w:val="both"/>
        <w:rPr>
          <w:rFonts w:ascii="Times New Roman" w:hAnsi="Times New Roman" w:eastAsia="宋体" w:cs="Times New Roman"/>
          <w:szCs w:val="22"/>
        </w:rPr>
      </w:pPr>
    </w:p>
    <w:p w14:paraId="173B2647">
      <w:pPr>
        <w:spacing w:line="360" w:lineRule="auto"/>
        <w:rPr>
          <w:rFonts w:ascii="Times New Roman" w:hAnsi="Times New Roman" w:eastAsia="宋体" w:cs="Times New Roman"/>
          <w:szCs w:val="22"/>
        </w:rPr>
      </w:pPr>
    </w:p>
    <w:p w14:paraId="23AD26F0">
      <w:pPr>
        <w:spacing w:line="360" w:lineRule="auto"/>
        <w:rPr>
          <w:rFonts w:ascii="Times New Roman" w:hAnsi="Times New Roman" w:eastAsia="宋体" w:cs="Times New Roman"/>
          <w:szCs w:val="22"/>
        </w:rPr>
      </w:pPr>
    </w:p>
    <w:p w14:paraId="5A008D22">
      <w:pPr>
        <w:spacing w:line="360" w:lineRule="auto"/>
        <w:rPr>
          <w:rFonts w:ascii="Times New Roman" w:hAnsi="Times New Roman" w:eastAsia="宋体" w:cs="Times New Roman"/>
          <w:szCs w:val="22"/>
        </w:rPr>
      </w:pPr>
    </w:p>
    <w:p w14:paraId="60DD6BAF">
      <w:pPr>
        <w:spacing w:line="360" w:lineRule="auto"/>
        <w:jc w:val="left"/>
        <w:rPr>
          <w:rFonts w:ascii="Times New Roman" w:hAnsi="Times New Roman" w:eastAsia="黑体" w:cs="Times New Roman"/>
          <w:sz w:val="28"/>
          <w:szCs w:val="28"/>
        </w:rPr>
      </w:pPr>
    </w:p>
    <w:p w14:paraId="3D17F2F8">
      <w:pPr>
        <w:spacing w:line="360" w:lineRule="auto"/>
        <w:jc w:val="left"/>
        <w:rPr>
          <w:rFonts w:hint="eastAsia" w:ascii="黑体" w:hAnsi="黑体" w:eastAsia="黑体" w:cs="黑体"/>
          <w:sz w:val="52"/>
          <w:szCs w:val="52"/>
        </w:rPr>
      </w:pPr>
      <w:r>
        <w:rPr>
          <w:rFonts w:hint="eastAsia" w:ascii="黑体" w:hAnsi="黑体" w:eastAsia="黑体" w:cs="黑体"/>
          <w:sz w:val="28"/>
          <w:szCs w:val="28"/>
        </w:rPr>
        <w:t>202</w:t>
      </w:r>
      <w:r>
        <w:rPr>
          <w:rFonts w:hint="eastAsia" w:ascii="黑体" w:hAnsi="黑体" w:eastAsia="黑体" w:cs="黑体"/>
          <w:sz w:val="28"/>
          <w:szCs w:val="28"/>
          <w:lang w:val="en-US" w:eastAsia="zh-CN"/>
        </w:rPr>
        <w:t>5</w:t>
      </w:r>
      <w:r>
        <w:rPr>
          <w:rFonts w:hint="eastAsia" w:ascii="黑体" w:hAnsi="黑体" w:eastAsia="黑体" w:cs="黑体"/>
          <w:sz w:val="28"/>
          <w:szCs w:val="28"/>
        </w:rPr>
        <w:t>-</w:t>
      </w:r>
      <w:r>
        <w:rPr>
          <w:rFonts w:hint="eastAsia" w:ascii="黑体" w:hAnsi="黑体" w:eastAsia="黑体" w:cs="黑体"/>
          <w:sz w:val="28"/>
          <w:szCs w:val="28"/>
          <w:lang w:val="en-US" w:eastAsia="zh-CN"/>
        </w:rPr>
        <w:t>XX</w:t>
      </w:r>
      <w:r>
        <w:rPr>
          <w:rFonts w:hint="eastAsia" w:ascii="黑体" w:hAnsi="黑体" w:eastAsia="黑体" w:cs="黑体"/>
          <w:sz w:val="28"/>
          <w:szCs w:val="28"/>
        </w:rPr>
        <w:t>-</w:t>
      </w:r>
      <w:r>
        <w:rPr>
          <w:rFonts w:hint="eastAsia" w:ascii="黑体" w:hAnsi="黑体" w:eastAsia="黑体" w:cs="黑体"/>
          <w:sz w:val="28"/>
          <w:szCs w:val="28"/>
          <w:lang w:val="en-US" w:eastAsia="zh-CN"/>
        </w:rPr>
        <w:t>XX</w:t>
      </w:r>
      <w:r>
        <w:rPr>
          <w:rFonts w:hint="eastAsia" w:ascii="黑体" w:hAnsi="黑体" w:eastAsia="黑体" w:cs="黑体"/>
          <w:sz w:val="28"/>
          <w:szCs w:val="28"/>
        </w:rPr>
        <w:t xml:space="preserve">发布                               </w:t>
      </w:r>
      <w:r>
        <w:rPr>
          <w:rFonts w:hint="eastAsia" w:ascii="黑体" w:hAnsi="黑体" w:eastAsia="黑体" w:cs="黑体"/>
          <w:sz w:val="28"/>
          <w:szCs w:val="28"/>
          <w:lang w:val="en-US" w:eastAsia="zh-CN"/>
        </w:rPr>
        <w:t xml:space="preserve">  </w:t>
      </w:r>
      <w:r>
        <w:rPr>
          <w:rFonts w:hint="eastAsia" w:ascii="黑体" w:hAnsi="黑体" w:eastAsia="黑体" w:cs="黑体"/>
          <w:sz w:val="28"/>
          <w:szCs w:val="28"/>
        </w:rPr>
        <w:t>202</w:t>
      </w:r>
      <w:r>
        <w:rPr>
          <w:rFonts w:hint="eastAsia" w:ascii="黑体" w:hAnsi="黑体" w:eastAsia="黑体" w:cs="黑体"/>
          <w:sz w:val="28"/>
          <w:szCs w:val="28"/>
          <w:lang w:val="en-US" w:eastAsia="zh-CN"/>
        </w:rPr>
        <w:t>5</w:t>
      </w:r>
      <w:r>
        <w:rPr>
          <w:rFonts w:hint="eastAsia" w:ascii="黑体" w:hAnsi="黑体" w:eastAsia="黑体" w:cs="黑体"/>
          <w:sz w:val="28"/>
          <w:szCs w:val="28"/>
        </w:rPr>
        <w:t>-</w:t>
      </w:r>
      <w:r>
        <w:rPr>
          <w:rFonts w:hint="eastAsia" w:ascii="黑体" w:hAnsi="黑体" w:eastAsia="黑体" w:cs="黑体"/>
          <w:sz w:val="28"/>
          <w:szCs w:val="28"/>
          <w:lang w:val="en-US" w:eastAsia="zh-CN"/>
        </w:rPr>
        <w:t>XX-XX</w:t>
      </w:r>
      <w:r>
        <w:rPr>
          <w:rFonts w:hint="eastAsia" w:ascii="黑体" w:hAnsi="黑体" w:eastAsia="黑体" w:cs="黑体"/>
          <w:sz w:val="28"/>
          <w:szCs w:val="28"/>
        </w:rPr>
        <w:t>实施</w:t>
      </w:r>
    </w:p>
    <w:p w14:paraId="6590D86C">
      <w:pPr>
        <w:spacing w:line="360" w:lineRule="auto"/>
        <w:jc w:val="center"/>
        <w:rPr>
          <w:rFonts w:hint="eastAsia" w:ascii="黑体" w:hAnsi="黑体" w:eastAsia="黑体" w:cs="黑体"/>
          <w:szCs w:val="22"/>
        </w:rPr>
        <w:sectPr>
          <w:footerReference r:id="rId7" w:type="first"/>
          <w:footerReference r:id="rId5" w:type="default"/>
          <w:footerReference r:id="rId6" w:type="even"/>
          <w:type w:val="continuous"/>
          <w:pgSz w:w="11906" w:h="16838"/>
          <w:pgMar w:top="590" w:right="1800" w:bottom="1157" w:left="1463" w:header="851" w:footer="992" w:gutter="0"/>
          <w:pgBorders>
            <w:top w:val="none" w:sz="0" w:space="0"/>
            <w:left w:val="none" w:sz="0" w:space="0"/>
            <w:bottom w:val="none" w:sz="0" w:space="0"/>
            <w:right w:val="none" w:sz="0" w:space="0"/>
          </w:pgBorders>
          <w:pgNumType w:start="2" w:chapStyle="1"/>
          <w:cols w:space="425" w:num="1"/>
          <w:titlePg/>
          <w:docGrid w:type="lines" w:linePitch="312" w:charSpace="0"/>
        </w:sectPr>
      </w:pPr>
      <w:r>
        <w:rPr>
          <w:rFonts w:hint="eastAsia" w:ascii="隶属" w:hAnsi="隶属" w:eastAsia="隶属" w:cs="隶属"/>
          <w:b/>
          <w:bCs/>
          <w:szCs w:val="22"/>
        </w:rPr>
        <mc:AlternateContent>
          <mc:Choice Requires="wps">
            <w:drawing>
              <wp:anchor distT="0" distB="0" distL="114300" distR="114300" simplePos="0" relativeHeight="251660288" behindDoc="0" locked="0" layoutInCell="1" allowOverlap="1">
                <wp:simplePos x="0" y="0"/>
                <wp:positionH relativeFrom="column">
                  <wp:posOffset>-19050</wp:posOffset>
                </wp:positionH>
                <wp:positionV relativeFrom="paragraph">
                  <wp:posOffset>1270</wp:posOffset>
                </wp:positionV>
                <wp:extent cx="5504815" cy="20955"/>
                <wp:effectExtent l="0" t="4445" r="635" b="12700"/>
                <wp:wrapNone/>
                <wp:docPr id="2" name="直接箭头连接符 2"/>
                <wp:cNvGraphicFramePr/>
                <a:graphic xmlns:a="http://schemas.openxmlformats.org/drawingml/2006/main">
                  <a:graphicData uri="http://schemas.microsoft.com/office/word/2010/wordprocessingShape">
                    <wps:wsp>
                      <wps:cNvCnPr/>
                      <wps:spPr>
                        <a:xfrm flipV="1">
                          <a:off x="0" y="0"/>
                          <a:ext cx="5504815" cy="2095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5pt;margin-top:0.1pt;height:1.65pt;width:433.45pt;z-index:251660288;mso-width-relative:page;mso-height-relative:page;" filled="f" stroked="t" coordsize="21600,21600" o:gfxdata="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tHtugNUAAAAFAQAADwAAAAAAAAABACAAAAAiAAAA&#10;ZHJzL2Rvd25yZXYueG1sUEsBAhQAFAAAAAgAh07iQJRUPR8KAgAABAQAAA4AAAAAAAAAAQAgAAAA&#10;JAEAAGRycy9lMm9Eb2MueG1sUEsFBgAAAAAGAAYAWQEAAKAFAAAAAA==&#10;">
                <v:fill on="f" focussize="0,0"/>
                <v:stroke color="#000000" joinstyle="round"/>
                <v:imagedata o:title=""/>
                <o:lock v:ext="edit" aspectratio="f"/>
              </v:shape>
            </w:pict>
          </mc:Fallback>
        </mc:AlternateContent>
      </w:r>
      <w:r>
        <w:rPr>
          <w:rFonts w:hint="eastAsia" w:ascii="隶属" w:hAnsi="隶属" w:eastAsia="隶属" w:cs="隶属"/>
          <w:b/>
          <w:bCs/>
          <w:sz w:val="52"/>
          <w:szCs w:val="52"/>
        </w:rPr>
        <w:t>中国国际科技促进会</w:t>
      </w:r>
      <w:r>
        <w:rPr>
          <w:rFonts w:hint="eastAsia" w:ascii="黑体" w:hAnsi="黑体" w:eastAsia="黑体" w:cs="黑体"/>
          <w:sz w:val="52"/>
          <w:szCs w:val="52"/>
        </w:rPr>
        <w:t xml:space="preserve"> </w:t>
      </w:r>
      <w:r>
        <w:rPr>
          <w:rFonts w:hint="eastAsia" w:ascii="黑体" w:hAnsi="黑体" w:eastAsia="黑体" w:cs="黑体"/>
          <w:sz w:val="28"/>
          <w:szCs w:val="28"/>
          <w:lang w:val="en-US" w:eastAsia="zh-CN"/>
        </w:rPr>
        <w:t>发 布</w:t>
      </w:r>
      <w:r>
        <w:rPr>
          <w:rFonts w:hint="eastAsia" w:ascii="黑体" w:hAnsi="黑体" w:eastAsia="黑体" w:cs="黑体"/>
          <w:sz w:val="52"/>
          <w:szCs w:val="52"/>
        </w:rPr>
        <w:t xml:space="preserve"> </w:t>
      </w:r>
    </w:p>
    <w:p w14:paraId="4BD89259">
      <w:pPr>
        <w:pStyle w:val="92"/>
        <w:spacing w:before="850" w:after="680" w:afterLines="0"/>
      </w:pPr>
      <w:bookmarkStart w:id="0" w:name="BookMark1"/>
      <w:r>
        <w:rPr>
          <w:rFonts w:hint="eastAsia"/>
          <w:spacing w:val="320"/>
        </w:rPr>
        <w:t>目</w:t>
      </w:r>
      <w:r>
        <w:rPr>
          <w:rFonts w:hint="eastAsia"/>
        </w:rPr>
        <w:t>次</w:t>
      </w:r>
    </w:p>
    <w:p w14:paraId="3E05D57D">
      <w:pPr>
        <w:pStyle w:val="20"/>
        <w:tabs>
          <w:tab w:val="right" w:leader="dot" w:pos="935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"1-1" \h \t "标准文件_一级条标题,2,标准文件_附录一级条标题,2,"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_Toc0 </w:instrText>
      </w:r>
      <w:r>
        <w:rPr>
          <w:rFonts w:hint="eastAsia" w:ascii="宋体" w:hAnsi="宋体" w:eastAsia="宋体" w:cs="宋体"/>
        </w:rPr>
        <w:fldChar w:fldCharType="separate"/>
      </w:r>
      <w:r>
        <w:rPr>
          <w:rFonts w:hint="eastAsia" w:ascii="宋体" w:hAnsi="宋体" w:eastAsia="宋体" w:cs="宋体"/>
          <w:spacing w:val="320"/>
        </w:rPr>
        <w:t>前</w:t>
      </w:r>
      <w:r>
        <w:rPr>
          <w:rFonts w:hint="eastAsia" w:ascii="宋体" w:hAnsi="宋体" w:eastAsia="宋体" w:cs="宋体"/>
        </w:rPr>
        <w:t>言</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_Toc0 \h </w:instrText>
      </w:r>
      <w:r>
        <w:rPr>
          <w:rFonts w:hint="eastAsia" w:ascii="宋体" w:hAnsi="宋体" w:eastAsia="宋体" w:cs="宋体"/>
        </w:rPr>
        <w:fldChar w:fldCharType="separate"/>
      </w:r>
      <w:r>
        <w:rPr>
          <w:rFonts w:hint="eastAsia" w:ascii="宋体" w:hAnsi="宋体" w:eastAsia="宋体" w:cs="宋体"/>
        </w:rPr>
        <w:t>II</w:t>
      </w:r>
      <w:r>
        <w:rPr>
          <w:rFonts w:hint="eastAsia" w:ascii="宋体" w:hAnsi="宋体" w:eastAsia="宋体" w:cs="宋体"/>
        </w:rPr>
        <w:fldChar w:fldCharType="end"/>
      </w:r>
      <w:r>
        <w:rPr>
          <w:rFonts w:hint="eastAsia" w:ascii="宋体" w:hAnsi="宋体" w:eastAsia="宋体" w:cs="宋体"/>
        </w:rPr>
        <w:fldChar w:fldCharType="end"/>
      </w:r>
    </w:p>
    <w:p w14:paraId="5253B071">
      <w:pPr>
        <w:pStyle w:val="20"/>
        <w:tabs>
          <w:tab w:val="right" w:leader="dot" w:pos="935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_Toc6076 </w:instrText>
      </w:r>
      <w:r>
        <w:rPr>
          <w:rFonts w:hint="eastAsia" w:ascii="宋体" w:hAnsi="宋体" w:eastAsia="宋体" w:cs="宋体"/>
        </w:rPr>
        <w:fldChar w:fldCharType="separate"/>
      </w:r>
      <w:r>
        <w:rPr>
          <w:rFonts w:hint="eastAsia" w:ascii="宋体" w:hAnsi="宋体" w:eastAsia="宋体" w:cs="宋体"/>
          <w:i w:val="0"/>
        </w:rPr>
        <w:t xml:space="preserve">1 </w:t>
      </w:r>
      <w:r>
        <w:rPr>
          <w:rFonts w:hint="eastAsia" w:ascii="宋体" w:hAnsi="宋体" w:eastAsia="宋体" w:cs="宋体"/>
        </w:rPr>
        <w:t>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_Toc6076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rPr>
        <w:fldChar w:fldCharType="end"/>
      </w:r>
    </w:p>
    <w:p w14:paraId="4588EB4C">
      <w:pPr>
        <w:pStyle w:val="20"/>
        <w:tabs>
          <w:tab w:val="right" w:leader="dot" w:pos="935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_Toc32160 </w:instrText>
      </w:r>
      <w:r>
        <w:rPr>
          <w:rFonts w:hint="eastAsia" w:ascii="宋体" w:hAnsi="宋体" w:eastAsia="宋体" w:cs="宋体"/>
        </w:rPr>
        <w:fldChar w:fldCharType="separate"/>
      </w:r>
      <w:r>
        <w:rPr>
          <w:rFonts w:hint="eastAsia" w:ascii="宋体" w:hAnsi="宋体" w:eastAsia="宋体" w:cs="宋体"/>
          <w:i w:val="0"/>
        </w:rPr>
        <w:t xml:space="preserve">2 </w:t>
      </w:r>
      <w:r>
        <w:rPr>
          <w:rFonts w:hint="eastAsia" w:ascii="宋体" w:hAnsi="宋体" w:eastAsia="宋体" w:cs="宋体"/>
        </w:rPr>
        <w:t>规范性引用文件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_Toc32160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rPr>
        <w:fldChar w:fldCharType="end"/>
      </w:r>
    </w:p>
    <w:p w14:paraId="1C670907">
      <w:pPr>
        <w:pStyle w:val="20"/>
        <w:tabs>
          <w:tab w:val="right" w:leader="dot" w:pos="935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_Toc31452 </w:instrText>
      </w:r>
      <w:r>
        <w:rPr>
          <w:rFonts w:hint="eastAsia" w:ascii="宋体" w:hAnsi="宋体" w:eastAsia="宋体" w:cs="宋体"/>
        </w:rPr>
        <w:fldChar w:fldCharType="separate"/>
      </w:r>
      <w:r>
        <w:rPr>
          <w:rFonts w:hint="eastAsia" w:ascii="宋体" w:hAnsi="宋体" w:eastAsia="宋体" w:cs="宋体"/>
          <w:i w:val="0"/>
        </w:rPr>
        <w:t xml:space="preserve">3 </w:t>
      </w:r>
      <w:r>
        <w:rPr>
          <w:rFonts w:hint="eastAsia" w:ascii="宋体" w:hAnsi="宋体" w:eastAsia="宋体" w:cs="宋体"/>
          <w:szCs w:val="21"/>
        </w:rPr>
        <w:t>术语和定义</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_Toc31452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rPr>
        <w:fldChar w:fldCharType="end"/>
      </w:r>
    </w:p>
    <w:p w14:paraId="1D9958E5">
      <w:pPr>
        <w:pStyle w:val="20"/>
        <w:tabs>
          <w:tab w:val="right" w:leader="dot" w:pos="935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_Toc5085 </w:instrText>
      </w:r>
      <w:r>
        <w:rPr>
          <w:rFonts w:hint="eastAsia" w:ascii="宋体" w:hAnsi="宋体" w:eastAsia="宋体" w:cs="宋体"/>
        </w:rPr>
        <w:fldChar w:fldCharType="separate"/>
      </w:r>
      <w:r>
        <w:rPr>
          <w:rFonts w:hint="eastAsia" w:ascii="宋体" w:hAnsi="宋体" w:eastAsia="宋体" w:cs="宋体"/>
          <w:i w:val="0"/>
        </w:rPr>
        <w:t xml:space="preserve">4 </w:t>
      </w:r>
      <w:r>
        <w:rPr>
          <w:rFonts w:hint="eastAsia" w:ascii="宋体" w:hAnsi="宋体" w:eastAsia="宋体" w:cs="宋体"/>
          <w:kern w:val="0"/>
          <w:szCs w:val="20"/>
          <w:highlight w:val="none"/>
        </w:rPr>
        <w:t>总则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_Toc5085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rPr>
        <w:fldChar w:fldCharType="end"/>
      </w:r>
    </w:p>
    <w:p w14:paraId="2D449F2F">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_Toc32361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lang w:val="en-US" w:eastAsia="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4.1 </w:t>
      </w:r>
      <w:r>
        <w:rPr>
          <w:rFonts w:hint="eastAsia" w:ascii="宋体" w:hAnsi="宋体" w:eastAsia="宋体" w:cs="宋体"/>
          <w:lang w:val="en-US" w:eastAsia="zh-CN"/>
        </w:rPr>
        <w:t>工作原则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_Toc32361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rPr>
        <w:fldChar w:fldCharType="end"/>
      </w:r>
    </w:p>
    <w:p w14:paraId="6A04E92C">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_Toc9998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lang w:val="en-US" w:eastAsia="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4.2 </w:t>
      </w:r>
      <w:r>
        <w:rPr>
          <w:rFonts w:hint="eastAsia" w:ascii="宋体" w:hAnsi="宋体" w:eastAsia="宋体" w:cs="宋体"/>
          <w:lang w:val="en-US" w:eastAsia="zh-CN"/>
        </w:rPr>
        <w:t>工作目的</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_Toc9998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rPr>
        <w:fldChar w:fldCharType="end"/>
      </w:r>
    </w:p>
    <w:p w14:paraId="3DABA906">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_Toc6520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lang w:val="en-US" w:eastAsia="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4.3 </w:t>
      </w:r>
      <w:r>
        <w:rPr>
          <w:rFonts w:hint="eastAsia" w:ascii="宋体" w:hAnsi="宋体" w:eastAsia="宋体" w:cs="宋体"/>
          <w:lang w:val="en-US" w:eastAsia="zh-CN"/>
        </w:rPr>
        <w:t>基本要求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_Toc6520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rPr>
        <w:fldChar w:fldCharType="end"/>
      </w:r>
    </w:p>
    <w:p w14:paraId="75A4600D">
      <w:pPr>
        <w:pStyle w:val="20"/>
        <w:tabs>
          <w:tab w:val="right" w:leader="dot" w:pos="935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_Toc19870 </w:instrText>
      </w:r>
      <w:r>
        <w:rPr>
          <w:rFonts w:hint="eastAsia" w:ascii="宋体" w:hAnsi="宋体" w:eastAsia="宋体" w:cs="宋体"/>
        </w:rPr>
        <w:fldChar w:fldCharType="separate"/>
      </w:r>
      <w:r>
        <w:rPr>
          <w:rFonts w:hint="eastAsia" w:ascii="宋体" w:hAnsi="宋体" w:eastAsia="宋体" w:cs="宋体"/>
          <w:i w:val="0"/>
        </w:rPr>
        <w:t xml:space="preserve">5 </w:t>
      </w:r>
      <w:r>
        <w:rPr>
          <w:rFonts w:hint="eastAsia" w:ascii="宋体" w:hAnsi="宋体" w:eastAsia="宋体" w:cs="宋体"/>
        </w:rPr>
        <w:t>大坝现状调查与评估</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_Toc19870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rPr>
        <w:fldChar w:fldCharType="end"/>
      </w:r>
    </w:p>
    <w:p w14:paraId="2E81B72D">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_Toc23983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5.1 </w:t>
      </w:r>
      <w:r>
        <w:rPr>
          <w:rFonts w:hint="eastAsia" w:ascii="宋体" w:hAnsi="宋体" w:eastAsia="宋体" w:cs="宋体"/>
        </w:rPr>
        <w:t>调查内容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_Toc23983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rPr>
        <w:fldChar w:fldCharType="end"/>
      </w:r>
    </w:p>
    <w:p w14:paraId="1F725FFF">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_Toc31712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5.2 </w:t>
      </w:r>
      <w:r>
        <w:rPr>
          <w:rFonts w:hint="eastAsia" w:ascii="宋体" w:hAnsi="宋体" w:eastAsia="宋体" w:cs="宋体"/>
        </w:rPr>
        <w:t>评估方法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_Toc31712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rPr>
        <w:fldChar w:fldCharType="end"/>
      </w:r>
    </w:p>
    <w:p w14:paraId="58D63DE8">
      <w:pPr>
        <w:pStyle w:val="20"/>
        <w:tabs>
          <w:tab w:val="right" w:leader="dot" w:pos="935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_Toc31315 </w:instrText>
      </w:r>
      <w:r>
        <w:rPr>
          <w:rFonts w:hint="eastAsia" w:ascii="宋体" w:hAnsi="宋体" w:eastAsia="宋体" w:cs="宋体"/>
        </w:rPr>
        <w:fldChar w:fldCharType="separate"/>
      </w:r>
      <w:r>
        <w:rPr>
          <w:rFonts w:hint="eastAsia" w:ascii="宋体" w:hAnsi="宋体" w:eastAsia="宋体" w:cs="宋体"/>
          <w:i w:val="0"/>
        </w:rPr>
        <w:t xml:space="preserve">6 </w:t>
      </w:r>
      <w:r>
        <w:rPr>
          <w:rFonts w:hint="eastAsia" w:ascii="宋体" w:hAnsi="宋体" w:eastAsia="宋体" w:cs="宋体"/>
        </w:rPr>
        <w:t>除险加固</w:t>
      </w:r>
      <w:r>
        <w:rPr>
          <w:rFonts w:hint="eastAsia" w:ascii="宋体" w:hAnsi="宋体" w:eastAsia="宋体" w:cs="宋体"/>
          <w:lang w:val="en-US" w:eastAsia="zh-CN"/>
        </w:rPr>
        <w:t>技术咨询要求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_Toc31315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rPr>
        <w:fldChar w:fldCharType="end"/>
      </w:r>
    </w:p>
    <w:p w14:paraId="14B271C2">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_Toc26455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6.1 </w:t>
      </w:r>
      <w:r>
        <w:rPr>
          <w:rFonts w:hint="eastAsia" w:ascii="宋体" w:hAnsi="宋体" w:eastAsia="宋体" w:cs="宋体"/>
        </w:rPr>
        <w:t>设计目标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_Toc26455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rPr>
        <w:fldChar w:fldCharType="end"/>
      </w:r>
    </w:p>
    <w:p w14:paraId="449C1DEE">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_Toc19682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6.2 </w:t>
      </w:r>
      <w:r>
        <w:rPr>
          <w:rFonts w:hint="eastAsia" w:ascii="宋体" w:hAnsi="宋体" w:eastAsia="宋体" w:cs="宋体"/>
        </w:rPr>
        <w:t>设计内容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_Toc19682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rPr>
        <w:fldChar w:fldCharType="end"/>
      </w:r>
    </w:p>
    <w:p w14:paraId="249A8C65">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_Toc9579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6.3 </w:t>
      </w:r>
      <w:r>
        <w:rPr>
          <w:rFonts w:hint="eastAsia" w:ascii="宋体" w:hAnsi="宋体" w:eastAsia="宋体" w:cs="宋体"/>
        </w:rPr>
        <w:t>材料要求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_Toc9579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11000DAD">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_Toc4991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6.4 </w:t>
      </w:r>
      <w:r>
        <w:rPr>
          <w:rFonts w:hint="eastAsia" w:ascii="宋体" w:hAnsi="宋体" w:eastAsia="宋体" w:cs="宋体"/>
        </w:rPr>
        <w:t>除险加固实施技术参数表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_Toc4991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0E30AF69">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_Toc26791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6.5 </w:t>
      </w:r>
      <w:r>
        <w:rPr>
          <w:rFonts w:hint="eastAsia" w:ascii="宋体" w:hAnsi="宋体" w:eastAsia="宋体" w:cs="宋体"/>
        </w:rPr>
        <w:t>图示</w:t>
      </w:r>
      <w:r>
        <w:rPr>
          <w:rFonts w:hint="eastAsia" w:ascii="宋体" w:hAnsi="宋体" w:eastAsia="宋体" w:cs="宋体"/>
          <w:lang w:val="en-US" w:eastAsia="zh-CN"/>
        </w:rPr>
        <w:t>资料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_Toc26791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1EEC7F36">
      <w:pPr>
        <w:pStyle w:val="20"/>
        <w:tabs>
          <w:tab w:val="right" w:leader="dot" w:pos="935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_Toc14261 </w:instrText>
      </w:r>
      <w:r>
        <w:rPr>
          <w:rFonts w:hint="eastAsia" w:ascii="宋体" w:hAnsi="宋体" w:eastAsia="宋体" w:cs="宋体"/>
        </w:rPr>
        <w:fldChar w:fldCharType="separate"/>
      </w:r>
      <w:r>
        <w:rPr>
          <w:rFonts w:hint="eastAsia" w:ascii="宋体" w:hAnsi="宋体" w:eastAsia="宋体" w:cs="宋体"/>
          <w:i w:val="0"/>
        </w:rPr>
        <w:t xml:space="preserve">7 </w:t>
      </w:r>
      <w:r>
        <w:rPr>
          <w:rFonts w:hint="eastAsia" w:ascii="宋体" w:hAnsi="宋体" w:eastAsia="宋体" w:cs="宋体"/>
        </w:rPr>
        <w:t>技术咨询</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_Toc14261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6137CEA3">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_Toc6379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7.1 </w:t>
      </w:r>
      <w:r>
        <w:rPr>
          <w:rFonts w:hint="eastAsia" w:ascii="宋体" w:hAnsi="宋体" w:eastAsia="宋体" w:cs="宋体"/>
          <w:lang w:val="en-US" w:eastAsia="zh-CN"/>
        </w:rPr>
        <w:t>技术咨询</w:t>
      </w:r>
      <w:r>
        <w:rPr>
          <w:rFonts w:hint="eastAsia" w:ascii="宋体" w:hAnsi="宋体" w:eastAsia="宋体" w:cs="宋体"/>
        </w:rPr>
        <w:t>程序前</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_Toc6379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5736EA63">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_Toc7260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7.2 </w:t>
      </w:r>
      <w:r>
        <w:rPr>
          <w:rFonts w:hint="eastAsia" w:ascii="宋体" w:hAnsi="宋体" w:eastAsia="宋体" w:cs="宋体"/>
          <w:lang w:val="en-US" w:eastAsia="zh-CN"/>
        </w:rPr>
        <w:t>咨询</w:t>
      </w:r>
      <w:r>
        <w:rPr>
          <w:rFonts w:hint="eastAsia" w:ascii="宋体" w:hAnsi="宋体" w:eastAsia="宋体" w:cs="宋体"/>
        </w:rPr>
        <w:t>过程</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_Toc7260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7AEC391B">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_Toc9789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7.3 </w:t>
      </w:r>
      <w:r>
        <w:rPr>
          <w:rFonts w:hint="eastAsia" w:ascii="宋体" w:hAnsi="宋体" w:eastAsia="宋体" w:cs="宋体"/>
          <w:lang w:val="en-US" w:eastAsia="zh-CN"/>
        </w:rPr>
        <w:t>咨询</w:t>
      </w:r>
      <w:r>
        <w:rPr>
          <w:rFonts w:hint="eastAsia" w:ascii="宋体" w:hAnsi="宋体" w:eastAsia="宋体" w:cs="宋体"/>
        </w:rPr>
        <w:t>后的结果</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_Toc9789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4F037C56">
      <w:pPr>
        <w:pStyle w:val="20"/>
        <w:tabs>
          <w:tab w:val="right" w:leader="dot" w:pos="935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_Toc28586 </w:instrText>
      </w:r>
      <w:r>
        <w:rPr>
          <w:rFonts w:hint="eastAsia" w:ascii="宋体" w:hAnsi="宋体" w:eastAsia="宋体" w:cs="宋体"/>
        </w:rPr>
        <w:fldChar w:fldCharType="separate"/>
      </w:r>
      <w:r>
        <w:rPr>
          <w:rFonts w:hint="eastAsia" w:ascii="宋体" w:hAnsi="宋体" w:eastAsia="宋体" w:cs="宋体"/>
          <w:i w:val="0"/>
        </w:rPr>
        <w:t xml:space="preserve">8 </w:t>
      </w:r>
      <w:r>
        <w:rPr>
          <w:rFonts w:hint="eastAsia" w:ascii="宋体" w:hAnsi="宋体" w:eastAsia="宋体" w:cs="宋体"/>
        </w:rPr>
        <w:t>咨询成果</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_Toc28586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07AFB3CA">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_Toc13090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8.1 </w:t>
      </w:r>
      <w:r>
        <w:rPr>
          <w:rFonts w:hint="eastAsia" w:ascii="宋体" w:hAnsi="宋体" w:eastAsia="宋体" w:cs="宋体"/>
        </w:rPr>
        <w:t>验收要求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_Toc13090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14:paraId="7CE9E7A9">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_Toc19119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8.2 </w:t>
      </w:r>
      <w:r>
        <w:rPr>
          <w:rFonts w:hint="eastAsia" w:ascii="宋体" w:hAnsi="宋体" w:eastAsia="宋体" w:cs="宋体"/>
        </w:rPr>
        <w:t>评价指标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_Toc19119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rPr>
        <w:fldChar w:fldCharType="end"/>
      </w:r>
    </w:p>
    <w:p w14:paraId="1CDC0AB5">
      <w:pPr>
        <w:pStyle w:val="25"/>
        <w:tabs>
          <w:tab w:val="right" w:leader="dot" w:pos="9354"/>
          <w:tab w:val="clear" w:pos="9344"/>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_Toc23195 </w:instrText>
      </w:r>
      <w:r>
        <w:rPr>
          <w:rFonts w:hint="eastAsia" w:ascii="宋体" w:hAnsi="宋体" w:eastAsia="宋体" w:cs="宋体"/>
        </w:rPr>
        <w:fldChar w:fldCharType="separate"/>
      </w:r>
      <w:r>
        <w:rPr>
          <w:rFonts w:hint="eastAsia" w:ascii="宋体" w:hAnsi="宋体" w:eastAsia="宋体" w:cs="宋体"/>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8.3 </w:t>
      </w:r>
      <w:r>
        <w:rPr>
          <w:rFonts w:hint="eastAsia" w:ascii="宋体" w:hAnsi="宋体" w:eastAsia="宋体" w:cs="宋体"/>
        </w:rPr>
        <w:t>附录与报告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_Toc23195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rPr>
        <w:fldChar w:fldCharType="end"/>
      </w:r>
    </w:p>
    <w:p w14:paraId="6958A567">
      <w:pPr>
        <w:pStyle w:val="92"/>
        <w:spacing w:after="360"/>
        <w:sectPr>
          <w:headerReference r:id="rId8" w:type="default"/>
          <w:footerReference r:id="rId10" w:type="default"/>
          <w:headerReference r:id="rId9" w:type="even"/>
          <w:pgSz w:w="11906" w:h="16838"/>
          <w:pgMar w:top="1928" w:right="1134" w:bottom="1134" w:left="1134" w:header="1418" w:footer="1134" w:gutter="284"/>
          <w:pgNumType w:fmt="upperRoman" w:start="1"/>
          <w:cols w:space="425" w:num="1"/>
          <w:formProt w:val="0"/>
          <w:docGrid w:linePitch="312" w:charSpace="0"/>
        </w:sectPr>
      </w:pPr>
      <w:r>
        <w:rPr>
          <w:rFonts w:hint="eastAsia" w:ascii="宋体" w:hAnsi="宋体" w:eastAsia="宋体" w:cs="宋体"/>
        </w:rPr>
        <w:fldChar w:fldCharType="end"/>
      </w:r>
    </w:p>
    <w:bookmarkEnd w:id="0"/>
    <w:p w14:paraId="5A9E7914">
      <w:pPr>
        <w:pStyle w:val="90"/>
        <w:numPr>
          <w:ilvl w:val="0"/>
          <w:numId w:val="0"/>
        </w:numPr>
        <w:spacing w:before="850" w:after="680" w:afterLines="0"/>
      </w:pPr>
      <w:bookmarkStart w:id="1" w:name="_Toc0"/>
      <w:bookmarkStart w:id="2" w:name="BookMark2"/>
      <w:r>
        <w:rPr>
          <w:spacing w:val="320"/>
        </w:rPr>
        <w:t>前</w:t>
      </w:r>
      <w:r>
        <w:t>言</w:t>
      </w:r>
      <w:bookmarkEnd w:id="1"/>
    </w:p>
    <w:p w14:paraId="0E151F43">
      <w:pPr>
        <w:pStyle w:val="57"/>
        <w:ind w:firstLine="420"/>
        <w:rPr>
          <w:rFonts w:hint="eastAsia"/>
        </w:rPr>
      </w:pPr>
      <w:r>
        <w:rPr>
          <w:rFonts w:hint="eastAsia"/>
        </w:rPr>
        <w:t>本文件按照GB/T 1.1—2020《标准化工作导则  第1部分：标准化文件的结构和起草规则》的规定起草。</w:t>
      </w:r>
    </w:p>
    <w:p w14:paraId="68EA6E55">
      <w:pPr>
        <w:pStyle w:val="57"/>
        <w:ind w:firstLine="420"/>
        <w:rPr>
          <w:rFonts w:hint="eastAsia"/>
        </w:rPr>
      </w:pPr>
      <w:r>
        <w:rPr>
          <w:rFonts w:hint="eastAsia"/>
        </w:rPr>
        <w:t>请注意本文件的某些内容可能涉及专利。本文件的发布机构不承担识别专利的责任。</w:t>
      </w:r>
    </w:p>
    <w:p w14:paraId="493DF4DE">
      <w:pPr>
        <w:pStyle w:val="57"/>
        <w:ind w:firstLine="420"/>
      </w:pPr>
      <w:r>
        <w:rPr>
          <w:rFonts w:hint="eastAsia"/>
        </w:rPr>
        <w:t>本文件由</w:t>
      </w:r>
      <w:r>
        <w:rPr>
          <w:rFonts w:hint="eastAsia"/>
          <w:lang w:eastAsia="zh-CN"/>
        </w:rPr>
        <w:t>中国国际科技促进会</w:t>
      </w:r>
      <w:r>
        <w:rPr>
          <w:rFonts w:hint="eastAsia"/>
        </w:rPr>
        <w:t>提出</w:t>
      </w:r>
      <w:r>
        <w:rPr>
          <w:rFonts w:hint="eastAsia"/>
          <w:lang w:val="en-US" w:eastAsia="zh-CN"/>
        </w:rPr>
        <w:t>并</w:t>
      </w:r>
      <w:r>
        <w:rPr>
          <w:rFonts w:hint="eastAsia"/>
        </w:rPr>
        <w:t>归口。</w:t>
      </w:r>
    </w:p>
    <w:p w14:paraId="5DB851DC">
      <w:pPr>
        <w:pStyle w:val="57"/>
        <w:ind w:firstLine="420"/>
        <w:rPr>
          <w:rFonts w:hint="eastAsia" w:eastAsia="宋体"/>
          <w:lang w:val="en-US" w:eastAsia="zh-CN"/>
        </w:rPr>
      </w:pPr>
      <w:r>
        <w:rPr>
          <w:rFonts w:hint="eastAsia"/>
        </w:rPr>
        <w:t>本文件起草单位：</w:t>
      </w:r>
      <w:r>
        <w:rPr>
          <w:rFonts w:hint="eastAsia"/>
          <w:lang w:val="en-US" w:eastAsia="zh-CN"/>
        </w:rPr>
        <w:t>。</w:t>
      </w:r>
    </w:p>
    <w:p w14:paraId="5D0816EF">
      <w:pPr>
        <w:pStyle w:val="57"/>
        <w:ind w:firstLine="420"/>
        <w:rPr>
          <w:rFonts w:hint="default" w:eastAsia="宋体"/>
          <w:lang w:val="en-US" w:eastAsia="zh-CN"/>
        </w:rPr>
        <w:sectPr>
          <w:pgSz w:w="11906" w:h="16838"/>
          <w:pgMar w:top="1928" w:right="1134" w:bottom="1134" w:left="1134" w:header="1418" w:footer="1134" w:gutter="284"/>
          <w:pgNumType w:fmt="upperRoman"/>
          <w:cols w:space="425" w:num="1"/>
          <w:formProt w:val="0"/>
          <w:docGrid w:linePitch="312" w:charSpace="0"/>
        </w:sectPr>
      </w:pPr>
      <w:r>
        <w:rPr>
          <w:rFonts w:hint="eastAsia"/>
        </w:rPr>
        <w:t>本文件主要起草人：</w:t>
      </w:r>
      <w:r>
        <w:rPr>
          <w:rFonts w:hint="eastAsia"/>
          <w:lang w:val="en-US" w:eastAsia="zh-CN"/>
        </w:rPr>
        <w:t>。</w:t>
      </w:r>
    </w:p>
    <w:bookmarkEnd w:id="2"/>
    <w:p w14:paraId="276D5ECF">
      <w:pPr>
        <w:spacing w:line="20" w:lineRule="exact"/>
        <w:jc w:val="center"/>
        <w:rPr>
          <w:rFonts w:ascii="黑体" w:hAnsi="黑体" w:eastAsia="黑体"/>
          <w:sz w:val="32"/>
          <w:szCs w:val="32"/>
        </w:rPr>
      </w:pPr>
      <w:bookmarkStart w:id="3" w:name="BookMark4"/>
    </w:p>
    <w:p w14:paraId="782B82E4">
      <w:pPr>
        <w:spacing w:line="20" w:lineRule="exact"/>
        <w:jc w:val="center"/>
        <w:rPr>
          <w:rFonts w:ascii="黑体" w:hAnsi="黑体" w:eastAsia="黑体"/>
          <w:sz w:val="32"/>
          <w:szCs w:val="32"/>
        </w:rPr>
      </w:pPr>
    </w:p>
    <w:sdt>
      <w:sdtPr>
        <w:tag w:val="NEW_STAND_NAME"/>
        <w:id w:val="595910757"/>
        <w:lock w:val="sdtLocked"/>
        <w:placeholder>
          <w:docPart w:val="0F4CD9B740F34F3A8AFD8CAD36691A25"/>
        </w:placeholder>
      </w:sdtPr>
      <w:sdtContent>
        <w:p w14:paraId="4A5FC9FD">
          <w:pPr>
            <w:pStyle w:val="178"/>
            <w:spacing w:before="850" w:after="680" w:line="240" w:lineRule="auto"/>
          </w:pPr>
          <w:bookmarkStart w:id="4" w:name="NEW_STAND_NAME"/>
          <w:r>
            <w:rPr>
              <w:rFonts w:hint="eastAsia"/>
            </w:rPr>
            <w:t>水库大坝除险加固技术</w:t>
          </w:r>
          <w:r>
            <w:rPr>
              <w:rFonts w:hint="eastAsia"/>
              <w:lang w:val="en-US" w:eastAsia="zh-CN"/>
            </w:rPr>
            <w:t>规程</w:t>
          </w:r>
        </w:p>
      </w:sdtContent>
    </w:sdt>
    <w:bookmarkEnd w:id="4"/>
    <w:p w14:paraId="75658882">
      <w:pPr>
        <w:pStyle w:val="105"/>
        <w:spacing w:before="240" w:after="240"/>
      </w:pPr>
      <w:bookmarkStart w:id="5" w:name="_Toc26718930"/>
      <w:bookmarkStart w:id="6" w:name="_Toc6076"/>
      <w:bookmarkStart w:id="7" w:name="_Toc26648465"/>
      <w:bookmarkStart w:id="8" w:name="_Toc24884211"/>
      <w:bookmarkStart w:id="9" w:name="_Toc17233333"/>
      <w:bookmarkStart w:id="10" w:name="_Toc97192964"/>
      <w:bookmarkStart w:id="11" w:name="_Toc26986530"/>
      <w:bookmarkStart w:id="12" w:name="_Toc24884218"/>
      <w:bookmarkStart w:id="13" w:name="_Toc26986771"/>
      <w:bookmarkStart w:id="14" w:name="_Toc17233325"/>
      <w:r>
        <w:rPr>
          <w:rFonts w:hint="eastAsia"/>
        </w:rPr>
        <w:t>范围</w:t>
      </w:r>
      <w:bookmarkEnd w:id="5"/>
      <w:bookmarkEnd w:id="6"/>
      <w:bookmarkEnd w:id="7"/>
      <w:bookmarkEnd w:id="8"/>
      <w:bookmarkEnd w:id="9"/>
      <w:bookmarkEnd w:id="10"/>
      <w:bookmarkEnd w:id="11"/>
      <w:bookmarkEnd w:id="12"/>
      <w:bookmarkEnd w:id="13"/>
      <w:bookmarkEnd w:id="14"/>
    </w:p>
    <w:p w14:paraId="5AF2A485">
      <w:pPr>
        <w:pStyle w:val="57"/>
        <w:ind w:firstLine="420"/>
        <w:rPr>
          <w:rFonts w:hint="eastAsia"/>
        </w:rPr>
      </w:pPr>
      <w:bookmarkStart w:id="15" w:name="_Toc24884212"/>
      <w:bookmarkStart w:id="16" w:name="_Toc24884219"/>
      <w:bookmarkStart w:id="17" w:name="_Toc26648466"/>
      <w:bookmarkStart w:id="18" w:name="_Toc17233326"/>
      <w:bookmarkStart w:id="19" w:name="_Toc17233334"/>
      <w:r>
        <w:rPr>
          <w:rFonts w:hint="eastAsia"/>
          <w:lang w:eastAsia="zh-CN"/>
        </w:rPr>
        <w:t>本</w:t>
      </w:r>
      <w:r>
        <w:rPr>
          <w:rFonts w:hint="eastAsia"/>
        </w:rPr>
        <w:t>文件规定了的主要内容包括总则、核心建设内容的配套措施、试验与检验方法、材料要求、程序实施要求及效果评估等。</w:t>
      </w:r>
    </w:p>
    <w:p w14:paraId="31D30C2F">
      <w:pPr>
        <w:pStyle w:val="57"/>
        <w:ind w:firstLine="420"/>
        <w:rPr>
          <w:rFonts w:hint="eastAsia"/>
        </w:rPr>
      </w:pPr>
      <w:r>
        <w:rPr>
          <w:rFonts w:hint="eastAsia"/>
        </w:rPr>
        <w:t>本文件适用于水库大坝除险加固的技术咨询工作，包括混凝土坝、土石坝等类型的大坝。主要适用于坝体裂缝、渗漏、坝基不稳定及其他结构性问题的除险加固技术指导。</w:t>
      </w:r>
    </w:p>
    <w:p w14:paraId="0753F85C">
      <w:pPr>
        <w:pStyle w:val="105"/>
        <w:spacing w:before="240" w:after="240"/>
      </w:pPr>
      <w:bookmarkStart w:id="20" w:name="_Toc32160"/>
      <w:bookmarkStart w:id="21" w:name="_Toc26718931"/>
      <w:bookmarkStart w:id="22" w:name="_Toc26986772"/>
      <w:bookmarkStart w:id="23" w:name="_Toc97192965"/>
      <w:bookmarkStart w:id="24" w:name="_Toc26986531"/>
      <w:r>
        <w:rPr>
          <w:rFonts w:hint="eastAsia"/>
        </w:rPr>
        <w:t>规范性引用文件</w:t>
      </w:r>
      <w:bookmarkEnd w:id="15"/>
      <w:bookmarkEnd w:id="16"/>
      <w:bookmarkEnd w:id="17"/>
      <w:bookmarkEnd w:id="18"/>
      <w:bookmarkEnd w:id="19"/>
      <w:bookmarkEnd w:id="20"/>
      <w:bookmarkEnd w:id="21"/>
      <w:bookmarkEnd w:id="22"/>
      <w:bookmarkEnd w:id="23"/>
      <w:bookmarkEnd w:id="24"/>
    </w:p>
    <w:sdt>
      <w:sdtPr>
        <w:rPr>
          <w:rFonts w:hint="eastAsia"/>
        </w:rPr>
        <w:id w:val="715848253"/>
        <w:placeholder>
          <w:docPart w:val="F6584DAB7A0A4A4987A0747E31DD06C1"/>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5DF27193">
          <w:pPr>
            <w:pStyle w:val="57"/>
            <w:ind w:firstLine="420"/>
            <w:rPr>
              <w:rFonts w:hint="eastAsia"/>
            </w:rPr>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053AFDDD">
      <w:pPr>
        <w:pStyle w:val="57"/>
        <w:ind w:firstLine="420"/>
        <w:rPr>
          <w:rFonts w:hint="eastAsia" w:eastAsia="宋体"/>
          <w:lang w:val="en-US" w:eastAsia="zh-CN"/>
        </w:rPr>
      </w:pPr>
      <w:r>
        <w:rPr>
          <w:rFonts w:hint="eastAsia"/>
        </w:rPr>
        <w:t>GB/T 1499.2</w:t>
      </w:r>
      <w:r>
        <w:rPr>
          <w:rFonts w:hint="eastAsia"/>
          <w:lang w:val="en-US" w:eastAsia="zh-CN"/>
        </w:rPr>
        <w:t xml:space="preserve"> 钢筋混凝土用钢　第2部分：热轧带肋钢筋</w:t>
      </w:r>
    </w:p>
    <w:p w14:paraId="1864749C">
      <w:pPr>
        <w:pStyle w:val="57"/>
        <w:ind w:firstLine="420"/>
        <w:rPr>
          <w:rFonts w:hint="eastAsia" w:eastAsia="宋体"/>
          <w:lang w:val="en-US" w:eastAsia="zh-CN"/>
        </w:rPr>
      </w:pPr>
      <w:r>
        <w:rPr>
          <w:rFonts w:hint="eastAsia"/>
        </w:rPr>
        <w:t>GB/T 19022</w:t>
      </w:r>
      <w:r>
        <w:rPr>
          <w:rFonts w:hint="eastAsia"/>
          <w:lang w:val="en-US" w:eastAsia="zh-CN"/>
        </w:rPr>
        <w:t xml:space="preserve"> 测量管理体系 测量过程和测量设备的要求</w:t>
      </w:r>
    </w:p>
    <w:p w14:paraId="387FB6E3">
      <w:pPr>
        <w:pStyle w:val="57"/>
        <w:ind w:firstLine="420"/>
        <w:rPr>
          <w:rFonts w:hint="eastAsia" w:eastAsia="宋体"/>
          <w:lang w:val="en-US" w:eastAsia="zh-CN"/>
        </w:rPr>
      </w:pPr>
      <w:r>
        <w:rPr>
          <w:rFonts w:hint="eastAsia"/>
        </w:rPr>
        <w:t>SL 258</w:t>
      </w:r>
      <w:r>
        <w:rPr>
          <w:rFonts w:hint="eastAsia"/>
          <w:lang w:val="en-US" w:eastAsia="zh-CN"/>
        </w:rPr>
        <w:t xml:space="preserve"> 水库大坝安全评价导则</w:t>
      </w:r>
      <w:bookmarkStart w:id="50" w:name="_GoBack"/>
      <w:bookmarkEnd w:id="50"/>
    </w:p>
    <w:p w14:paraId="23FA229F">
      <w:pPr>
        <w:pStyle w:val="57"/>
        <w:ind w:firstLine="420"/>
        <w:rPr>
          <w:rFonts w:hint="eastAsia" w:eastAsia="宋体"/>
          <w:lang w:val="en-US" w:eastAsia="zh-CN"/>
        </w:rPr>
      </w:pPr>
      <w:r>
        <w:rPr>
          <w:rFonts w:hint="eastAsia"/>
        </w:rPr>
        <w:t>SL/Z 720</w:t>
      </w:r>
      <w:r>
        <w:rPr>
          <w:rFonts w:hint="eastAsia"/>
          <w:lang w:val="en-US" w:eastAsia="zh-CN"/>
        </w:rPr>
        <w:t xml:space="preserve"> 水库大坝安全管理应急预案编制导则</w:t>
      </w:r>
    </w:p>
    <w:p w14:paraId="329C384B">
      <w:pPr>
        <w:pStyle w:val="57"/>
        <w:ind w:firstLine="420"/>
        <w:rPr>
          <w:rFonts w:hint="eastAsia" w:eastAsia="宋体"/>
          <w:lang w:val="en-US" w:eastAsia="zh-CN"/>
        </w:rPr>
      </w:pPr>
      <w:r>
        <w:rPr>
          <w:rFonts w:hint="eastAsia"/>
        </w:rPr>
        <w:t>SL 729</w:t>
      </w:r>
      <w:r>
        <w:rPr>
          <w:rFonts w:hint="eastAsia"/>
          <w:lang w:val="en-US" w:eastAsia="zh-CN"/>
        </w:rPr>
        <w:t xml:space="preserve"> 水利空间要素数据字典</w:t>
      </w:r>
    </w:p>
    <w:p w14:paraId="797D84B8">
      <w:pPr>
        <w:pStyle w:val="57"/>
        <w:ind w:firstLine="420"/>
        <w:rPr>
          <w:rFonts w:hint="eastAsia" w:eastAsia="宋体"/>
          <w:lang w:val="en-US" w:eastAsia="zh-CN"/>
        </w:rPr>
      </w:pPr>
      <w:r>
        <w:rPr>
          <w:rFonts w:hint="eastAsia"/>
        </w:rPr>
        <w:t>SL 766</w:t>
      </w:r>
      <w:r>
        <w:rPr>
          <w:rFonts w:hint="eastAsia"/>
          <w:lang w:val="en-US" w:eastAsia="zh-CN"/>
        </w:rPr>
        <w:t xml:space="preserve"> 大坝安全监测系统鉴定技术规范</w:t>
      </w:r>
    </w:p>
    <w:p w14:paraId="08EFD8C3">
      <w:pPr>
        <w:pStyle w:val="105"/>
        <w:spacing w:before="240" w:after="240"/>
      </w:pPr>
      <w:bookmarkStart w:id="25" w:name="_Toc97192966"/>
      <w:bookmarkStart w:id="26" w:name="_Toc31452"/>
      <w:r>
        <w:rPr>
          <w:rFonts w:hint="eastAsia"/>
          <w:szCs w:val="21"/>
        </w:rPr>
        <w:t>术语和定义</w:t>
      </w:r>
      <w:bookmarkEnd w:id="25"/>
      <w:bookmarkEnd w:id="26"/>
    </w:p>
    <w:sdt>
      <w:sdtPr>
        <w:id w:val="-1909835108"/>
        <w:placeholder>
          <w:docPart w:val="2EE23CA96E8A48E3A87A4210FEEEE427"/>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1FBAC0D6">
          <w:pPr>
            <w:pStyle w:val="57"/>
            <w:ind w:firstLine="420"/>
          </w:pPr>
          <w:bookmarkStart w:id="27" w:name="_Toc26986532"/>
          <w:bookmarkEnd w:id="27"/>
          <w:r>
            <w:rPr>
              <w:rFonts w:hint="eastAsia"/>
            </w:rPr>
            <w:t>SL 258、SL/Z 720</w:t>
          </w:r>
          <w:r>
            <w:rPr>
              <w:rFonts w:hint="eastAsia"/>
              <w:lang w:eastAsia="zh-CN"/>
            </w:rPr>
            <w:t>、</w:t>
          </w:r>
          <w:r>
            <w:rPr>
              <w:rFonts w:hint="eastAsia"/>
            </w:rPr>
            <w:t>SL 766</w:t>
          </w:r>
          <w:r>
            <w:t>界定的术语和定义适用于本文件。</w:t>
          </w:r>
        </w:p>
      </w:sdtContent>
    </w:sdt>
    <w:p w14:paraId="2F8C2B86">
      <w:pPr>
        <w:pStyle w:val="105"/>
        <w:spacing w:before="240" w:after="240"/>
      </w:pPr>
      <w:bookmarkStart w:id="28" w:name="_Toc5085"/>
      <w:r>
        <w:rPr>
          <w:rFonts w:hint="eastAsia" w:ascii="宋体" w:hAnsi="Times New Roman"/>
          <w:color w:val="auto"/>
          <w:kern w:val="0"/>
          <w:szCs w:val="20"/>
          <w:highlight w:val="none"/>
        </w:rPr>
        <w:t>总则</w:t>
      </w:r>
      <w:bookmarkEnd w:id="28"/>
    </w:p>
    <w:p w14:paraId="3E8699F5">
      <w:pPr>
        <w:pStyle w:val="106"/>
        <w:spacing w:before="120" w:after="120"/>
        <w:rPr>
          <w:rFonts w:hint="eastAsia"/>
          <w:lang w:val="en-US" w:eastAsia="zh-CN"/>
        </w:rPr>
      </w:pPr>
      <w:bookmarkStart w:id="29" w:name="_Toc32361"/>
      <w:r>
        <w:rPr>
          <w:rFonts w:hint="eastAsia"/>
          <w:lang w:val="en-US" w:eastAsia="zh-CN"/>
        </w:rPr>
        <w:t>工作原则</w:t>
      </w:r>
      <w:bookmarkEnd w:id="29"/>
    </w:p>
    <w:p w14:paraId="16E0426B">
      <w:pPr>
        <w:pStyle w:val="57"/>
        <w:ind w:left="0" w:leftChars="0" w:firstLine="0" w:firstLineChars="0"/>
        <w:rPr>
          <w:rFonts w:hint="eastAsia"/>
          <w:lang w:val="en-US" w:eastAsia="zh-CN"/>
        </w:rPr>
      </w:pPr>
      <w:r>
        <w:rPr>
          <w:rFonts w:hint="eastAsia"/>
          <w:lang w:val="en-US" w:eastAsia="zh-CN"/>
        </w:rPr>
        <w:t>4.1.1 基本原则</w:t>
      </w:r>
    </w:p>
    <w:p w14:paraId="6CB419E1">
      <w:pPr>
        <w:pStyle w:val="57"/>
        <w:ind w:left="0" w:leftChars="0" w:firstLine="420" w:firstLineChars="200"/>
        <w:rPr>
          <w:rFonts w:hint="eastAsia"/>
          <w:lang w:val="en-US" w:eastAsia="zh-CN"/>
        </w:rPr>
      </w:pPr>
      <w:r>
        <w:rPr>
          <w:rFonts w:hint="eastAsia"/>
          <w:lang w:val="en-US" w:eastAsia="zh-CN"/>
        </w:rPr>
        <w:t>通过技术咨询提高大坝运行管理能力，降低安全隐患，提升大坝抗滑、抗震能力，降低渗漏风险，确保生态环境保护的同时，提升运行经济性。</w:t>
      </w:r>
    </w:p>
    <w:p w14:paraId="194A57EC">
      <w:pPr>
        <w:pStyle w:val="57"/>
        <w:ind w:left="0" w:leftChars="0" w:firstLine="0" w:firstLineChars="0"/>
        <w:rPr>
          <w:rFonts w:hint="default"/>
          <w:lang w:val="en-US" w:eastAsia="zh-CN"/>
        </w:rPr>
      </w:pPr>
      <w:r>
        <w:rPr>
          <w:rFonts w:hint="eastAsia"/>
          <w:lang w:val="en-US" w:eastAsia="zh-CN"/>
        </w:rPr>
        <w:t xml:space="preserve">4.1.2 </w:t>
      </w:r>
      <w:r>
        <w:rPr>
          <w:rFonts w:hint="default"/>
          <w:lang w:val="en-US" w:eastAsia="zh-CN"/>
        </w:rPr>
        <w:t>安全优先原则</w:t>
      </w:r>
    </w:p>
    <w:p w14:paraId="3190B881">
      <w:pPr>
        <w:pStyle w:val="57"/>
        <w:ind w:left="0" w:leftChars="0" w:firstLine="420" w:firstLineChars="200"/>
        <w:rPr>
          <w:rFonts w:hint="default"/>
          <w:lang w:val="en-US" w:eastAsia="zh-CN"/>
        </w:rPr>
      </w:pPr>
      <w:r>
        <w:rPr>
          <w:rFonts w:hint="default"/>
          <w:lang w:val="en-US" w:eastAsia="zh-CN"/>
        </w:rPr>
        <w:t>任何技术咨询方案均需以确保大坝安全为首要目标，</w:t>
      </w:r>
      <w:r>
        <w:rPr>
          <w:rFonts w:hint="eastAsia"/>
          <w:lang w:val="en-US" w:eastAsia="zh-CN"/>
        </w:rPr>
        <w:t>符合</w:t>
      </w:r>
      <w:r>
        <w:rPr>
          <w:rFonts w:hint="default"/>
          <w:lang w:val="en-US" w:eastAsia="zh-CN"/>
        </w:rPr>
        <w:t>SL 258</w:t>
      </w:r>
      <w:r>
        <w:rPr>
          <w:rFonts w:hint="eastAsia"/>
          <w:lang w:val="en-US" w:eastAsia="zh-CN"/>
        </w:rPr>
        <w:t>、SL/Z 720规定</w:t>
      </w:r>
      <w:r>
        <w:rPr>
          <w:rFonts w:hint="default"/>
          <w:lang w:val="en-US" w:eastAsia="zh-CN"/>
        </w:rPr>
        <w:t>。</w:t>
      </w:r>
    </w:p>
    <w:p w14:paraId="5259C80E">
      <w:pPr>
        <w:pStyle w:val="57"/>
        <w:ind w:left="0" w:leftChars="0" w:firstLine="0" w:firstLineChars="0"/>
        <w:rPr>
          <w:rFonts w:hint="default"/>
          <w:lang w:val="en-US" w:eastAsia="zh-CN"/>
        </w:rPr>
      </w:pPr>
      <w:r>
        <w:rPr>
          <w:rFonts w:hint="eastAsia"/>
          <w:lang w:val="en-US" w:eastAsia="zh-CN"/>
        </w:rPr>
        <w:t>4.1</w:t>
      </w:r>
      <w:r>
        <w:rPr>
          <w:rFonts w:hint="default"/>
          <w:lang w:val="en-US" w:eastAsia="zh-CN"/>
        </w:rPr>
        <w:t>.</w:t>
      </w:r>
      <w:r>
        <w:rPr>
          <w:rFonts w:hint="eastAsia"/>
          <w:lang w:val="en-US" w:eastAsia="zh-CN"/>
        </w:rPr>
        <w:t>3</w:t>
      </w:r>
      <w:r>
        <w:rPr>
          <w:rFonts w:hint="default"/>
          <w:lang w:val="en-US" w:eastAsia="zh-CN"/>
        </w:rPr>
        <w:t xml:space="preserve"> 因地制宜原则</w:t>
      </w:r>
    </w:p>
    <w:p w14:paraId="7C16FC8B">
      <w:pPr>
        <w:pStyle w:val="57"/>
        <w:ind w:left="0" w:leftChars="0" w:firstLine="420" w:firstLineChars="200"/>
        <w:rPr>
          <w:rFonts w:hint="default"/>
          <w:lang w:val="en-US" w:eastAsia="zh-CN"/>
        </w:rPr>
      </w:pPr>
      <w:r>
        <w:rPr>
          <w:rFonts w:hint="default"/>
          <w:lang w:val="en-US" w:eastAsia="zh-CN"/>
        </w:rPr>
        <w:t>技术咨询方案应结合大坝具体情况，包括地质条件、坝体类型、库区功能等，量身定制加固措施。</w:t>
      </w:r>
    </w:p>
    <w:p w14:paraId="40FF481C">
      <w:pPr>
        <w:pStyle w:val="57"/>
        <w:ind w:left="0" w:leftChars="0" w:firstLine="0" w:firstLineChars="0"/>
        <w:rPr>
          <w:rFonts w:hint="default"/>
          <w:lang w:val="en-US" w:eastAsia="zh-CN"/>
        </w:rPr>
      </w:pPr>
      <w:r>
        <w:rPr>
          <w:rFonts w:hint="eastAsia"/>
          <w:lang w:val="en-US" w:eastAsia="zh-CN"/>
        </w:rPr>
        <w:t>4.1</w:t>
      </w:r>
      <w:r>
        <w:rPr>
          <w:rFonts w:hint="default"/>
          <w:lang w:val="en-US" w:eastAsia="zh-CN"/>
        </w:rPr>
        <w:t>.</w:t>
      </w:r>
      <w:r>
        <w:rPr>
          <w:rFonts w:hint="eastAsia"/>
          <w:lang w:val="en-US" w:eastAsia="zh-CN"/>
        </w:rPr>
        <w:t>4</w:t>
      </w:r>
      <w:r>
        <w:rPr>
          <w:rFonts w:hint="default"/>
          <w:lang w:val="en-US" w:eastAsia="zh-CN"/>
        </w:rPr>
        <w:t xml:space="preserve"> 科学规范原则</w:t>
      </w:r>
    </w:p>
    <w:p w14:paraId="1B1C432A">
      <w:pPr>
        <w:pStyle w:val="57"/>
        <w:ind w:left="0" w:leftChars="0" w:firstLine="420" w:firstLineChars="200"/>
        <w:rPr>
          <w:rFonts w:hint="default"/>
          <w:lang w:val="en-US" w:eastAsia="zh-CN"/>
        </w:rPr>
      </w:pPr>
      <w:r>
        <w:rPr>
          <w:rFonts w:hint="default"/>
          <w:lang w:val="en-US" w:eastAsia="zh-CN"/>
        </w:rPr>
        <w:t>严格依据SL 766</w:t>
      </w:r>
      <w:r>
        <w:rPr>
          <w:rFonts w:hint="eastAsia"/>
          <w:lang w:val="en-US" w:eastAsia="zh-CN"/>
        </w:rPr>
        <w:t>的规定</w:t>
      </w:r>
      <w:r>
        <w:rPr>
          <w:rFonts w:hint="default"/>
          <w:lang w:val="en-US" w:eastAsia="zh-CN"/>
        </w:rPr>
        <w:t>，确保咨询内容数据详实、依据充分、论证科学。</w:t>
      </w:r>
    </w:p>
    <w:p w14:paraId="1CB708CE">
      <w:pPr>
        <w:pStyle w:val="106"/>
        <w:spacing w:before="120" w:after="120"/>
        <w:rPr>
          <w:rFonts w:hint="default"/>
          <w:lang w:val="en-US" w:eastAsia="zh-CN"/>
        </w:rPr>
      </w:pPr>
      <w:bookmarkStart w:id="30" w:name="_Toc9998"/>
      <w:r>
        <w:rPr>
          <w:rFonts w:hint="eastAsia"/>
          <w:lang w:val="en-US" w:eastAsia="zh-CN"/>
        </w:rPr>
        <w:t>工作</w:t>
      </w:r>
      <w:r>
        <w:rPr>
          <w:rFonts w:hint="default"/>
          <w:lang w:val="en-US" w:eastAsia="zh-CN"/>
        </w:rPr>
        <w:t>目的</w:t>
      </w:r>
      <w:bookmarkEnd w:id="30"/>
    </w:p>
    <w:p w14:paraId="18F62B89">
      <w:pPr>
        <w:pStyle w:val="57"/>
        <w:ind w:left="0" w:leftChars="0" w:firstLine="420" w:firstLineChars="200"/>
        <w:rPr>
          <w:rFonts w:hint="default" w:ascii="宋体" w:eastAsia="宋体"/>
          <w:lang w:val="en-US" w:eastAsia="zh-CN"/>
        </w:rPr>
      </w:pPr>
      <w:r>
        <w:rPr>
          <w:rFonts w:hint="default" w:ascii="宋体" w:eastAsia="宋体"/>
          <w:lang w:val="en-US" w:eastAsia="zh-CN"/>
        </w:rPr>
        <w:t>规范技术咨询流程，确保除险加固措施科学、合理、经济，提高水库大坝的安全性和使用寿命。</w:t>
      </w:r>
    </w:p>
    <w:p w14:paraId="4B5BF9A7">
      <w:pPr>
        <w:pStyle w:val="106"/>
        <w:spacing w:before="120" w:after="120"/>
        <w:rPr>
          <w:rFonts w:hint="default"/>
          <w:lang w:val="en-US" w:eastAsia="zh-CN"/>
        </w:rPr>
      </w:pPr>
      <w:bookmarkStart w:id="31" w:name="_Toc6520"/>
      <w:r>
        <w:rPr>
          <w:rFonts w:hint="default"/>
          <w:lang w:val="en-US" w:eastAsia="zh-CN"/>
        </w:rPr>
        <w:t>基本要求</w:t>
      </w:r>
      <w:bookmarkEnd w:id="31"/>
    </w:p>
    <w:p w14:paraId="0E6BDA95">
      <w:pPr>
        <w:pStyle w:val="57"/>
        <w:ind w:left="0" w:leftChars="0" w:firstLine="420" w:firstLineChars="200"/>
        <w:rPr>
          <w:rFonts w:hint="eastAsia" w:ascii="宋体" w:eastAsia="宋体"/>
          <w:lang w:val="en-US" w:eastAsia="zh-CN"/>
        </w:rPr>
      </w:pPr>
      <w:r>
        <w:rPr>
          <w:rFonts w:hint="default" w:ascii="宋体" w:eastAsia="宋体"/>
          <w:lang w:val="en-US" w:eastAsia="zh-CN"/>
        </w:rPr>
        <w:t>技术咨询应综合考虑大坝类型、运行条件、气象水文条件及周边环境等因素，遵循技术先进性、经济合理性和环境友好性原则。</w:t>
      </w:r>
    </w:p>
    <w:p w14:paraId="0A0C5B83">
      <w:pPr>
        <w:pStyle w:val="105"/>
        <w:spacing w:before="240" w:after="240"/>
        <w:rPr>
          <w:rFonts w:hint="eastAsia"/>
        </w:rPr>
      </w:pPr>
      <w:bookmarkStart w:id="32" w:name="_Toc19870"/>
      <w:r>
        <w:rPr>
          <w:rFonts w:hint="eastAsia"/>
        </w:rPr>
        <w:t>大坝现状调查与评估</w:t>
      </w:r>
      <w:bookmarkEnd w:id="32"/>
    </w:p>
    <w:p w14:paraId="471BEC6D">
      <w:pPr>
        <w:pStyle w:val="106"/>
        <w:spacing w:before="120" w:after="120"/>
        <w:rPr>
          <w:rFonts w:hint="eastAsia"/>
        </w:rPr>
      </w:pPr>
      <w:bookmarkStart w:id="33" w:name="_Toc23983"/>
      <w:r>
        <w:rPr>
          <w:rFonts w:hint="eastAsia"/>
        </w:rPr>
        <w:t>调查内容</w:t>
      </w:r>
      <w:bookmarkEnd w:id="33"/>
    </w:p>
    <w:p w14:paraId="6AEBC7A6">
      <w:pPr>
        <w:pStyle w:val="57"/>
        <w:ind w:left="0" w:leftChars="0" w:firstLine="0" w:firstLineChars="0"/>
        <w:rPr>
          <w:rFonts w:hint="eastAsia"/>
        </w:rPr>
      </w:pPr>
      <w:r>
        <w:rPr>
          <w:rFonts w:hint="eastAsia"/>
          <w:lang w:val="en-US" w:eastAsia="zh-CN"/>
        </w:rPr>
        <w:t xml:space="preserve">5.1.1 </w:t>
      </w:r>
      <w:r>
        <w:rPr>
          <w:rFonts w:hint="eastAsia"/>
        </w:rPr>
        <w:t>坝体结构状况</w:t>
      </w:r>
    </w:p>
    <w:p w14:paraId="25CFCCA5">
      <w:pPr>
        <w:pStyle w:val="57"/>
        <w:ind w:left="0" w:leftChars="0" w:firstLine="420" w:firstLineChars="200"/>
        <w:rPr>
          <w:rFonts w:hint="eastAsia"/>
        </w:rPr>
      </w:pPr>
      <w:r>
        <w:rPr>
          <w:rFonts w:hint="eastAsia"/>
        </w:rPr>
        <w:t>包括混凝土、土石坝的完整性、稳定性及强度评估。</w:t>
      </w:r>
    </w:p>
    <w:p w14:paraId="5650D624">
      <w:pPr>
        <w:pStyle w:val="57"/>
        <w:ind w:left="0" w:leftChars="0" w:firstLine="0" w:firstLineChars="0"/>
        <w:rPr>
          <w:rFonts w:hint="eastAsia"/>
        </w:rPr>
      </w:pPr>
      <w:r>
        <w:rPr>
          <w:rFonts w:hint="eastAsia"/>
          <w:lang w:val="en-US" w:eastAsia="zh-CN"/>
        </w:rPr>
        <w:t xml:space="preserve">5.1.2 </w:t>
      </w:r>
      <w:r>
        <w:rPr>
          <w:rFonts w:hint="eastAsia"/>
        </w:rPr>
        <w:t>监测数据分析</w:t>
      </w:r>
    </w:p>
    <w:p w14:paraId="13FD7DA1">
      <w:pPr>
        <w:pStyle w:val="57"/>
        <w:ind w:left="0" w:leftChars="0" w:firstLine="420" w:firstLineChars="200"/>
        <w:rPr>
          <w:rFonts w:hint="eastAsia"/>
        </w:rPr>
      </w:pPr>
      <w:r>
        <w:rPr>
          <w:rFonts w:hint="eastAsia"/>
        </w:rPr>
        <w:t>长期运行过程中的沉降、渗流、变形数据。</w:t>
      </w:r>
    </w:p>
    <w:p w14:paraId="1D7F386B">
      <w:pPr>
        <w:pStyle w:val="57"/>
        <w:ind w:left="0" w:leftChars="0" w:firstLine="0" w:firstLineChars="0"/>
        <w:rPr>
          <w:rFonts w:hint="eastAsia"/>
        </w:rPr>
      </w:pPr>
      <w:r>
        <w:rPr>
          <w:rFonts w:hint="eastAsia"/>
          <w:lang w:val="en-US" w:eastAsia="zh-CN"/>
        </w:rPr>
        <w:t xml:space="preserve">5.1.3 </w:t>
      </w:r>
      <w:r>
        <w:rPr>
          <w:rFonts w:hint="eastAsia"/>
        </w:rPr>
        <w:t>外部环境条件</w:t>
      </w:r>
    </w:p>
    <w:p w14:paraId="32888934">
      <w:pPr>
        <w:pStyle w:val="57"/>
        <w:ind w:left="0" w:leftChars="0" w:firstLine="420" w:firstLineChars="200"/>
        <w:rPr>
          <w:rFonts w:hint="eastAsia"/>
        </w:rPr>
      </w:pPr>
      <w:r>
        <w:rPr>
          <w:rFonts w:hint="eastAsia"/>
        </w:rPr>
        <w:t>气象、水文、地质条件对大坝运行的影响。</w:t>
      </w:r>
    </w:p>
    <w:p w14:paraId="668677F8">
      <w:pPr>
        <w:pStyle w:val="106"/>
        <w:spacing w:before="120" w:after="120"/>
        <w:rPr>
          <w:rFonts w:hint="eastAsia"/>
        </w:rPr>
      </w:pPr>
      <w:bookmarkStart w:id="34" w:name="_Toc31712"/>
      <w:r>
        <w:rPr>
          <w:rFonts w:hint="eastAsia"/>
        </w:rPr>
        <w:t>评估方法</w:t>
      </w:r>
      <w:bookmarkEnd w:id="34"/>
    </w:p>
    <w:p w14:paraId="40B003EB">
      <w:pPr>
        <w:pStyle w:val="57"/>
        <w:ind w:left="0" w:leftChars="0" w:firstLine="0" w:firstLineChars="0"/>
        <w:rPr>
          <w:rFonts w:hint="eastAsia"/>
        </w:rPr>
      </w:pPr>
      <w:r>
        <w:rPr>
          <w:rFonts w:hint="eastAsia"/>
          <w:lang w:val="en-US" w:eastAsia="zh-CN"/>
        </w:rPr>
        <w:t xml:space="preserve">5.2.1 </w:t>
      </w:r>
      <w:r>
        <w:rPr>
          <w:rFonts w:hint="eastAsia"/>
        </w:rPr>
        <w:t>安全性评估</w:t>
      </w:r>
    </w:p>
    <w:p w14:paraId="66F19F40">
      <w:pPr>
        <w:pStyle w:val="57"/>
        <w:ind w:left="0" w:leftChars="0" w:firstLine="420" w:firstLineChars="200"/>
        <w:rPr>
          <w:rFonts w:hint="eastAsia"/>
        </w:rPr>
      </w:pPr>
      <w:r>
        <w:rPr>
          <w:rFonts w:hint="eastAsia"/>
        </w:rPr>
        <w:t>基于SL 258的</w:t>
      </w:r>
      <w:r>
        <w:rPr>
          <w:rFonts w:hint="eastAsia"/>
          <w:lang w:val="en-US" w:eastAsia="zh-CN"/>
        </w:rPr>
        <w:t>规定</w:t>
      </w:r>
      <w:r>
        <w:rPr>
          <w:rFonts w:hint="eastAsia"/>
        </w:rPr>
        <w:t>进行稳定性、抗震性能及泄洪能力评估。</w:t>
      </w:r>
    </w:p>
    <w:p w14:paraId="503D4A05">
      <w:pPr>
        <w:pStyle w:val="57"/>
        <w:ind w:left="0" w:leftChars="0" w:firstLine="0" w:firstLineChars="0"/>
        <w:rPr>
          <w:rFonts w:hint="eastAsia"/>
        </w:rPr>
      </w:pPr>
      <w:r>
        <w:rPr>
          <w:rFonts w:hint="eastAsia"/>
          <w:lang w:val="en-US" w:eastAsia="zh-CN"/>
        </w:rPr>
        <w:t xml:space="preserve">5.2.2 </w:t>
      </w:r>
      <w:r>
        <w:rPr>
          <w:rFonts w:hint="eastAsia"/>
        </w:rPr>
        <w:t>风险评估</w:t>
      </w:r>
    </w:p>
    <w:p w14:paraId="583D144B">
      <w:pPr>
        <w:pStyle w:val="57"/>
        <w:ind w:left="0" w:leftChars="0" w:firstLine="420" w:firstLineChars="200"/>
        <w:rPr>
          <w:rFonts w:hint="eastAsia"/>
        </w:rPr>
      </w:pPr>
      <w:r>
        <w:rPr>
          <w:rFonts w:hint="eastAsia"/>
        </w:rPr>
        <w:t>采用定量和定性分析相结合的方法确定主要风险因素及其影响范围。</w:t>
      </w:r>
    </w:p>
    <w:p w14:paraId="55AF124D">
      <w:pPr>
        <w:pStyle w:val="57"/>
        <w:ind w:left="0" w:leftChars="0" w:firstLine="0" w:firstLineChars="0"/>
        <w:rPr>
          <w:rFonts w:hint="eastAsia" w:ascii="宋体" w:eastAsia="宋体"/>
          <w:lang w:val="en-US" w:eastAsia="zh-CN"/>
        </w:rPr>
      </w:pPr>
      <w:r>
        <w:rPr>
          <w:rFonts w:hint="eastAsia" w:ascii="宋体" w:eastAsia="宋体"/>
          <w:lang w:val="en-US" w:eastAsia="zh-CN"/>
        </w:rPr>
        <w:t>5.2.3 参考评估资料</w:t>
      </w:r>
    </w:p>
    <w:p w14:paraId="7108AD86">
      <w:pPr>
        <w:pStyle w:val="57"/>
        <w:ind w:left="0" w:leftChars="0" w:firstLine="420" w:firstLineChars="200"/>
        <w:rPr>
          <w:rFonts w:hint="eastAsia" w:ascii="宋体" w:eastAsia="宋体"/>
          <w:lang w:val="en-US" w:eastAsia="zh-CN"/>
        </w:rPr>
      </w:pPr>
      <w:r>
        <w:rPr>
          <w:rFonts w:hint="eastAsia" w:ascii="宋体" w:eastAsia="宋体"/>
          <w:lang w:val="en-US" w:eastAsia="zh-CN"/>
        </w:rPr>
        <w:t>包含坝体断面图、测点布置图及关键参数统计表。</w:t>
      </w:r>
    </w:p>
    <w:p w14:paraId="6C680F68">
      <w:pPr>
        <w:pStyle w:val="105"/>
        <w:spacing w:before="240" w:after="240"/>
        <w:rPr>
          <w:rFonts w:hint="eastAsia"/>
        </w:rPr>
      </w:pPr>
      <w:bookmarkStart w:id="35" w:name="_Toc31315"/>
      <w:r>
        <w:rPr>
          <w:rFonts w:hint="eastAsia"/>
        </w:rPr>
        <w:t>除险加固</w:t>
      </w:r>
      <w:r>
        <w:rPr>
          <w:rFonts w:hint="eastAsia"/>
          <w:lang w:val="en-US" w:eastAsia="zh-CN"/>
        </w:rPr>
        <w:t>技术咨询要求</w:t>
      </w:r>
      <w:bookmarkEnd w:id="35"/>
    </w:p>
    <w:p w14:paraId="7D1B27D6">
      <w:pPr>
        <w:pStyle w:val="106"/>
        <w:spacing w:before="120" w:after="120"/>
        <w:rPr>
          <w:rFonts w:hint="eastAsia"/>
        </w:rPr>
      </w:pPr>
      <w:bookmarkStart w:id="36" w:name="_Toc26455"/>
      <w:r>
        <w:rPr>
          <w:rFonts w:hint="eastAsia"/>
        </w:rPr>
        <w:t>设计目标</w:t>
      </w:r>
      <w:bookmarkEnd w:id="36"/>
    </w:p>
    <w:p w14:paraId="173C444C">
      <w:pPr>
        <w:pStyle w:val="57"/>
        <w:ind w:firstLine="420"/>
        <w:rPr>
          <w:rFonts w:hint="eastAsia"/>
        </w:rPr>
      </w:pPr>
      <w:r>
        <w:rPr>
          <w:rFonts w:hint="eastAsia"/>
        </w:rPr>
        <w:t>除险加固设计应</w:t>
      </w:r>
      <w:r>
        <w:rPr>
          <w:rFonts w:hint="eastAsia"/>
          <w:lang w:val="en-US" w:eastAsia="zh-CN"/>
        </w:rPr>
        <w:t>在满足本文件4.1的规定前提下，</w:t>
      </w:r>
      <w:r>
        <w:rPr>
          <w:rFonts w:hint="eastAsia"/>
        </w:rPr>
        <w:t>以确保大坝结构的安全性、功能的可靠性和工程实施的经济性为基本目标，满足当前和未来使用要求，达到国家相关规范和标准的规定</w:t>
      </w:r>
      <w:r>
        <w:rPr>
          <w:rFonts w:hint="eastAsia"/>
          <w:lang w:eastAsia="zh-CN"/>
        </w:rPr>
        <w:t>，</w:t>
      </w:r>
      <w:r>
        <w:rPr>
          <w:rFonts w:hint="eastAsia"/>
        </w:rPr>
        <w:t>除险加固过程中应尽量减少对生态环境的影响，优先采用环保型材料和技术，保护库区及周边环境。</w:t>
      </w:r>
    </w:p>
    <w:p w14:paraId="389992E9">
      <w:pPr>
        <w:pStyle w:val="106"/>
        <w:spacing w:before="120" w:after="120"/>
        <w:rPr>
          <w:rFonts w:hint="eastAsia"/>
        </w:rPr>
      </w:pPr>
      <w:bookmarkStart w:id="37" w:name="_Toc19682"/>
      <w:r>
        <w:rPr>
          <w:rFonts w:hint="eastAsia"/>
        </w:rPr>
        <w:t>设计内容</w:t>
      </w:r>
      <w:bookmarkEnd w:id="37"/>
    </w:p>
    <w:p w14:paraId="436E8CAF">
      <w:pPr>
        <w:pStyle w:val="57"/>
        <w:ind w:left="0" w:leftChars="0" w:firstLine="0" w:firstLineChars="0"/>
        <w:rPr>
          <w:rFonts w:hint="eastAsia"/>
        </w:rPr>
      </w:pPr>
      <w:r>
        <w:rPr>
          <w:rFonts w:hint="eastAsia"/>
          <w:lang w:val="en-US" w:eastAsia="zh-CN"/>
        </w:rPr>
        <w:t>6</w:t>
      </w:r>
      <w:r>
        <w:rPr>
          <w:rFonts w:hint="eastAsia"/>
        </w:rPr>
        <w:t>.</w:t>
      </w:r>
      <w:r>
        <w:rPr>
          <w:rFonts w:hint="eastAsia"/>
          <w:lang w:val="en-US" w:eastAsia="zh-CN"/>
        </w:rPr>
        <w:t>2</w:t>
      </w:r>
      <w:r>
        <w:rPr>
          <w:rFonts w:hint="eastAsia"/>
        </w:rPr>
        <w:t>.1 坝体加固设计</w:t>
      </w:r>
    </w:p>
    <w:p w14:paraId="22306008">
      <w:pPr>
        <w:pStyle w:val="57"/>
        <w:ind w:left="0" w:leftChars="0" w:firstLine="0" w:firstLineChars="0"/>
        <w:rPr>
          <w:rFonts w:hint="eastAsia"/>
        </w:rPr>
      </w:pPr>
      <w:r>
        <w:rPr>
          <w:rFonts w:hint="eastAsia"/>
          <w:lang w:val="en-US" w:eastAsia="zh-CN"/>
        </w:rPr>
        <w:t xml:space="preserve">6.2.1.1 </w:t>
      </w:r>
      <w:r>
        <w:rPr>
          <w:rFonts w:hint="eastAsia"/>
        </w:rPr>
        <w:t>防渗设施</w:t>
      </w:r>
    </w:p>
    <w:p w14:paraId="6E6D6391">
      <w:pPr>
        <w:pStyle w:val="57"/>
        <w:ind w:firstLine="420"/>
        <w:rPr>
          <w:rFonts w:hint="default" w:eastAsia="宋体"/>
          <w:lang w:val="en-US" w:eastAsia="zh-CN"/>
        </w:rPr>
      </w:pPr>
      <w:r>
        <w:rPr>
          <w:rFonts w:hint="eastAsia"/>
        </w:rPr>
        <w:t>设计需根据大坝类型和渗漏情况选择合适的防渗措施，</w:t>
      </w:r>
      <w:r>
        <w:rPr>
          <w:rFonts w:hint="eastAsia"/>
          <w:lang w:val="en-US" w:eastAsia="zh-CN"/>
        </w:rPr>
        <w:t>包括</w:t>
      </w:r>
      <w:r>
        <w:rPr>
          <w:rFonts w:hint="eastAsia"/>
        </w:rPr>
        <w:t>粘土心墙修复、垂直防渗墙施工或帷幕灌浆</w:t>
      </w:r>
      <w:r>
        <w:rPr>
          <w:rFonts w:hint="eastAsia"/>
          <w:lang w:eastAsia="zh-CN"/>
        </w:rPr>
        <w:t>，</w:t>
      </w:r>
      <w:r>
        <w:rPr>
          <w:rFonts w:hint="eastAsia"/>
          <w:lang w:val="en-US" w:eastAsia="zh-CN"/>
        </w:rPr>
        <w:t>符合下列设计要求：</w:t>
      </w:r>
    </w:p>
    <w:p w14:paraId="1614BB2E">
      <w:pPr>
        <w:pStyle w:val="57"/>
        <w:ind w:firstLine="420"/>
        <w:rPr>
          <w:rFonts w:hint="eastAsia"/>
        </w:rPr>
      </w:pPr>
      <w:r>
        <w:rPr>
          <w:rFonts w:hint="eastAsia"/>
          <w:lang w:val="en-US" w:eastAsia="zh-CN"/>
        </w:rPr>
        <w:t>a）</w:t>
      </w:r>
      <w:r>
        <w:rPr>
          <w:rFonts w:hint="eastAsia"/>
        </w:rPr>
        <w:t>设计参数</w:t>
      </w:r>
      <w:r>
        <w:rPr>
          <w:rFonts w:hint="eastAsia"/>
          <w:lang w:eastAsia="zh-CN"/>
        </w:rPr>
        <w:t>，</w:t>
      </w:r>
      <w:r>
        <w:rPr>
          <w:rFonts w:hint="eastAsia"/>
        </w:rPr>
        <w:t>帷幕深度应大于基岩裂隙深度的 1.5 倍，渗透系数小于</w:t>
      </w:r>
      <w:r>
        <w:rPr>
          <w:rFonts w:hint="eastAsia"/>
          <w:lang w:val="en-US" w:eastAsia="zh-CN"/>
        </w:rPr>
        <w:t xml:space="preserve"> </w:t>
      </w:r>
      <w:r>
        <w:rPr>
          <w:rFonts w:hint="eastAsia"/>
        </w:rPr>
        <w:t>10⁻⁷ cm/s。</w:t>
      </w:r>
    </w:p>
    <w:p w14:paraId="16668AFF">
      <w:pPr>
        <w:pStyle w:val="57"/>
        <w:ind w:firstLine="420"/>
        <w:rPr>
          <w:rFonts w:hint="eastAsia"/>
        </w:rPr>
      </w:pPr>
      <w:r>
        <w:rPr>
          <w:rFonts w:hint="eastAsia"/>
          <w:lang w:val="en-US" w:eastAsia="zh-CN"/>
        </w:rPr>
        <w:t>b）</w:t>
      </w:r>
      <w:r>
        <w:rPr>
          <w:rFonts w:hint="eastAsia"/>
        </w:rPr>
        <w:t>参考标准</w:t>
      </w:r>
      <w:r>
        <w:rPr>
          <w:rFonts w:hint="eastAsia"/>
          <w:lang w:val="en-US" w:eastAsia="zh-CN"/>
        </w:rPr>
        <w:t>符合</w:t>
      </w:r>
      <w:r>
        <w:rPr>
          <w:rFonts w:hint="eastAsia"/>
        </w:rPr>
        <w:t>GB 50201</w:t>
      </w:r>
      <w:r>
        <w:rPr>
          <w:rFonts w:hint="eastAsia"/>
          <w:lang w:val="en-US" w:eastAsia="zh-CN"/>
        </w:rPr>
        <w:t>的规定</w:t>
      </w:r>
      <w:r>
        <w:rPr>
          <w:rFonts w:hint="eastAsia"/>
        </w:rPr>
        <w:t>。</w:t>
      </w:r>
    </w:p>
    <w:p w14:paraId="44509DCC">
      <w:pPr>
        <w:pStyle w:val="57"/>
        <w:ind w:left="0" w:leftChars="0" w:firstLine="0" w:firstLineChars="0"/>
        <w:rPr>
          <w:rFonts w:hint="eastAsia"/>
        </w:rPr>
      </w:pPr>
      <w:r>
        <w:rPr>
          <w:rFonts w:hint="eastAsia"/>
          <w:lang w:val="en-US" w:eastAsia="zh-CN"/>
        </w:rPr>
        <w:t xml:space="preserve">6.2.1.2 </w:t>
      </w:r>
      <w:r>
        <w:rPr>
          <w:rFonts w:hint="eastAsia"/>
        </w:rPr>
        <w:t>抗滑稳定措施</w:t>
      </w:r>
    </w:p>
    <w:p w14:paraId="7231FE14">
      <w:pPr>
        <w:pStyle w:val="57"/>
        <w:ind w:firstLine="420"/>
        <w:rPr>
          <w:rFonts w:hint="default" w:eastAsia="宋体"/>
          <w:lang w:val="en-US" w:eastAsia="zh-CN"/>
        </w:rPr>
      </w:pPr>
      <w:r>
        <w:rPr>
          <w:rFonts w:hint="eastAsia"/>
        </w:rPr>
        <w:t>采用增加抗滑桩或加固地基的方式提高坝体的抗滑稳定性。抗滑桩间距根据地质条件确定，不大于 3 倍桩径</w:t>
      </w:r>
      <w:r>
        <w:rPr>
          <w:rFonts w:hint="eastAsia"/>
          <w:lang w:eastAsia="zh-CN"/>
        </w:rPr>
        <w:t>，</w:t>
      </w:r>
      <w:r>
        <w:rPr>
          <w:rFonts w:hint="eastAsia"/>
          <w:lang w:val="en-US" w:eastAsia="zh-CN"/>
        </w:rPr>
        <w:t>符合下列设计要求：</w:t>
      </w:r>
    </w:p>
    <w:p w14:paraId="38EE4504">
      <w:pPr>
        <w:pStyle w:val="57"/>
        <w:ind w:firstLine="420"/>
        <w:rPr>
          <w:rFonts w:hint="eastAsia"/>
        </w:rPr>
      </w:pPr>
      <w:r>
        <w:rPr>
          <w:rFonts w:hint="eastAsia"/>
          <w:lang w:val="en-US" w:eastAsia="zh-CN"/>
        </w:rPr>
        <w:t>a）</w:t>
      </w:r>
      <w:r>
        <w:rPr>
          <w:rFonts w:hint="eastAsia"/>
        </w:rPr>
        <w:t>材料要求</w:t>
      </w:r>
      <w:r>
        <w:rPr>
          <w:rFonts w:hint="eastAsia"/>
          <w:lang w:eastAsia="zh-CN"/>
        </w:rPr>
        <w:t>，</w:t>
      </w:r>
      <w:r>
        <w:rPr>
          <w:rFonts w:hint="eastAsia"/>
        </w:rPr>
        <w:t>C50钢筋混凝土。</w:t>
      </w:r>
    </w:p>
    <w:p w14:paraId="5F99DC5F">
      <w:pPr>
        <w:pStyle w:val="57"/>
        <w:ind w:firstLine="420"/>
        <w:rPr>
          <w:rFonts w:hint="eastAsia"/>
        </w:rPr>
      </w:pPr>
      <w:r>
        <w:rPr>
          <w:rFonts w:hint="eastAsia"/>
          <w:lang w:val="en-US" w:eastAsia="zh-CN"/>
        </w:rPr>
        <w:t>b）</w:t>
      </w:r>
      <w:r>
        <w:rPr>
          <w:rFonts w:hint="eastAsia"/>
        </w:rPr>
        <w:t>设计标准</w:t>
      </w:r>
      <w:r>
        <w:rPr>
          <w:rFonts w:hint="eastAsia"/>
          <w:lang w:val="en-US" w:eastAsia="zh-CN"/>
        </w:rPr>
        <w:t>符合GB/T 50662、SL/T 744、SL/T 792、</w:t>
      </w:r>
      <w:r>
        <w:rPr>
          <w:rFonts w:hint="eastAsia"/>
        </w:rPr>
        <w:t>DL/T 5315</w:t>
      </w:r>
      <w:r>
        <w:rPr>
          <w:rFonts w:hint="eastAsia"/>
          <w:lang w:val="en-US" w:eastAsia="zh-CN"/>
        </w:rPr>
        <w:t>的规定</w:t>
      </w:r>
      <w:r>
        <w:rPr>
          <w:rFonts w:hint="eastAsia"/>
        </w:rPr>
        <w:t>。</w:t>
      </w:r>
    </w:p>
    <w:p w14:paraId="6ED1D42F">
      <w:pPr>
        <w:pStyle w:val="57"/>
        <w:ind w:left="0" w:leftChars="0" w:firstLine="0" w:firstLineChars="0"/>
        <w:rPr>
          <w:rFonts w:hint="default" w:eastAsia="宋体"/>
          <w:lang w:val="en-US" w:eastAsia="zh-CN"/>
        </w:rPr>
      </w:pPr>
      <w:r>
        <w:rPr>
          <w:rFonts w:hint="eastAsia"/>
          <w:lang w:val="en-US" w:eastAsia="zh-CN"/>
        </w:rPr>
        <w:t>6</w:t>
      </w:r>
      <w:r>
        <w:rPr>
          <w:rFonts w:hint="eastAsia"/>
        </w:rPr>
        <w:t>.</w:t>
      </w:r>
      <w:r>
        <w:rPr>
          <w:rFonts w:hint="eastAsia"/>
          <w:lang w:val="en-US" w:eastAsia="zh-CN"/>
        </w:rPr>
        <w:t>2</w:t>
      </w:r>
      <w:r>
        <w:rPr>
          <w:rFonts w:hint="eastAsia"/>
        </w:rPr>
        <w:t>.2 泄洪设施改造</w:t>
      </w:r>
    </w:p>
    <w:p w14:paraId="004751CA">
      <w:pPr>
        <w:pStyle w:val="57"/>
        <w:ind w:left="0" w:leftChars="0" w:firstLine="420" w:firstLineChars="200"/>
        <w:rPr>
          <w:rFonts w:hint="default"/>
          <w:lang w:val="en-US" w:eastAsia="zh-CN"/>
        </w:rPr>
      </w:pPr>
      <w:r>
        <w:rPr>
          <w:rFonts w:hint="eastAsia"/>
          <w:lang w:val="en-US" w:eastAsia="zh-CN"/>
        </w:rPr>
        <w:t>溢洪道扩建应符合下列改造要求：</w:t>
      </w:r>
    </w:p>
    <w:p w14:paraId="55F06E9C">
      <w:pPr>
        <w:pStyle w:val="57"/>
        <w:ind w:firstLine="420"/>
        <w:rPr>
          <w:rFonts w:hint="eastAsia"/>
        </w:rPr>
      </w:pPr>
      <w:r>
        <w:rPr>
          <w:rFonts w:hint="eastAsia"/>
          <w:lang w:val="en-US" w:eastAsia="zh-CN"/>
        </w:rPr>
        <w:t>a）</w:t>
      </w:r>
      <w:r>
        <w:rPr>
          <w:rFonts w:hint="eastAsia"/>
        </w:rPr>
        <w:t>依据设计洪水流量计算溢洪道断面尺寸和最大过流能力，确保溢洪能力满足100年一遇洪水设计要求。</w:t>
      </w:r>
    </w:p>
    <w:p w14:paraId="14B01C8A">
      <w:pPr>
        <w:pStyle w:val="57"/>
        <w:ind w:firstLine="420"/>
        <w:rPr>
          <w:rFonts w:hint="eastAsia"/>
        </w:rPr>
      </w:pPr>
      <w:r>
        <w:rPr>
          <w:rFonts w:hint="eastAsia"/>
          <w:lang w:val="en-US" w:eastAsia="zh-CN"/>
        </w:rPr>
        <w:t>b）</w:t>
      </w:r>
      <w:r>
        <w:rPr>
          <w:rFonts w:hint="eastAsia"/>
        </w:rPr>
        <w:t>消能防冲设施</w:t>
      </w:r>
      <w:r>
        <w:rPr>
          <w:rFonts w:hint="eastAsia"/>
          <w:lang w:eastAsia="zh-CN"/>
        </w:rPr>
        <w:t>，</w:t>
      </w:r>
      <w:r>
        <w:rPr>
          <w:rFonts w:hint="eastAsia"/>
        </w:rPr>
        <w:t>设置挑流式或消力池型消能设施，确保下游河道床面的稳定性。</w:t>
      </w:r>
    </w:p>
    <w:p w14:paraId="40566205">
      <w:pPr>
        <w:pStyle w:val="106"/>
        <w:spacing w:before="120" w:after="120"/>
        <w:rPr>
          <w:rFonts w:hint="eastAsia"/>
        </w:rPr>
      </w:pPr>
      <w:bookmarkStart w:id="38" w:name="_Toc9579"/>
      <w:r>
        <w:rPr>
          <w:rFonts w:hint="eastAsia"/>
        </w:rPr>
        <w:t>材料要求</w:t>
      </w:r>
      <w:bookmarkEnd w:id="38"/>
    </w:p>
    <w:p w14:paraId="5613BC19">
      <w:pPr>
        <w:pStyle w:val="57"/>
        <w:ind w:left="0" w:leftChars="0" w:firstLine="0" w:firstLineChars="0"/>
        <w:rPr>
          <w:rFonts w:hint="eastAsia"/>
        </w:rPr>
      </w:pPr>
      <w:r>
        <w:rPr>
          <w:rFonts w:hint="eastAsia"/>
          <w:lang w:val="en-US" w:eastAsia="zh-CN"/>
        </w:rPr>
        <w:t xml:space="preserve">6.3.1 </w:t>
      </w:r>
      <w:r>
        <w:rPr>
          <w:rFonts w:hint="eastAsia"/>
        </w:rPr>
        <w:t>防渗材料</w:t>
      </w:r>
    </w:p>
    <w:p w14:paraId="7EF5E7B9">
      <w:pPr>
        <w:pStyle w:val="57"/>
        <w:ind w:firstLine="420"/>
        <w:rPr>
          <w:rFonts w:hint="eastAsia"/>
        </w:rPr>
      </w:pPr>
      <w:r>
        <w:rPr>
          <w:rFonts w:hint="eastAsia"/>
        </w:rPr>
        <w:t>水泥-膨润土浆液：配合比为 1:1，流动度为 300±50 mm，固化后抗渗强度大于 1.5 MPa。</w:t>
      </w:r>
    </w:p>
    <w:p w14:paraId="6B8644C8">
      <w:pPr>
        <w:pStyle w:val="57"/>
        <w:ind w:left="0" w:leftChars="0" w:firstLine="0" w:firstLineChars="0"/>
        <w:rPr>
          <w:rFonts w:hint="eastAsia"/>
        </w:rPr>
      </w:pPr>
      <w:r>
        <w:rPr>
          <w:rFonts w:hint="eastAsia"/>
          <w:lang w:val="en-US" w:eastAsia="zh-CN"/>
        </w:rPr>
        <w:t xml:space="preserve">6.3.2 </w:t>
      </w:r>
      <w:r>
        <w:rPr>
          <w:rFonts w:hint="eastAsia"/>
        </w:rPr>
        <w:t>混凝土</w:t>
      </w:r>
    </w:p>
    <w:p w14:paraId="3CC65614">
      <w:pPr>
        <w:pStyle w:val="57"/>
        <w:ind w:firstLine="420"/>
        <w:rPr>
          <w:rFonts w:hint="eastAsia"/>
        </w:rPr>
      </w:pPr>
      <w:r>
        <w:rPr>
          <w:rFonts w:hint="eastAsia"/>
          <w:lang w:val="en-US" w:eastAsia="zh-CN"/>
        </w:rPr>
        <w:t>采用</w:t>
      </w:r>
      <w:r>
        <w:rPr>
          <w:rFonts w:hint="eastAsia"/>
        </w:rPr>
        <w:t>强度等级</w:t>
      </w:r>
      <w:r>
        <w:rPr>
          <w:rFonts w:hint="eastAsia"/>
          <w:lang w:val="en-US" w:eastAsia="zh-CN"/>
        </w:rPr>
        <w:t xml:space="preserve"> </w:t>
      </w:r>
      <w:r>
        <w:rPr>
          <w:rFonts w:hint="eastAsia"/>
        </w:rPr>
        <w:t>C50，抗压强度应达到 35 MPa 以上，</w:t>
      </w:r>
      <w:r>
        <w:rPr>
          <w:rFonts w:hint="eastAsia"/>
          <w:lang w:val="en-US" w:eastAsia="zh-CN"/>
        </w:rPr>
        <w:t>符合</w:t>
      </w:r>
      <w:r>
        <w:rPr>
          <w:rFonts w:hint="eastAsia"/>
        </w:rPr>
        <w:t>GB/T 50081</w:t>
      </w:r>
      <w:r>
        <w:rPr>
          <w:rFonts w:hint="eastAsia"/>
          <w:lang w:eastAsia="zh-CN"/>
        </w:rPr>
        <w:t>、NB/T 35026</w:t>
      </w:r>
      <w:r>
        <w:rPr>
          <w:rFonts w:hint="eastAsia"/>
          <w:lang w:val="en-US" w:eastAsia="zh-CN"/>
        </w:rPr>
        <w:t>的规定</w:t>
      </w:r>
      <w:r>
        <w:rPr>
          <w:rFonts w:hint="eastAsia"/>
        </w:rPr>
        <w:t>。</w:t>
      </w:r>
    </w:p>
    <w:p w14:paraId="30D23095">
      <w:pPr>
        <w:pStyle w:val="57"/>
        <w:ind w:left="0" w:leftChars="0" w:firstLine="0" w:firstLineChars="0"/>
        <w:rPr>
          <w:rFonts w:hint="eastAsia"/>
        </w:rPr>
      </w:pPr>
      <w:r>
        <w:rPr>
          <w:rFonts w:hint="eastAsia"/>
          <w:lang w:val="en-US" w:eastAsia="zh-CN"/>
        </w:rPr>
        <w:t xml:space="preserve">6.3.3 </w:t>
      </w:r>
      <w:r>
        <w:rPr>
          <w:rFonts w:hint="eastAsia"/>
        </w:rPr>
        <w:t>钢材</w:t>
      </w:r>
    </w:p>
    <w:p w14:paraId="36DFEF17">
      <w:pPr>
        <w:pStyle w:val="57"/>
        <w:ind w:firstLine="420"/>
        <w:rPr>
          <w:rFonts w:hint="eastAsia"/>
        </w:rPr>
      </w:pPr>
      <w:r>
        <w:rPr>
          <w:rFonts w:hint="eastAsia"/>
        </w:rPr>
        <w:t>使用 HRB400 级钢筋，屈服强度不低于 400 MPa，符合GB/T 1499.2</w:t>
      </w:r>
      <w:r>
        <w:rPr>
          <w:rFonts w:hint="eastAsia"/>
          <w:lang w:val="en-US" w:eastAsia="zh-CN"/>
        </w:rPr>
        <w:t>的规定</w:t>
      </w:r>
      <w:r>
        <w:rPr>
          <w:rFonts w:hint="eastAsia"/>
        </w:rPr>
        <w:t>。</w:t>
      </w:r>
    </w:p>
    <w:p w14:paraId="45AAFF9A">
      <w:pPr>
        <w:pStyle w:val="106"/>
        <w:spacing w:before="120" w:after="120"/>
        <w:rPr>
          <w:rFonts w:hint="eastAsia"/>
        </w:rPr>
      </w:pPr>
      <w:bookmarkStart w:id="39" w:name="_Toc4991"/>
      <w:r>
        <w:rPr>
          <w:rFonts w:hint="eastAsia"/>
        </w:rPr>
        <w:t>除险加固实施技术参数表</w:t>
      </w:r>
      <w:bookmarkEnd w:id="39"/>
    </w:p>
    <w:p w14:paraId="11E318B4">
      <w:pPr>
        <w:pStyle w:val="57"/>
        <w:ind w:left="0" w:leftChars="0" w:firstLine="420" w:firstLineChars="200"/>
        <w:rPr>
          <w:rFonts w:hint="eastAsia"/>
          <w:lang w:val="en-US" w:eastAsia="zh-CN"/>
        </w:rPr>
      </w:pPr>
      <w:r>
        <w:rPr>
          <w:rFonts w:hint="eastAsia"/>
          <w:lang w:val="en-US" w:eastAsia="zh-CN"/>
        </w:rPr>
        <w:t>除险加固实施技术参数参见表1。</w:t>
      </w:r>
    </w:p>
    <w:p w14:paraId="01270553">
      <w:pPr>
        <w:pStyle w:val="57"/>
        <w:ind w:left="0" w:leftChars="0" w:firstLine="420" w:firstLineChars="200"/>
        <w:rPr>
          <w:rFonts w:hint="default"/>
          <w:lang w:val="en-US" w:eastAsia="zh-CN"/>
        </w:rPr>
      </w:pPr>
    </w:p>
    <w:p w14:paraId="497C0169">
      <w:pPr>
        <w:pStyle w:val="57"/>
        <w:ind w:left="0" w:leftChars="0" w:firstLine="0" w:firstLineChars="0"/>
        <w:jc w:val="center"/>
        <w:rPr>
          <w:rFonts w:hint="default" w:eastAsia="宋体"/>
          <w:lang w:val="en-US" w:eastAsia="zh-CN"/>
        </w:rPr>
      </w:pPr>
      <w:r>
        <w:rPr>
          <w:rFonts w:hint="eastAsia"/>
          <w:lang w:val="en-US" w:eastAsia="zh-CN"/>
        </w:rPr>
        <w:t>表1 除险加固实施技术参数</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8"/>
        <w:gridCol w:w="2030"/>
        <w:gridCol w:w="3600"/>
        <w:gridCol w:w="1992"/>
      </w:tblGrid>
      <w:tr w14:paraId="16456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8" w:type="dxa"/>
          </w:tcPr>
          <w:p w14:paraId="75DD53FA">
            <w:pPr>
              <w:pStyle w:val="57"/>
              <w:ind w:left="0" w:leftChars="0" w:firstLine="0" w:firstLineChars="0"/>
              <w:jc w:val="center"/>
              <w:rPr>
                <w:rFonts w:hint="eastAsia"/>
                <w:vertAlign w:val="baseline"/>
              </w:rPr>
            </w:pPr>
            <w:r>
              <w:rPr>
                <w:rFonts w:hint="eastAsia"/>
                <w:vertAlign w:val="baseline"/>
              </w:rPr>
              <w:t>加固措施</w:t>
            </w:r>
          </w:p>
        </w:tc>
        <w:tc>
          <w:tcPr>
            <w:tcW w:w="2030" w:type="dxa"/>
          </w:tcPr>
          <w:p w14:paraId="7076D695">
            <w:pPr>
              <w:pStyle w:val="57"/>
              <w:ind w:left="0" w:leftChars="0" w:firstLine="0" w:firstLineChars="0"/>
              <w:jc w:val="center"/>
              <w:rPr>
                <w:rFonts w:hint="eastAsia"/>
                <w:vertAlign w:val="baseline"/>
              </w:rPr>
            </w:pPr>
            <w:r>
              <w:rPr>
                <w:rFonts w:hint="eastAsia"/>
                <w:vertAlign w:val="baseline"/>
              </w:rPr>
              <w:t>材料或设备</w:t>
            </w:r>
          </w:p>
        </w:tc>
        <w:tc>
          <w:tcPr>
            <w:tcW w:w="3600" w:type="dxa"/>
          </w:tcPr>
          <w:p w14:paraId="6758DB6F">
            <w:pPr>
              <w:pStyle w:val="57"/>
              <w:ind w:left="0" w:leftChars="0" w:firstLine="0" w:firstLineChars="0"/>
              <w:jc w:val="center"/>
              <w:rPr>
                <w:rFonts w:hint="eastAsia"/>
                <w:vertAlign w:val="baseline"/>
              </w:rPr>
            </w:pPr>
            <w:r>
              <w:rPr>
                <w:rFonts w:hint="eastAsia"/>
                <w:vertAlign w:val="baseline"/>
              </w:rPr>
              <w:t>技术参数</w:t>
            </w:r>
          </w:p>
        </w:tc>
        <w:tc>
          <w:tcPr>
            <w:tcW w:w="1992" w:type="dxa"/>
          </w:tcPr>
          <w:p w14:paraId="62DDF4E9">
            <w:pPr>
              <w:pStyle w:val="57"/>
              <w:ind w:left="0" w:leftChars="0" w:firstLine="0" w:firstLineChars="0"/>
              <w:jc w:val="center"/>
              <w:rPr>
                <w:rFonts w:hint="eastAsia" w:eastAsia="宋体"/>
                <w:vertAlign w:val="baseline"/>
                <w:lang w:val="en-US" w:eastAsia="zh-CN"/>
              </w:rPr>
            </w:pPr>
            <w:r>
              <w:rPr>
                <w:rFonts w:hint="eastAsia"/>
                <w:vertAlign w:val="baseline"/>
                <w:lang w:val="en-US" w:eastAsia="zh-CN"/>
              </w:rPr>
              <w:t>要求</w:t>
            </w:r>
          </w:p>
        </w:tc>
      </w:tr>
      <w:tr w14:paraId="6BB8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8" w:type="dxa"/>
          </w:tcPr>
          <w:p w14:paraId="023210E6">
            <w:pPr>
              <w:pStyle w:val="57"/>
              <w:ind w:left="0" w:leftChars="0" w:firstLine="0" w:firstLineChars="0"/>
              <w:jc w:val="center"/>
              <w:rPr>
                <w:rFonts w:hint="eastAsia"/>
                <w:vertAlign w:val="baseline"/>
              </w:rPr>
            </w:pPr>
            <w:r>
              <w:rPr>
                <w:rFonts w:hint="eastAsia"/>
                <w:vertAlign w:val="baseline"/>
              </w:rPr>
              <w:t>防渗帷幕</w:t>
            </w:r>
          </w:p>
        </w:tc>
        <w:tc>
          <w:tcPr>
            <w:tcW w:w="2030" w:type="dxa"/>
          </w:tcPr>
          <w:p w14:paraId="73829290">
            <w:pPr>
              <w:pStyle w:val="57"/>
              <w:ind w:left="0" w:leftChars="0" w:firstLine="0" w:firstLineChars="0"/>
              <w:jc w:val="center"/>
              <w:rPr>
                <w:rFonts w:hint="eastAsia"/>
                <w:vertAlign w:val="baseline"/>
              </w:rPr>
            </w:pPr>
            <w:r>
              <w:rPr>
                <w:rFonts w:hint="eastAsia"/>
                <w:vertAlign w:val="baseline"/>
              </w:rPr>
              <w:t>水泥-膨润土浆液</w:t>
            </w:r>
          </w:p>
        </w:tc>
        <w:tc>
          <w:tcPr>
            <w:tcW w:w="3600" w:type="dxa"/>
          </w:tcPr>
          <w:p w14:paraId="52C6342E">
            <w:pPr>
              <w:pStyle w:val="57"/>
              <w:ind w:left="0" w:leftChars="0" w:firstLine="0" w:firstLineChars="0"/>
              <w:jc w:val="center"/>
              <w:rPr>
                <w:rFonts w:hint="eastAsia"/>
                <w:vertAlign w:val="baseline"/>
              </w:rPr>
            </w:pPr>
            <w:r>
              <w:rPr>
                <w:rFonts w:hint="eastAsia"/>
                <w:vertAlign w:val="baseline"/>
              </w:rPr>
              <w:t>渗透系数</w:t>
            </w:r>
            <w:r>
              <w:rPr>
                <w:rFonts w:hint="eastAsia"/>
                <w:vertAlign w:val="baseline"/>
                <w:lang w:val="en-US" w:eastAsia="zh-CN"/>
              </w:rPr>
              <w:t>＜</w:t>
            </w:r>
            <w:r>
              <w:rPr>
                <w:rFonts w:hint="eastAsia"/>
                <w:vertAlign w:val="baseline"/>
              </w:rPr>
              <w:t>10⁻⁷cm/s</w:t>
            </w:r>
          </w:p>
        </w:tc>
        <w:tc>
          <w:tcPr>
            <w:tcW w:w="1992" w:type="dxa"/>
          </w:tcPr>
          <w:p w14:paraId="350703AE">
            <w:pPr>
              <w:pStyle w:val="57"/>
              <w:ind w:left="0" w:leftChars="0" w:firstLine="0" w:firstLineChars="0"/>
              <w:jc w:val="center"/>
              <w:rPr>
                <w:rFonts w:hint="eastAsia" w:eastAsia="宋体"/>
                <w:vertAlign w:val="baseline"/>
                <w:lang w:eastAsia="zh-CN"/>
              </w:rPr>
            </w:pPr>
            <w:r>
              <w:rPr>
                <w:rFonts w:hint="eastAsia"/>
              </w:rPr>
              <w:t>SL 258</w:t>
            </w:r>
            <w:r>
              <w:rPr>
                <w:rFonts w:hint="eastAsia"/>
                <w:lang w:eastAsia="zh-CN"/>
              </w:rPr>
              <w:t>、</w:t>
            </w:r>
            <w:r>
              <w:rPr>
                <w:rFonts w:hint="eastAsia"/>
                <w:vertAlign w:val="baseline"/>
              </w:rPr>
              <w:t>SL 72</w:t>
            </w:r>
            <w:r>
              <w:rPr>
                <w:rFonts w:hint="eastAsia"/>
                <w:vertAlign w:val="baseline"/>
                <w:lang w:val="en-US" w:eastAsia="zh-CN"/>
              </w:rPr>
              <w:t>9</w:t>
            </w:r>
          </w:p>
        </w:tc>
      </w:tr>
      <w:tr w14:paraId="1D312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8" w:type="dxa"/>
          </w:tcPr>
          <w:p w14:paraId="5E65755E">
            <w:pPr>
              <w:pStyle w:val="57"/>
              <w:ind w:left="0" w:leftChars="0" w:firstLine="0" w:firstLineChars="0"/>
              <w:jc w:val="center"/>
              <w:rPr>
                <w:rFonts w:hint="eastAsia"/>
                <w:vertAlign w:val="baseline"/>
              </w:rPr>
            </w:pPr>
            <w:r>
              <w:rPr>
                <w:rFonts w:hint="eastAsia"/>
                <w:vertAlign w:val="baseline"/>
              </w:rPr>
              <w:t>抗滑桩</w:t>
            </w:r>
          </w:p>
        </w:tc>
        <w:tc>
          <w:tcPr>
            <w:tcW w:w="2030" w:type="dxa"/>
          </w:tcPr>
          <w:p w14:paraId="2BB8A8E8">
            <w:pPr>
              <w:pStyle w:val="57"/>
              <w:ind w:left="0" w:leftChars="0" w:firstLine="0" w:firstLineChars="0"/>
              <w:jc w:val="center"/>
              <w:rPr>
                <w:rFonts w:hint="eastAsia"/>
                <w:vertAlign w:val="baseline"/>
              </w:rPr>
            </w:pPr>
            <w:r>
              <w:rPr>
                <w:rFonts w:hint="eastAsia"/>
                <w:vertAlign w:val="baseline"/>
              </w:rPr>
              <w:t>C50混凝土</w:t>
            </w:r>
          </w:p>
        </w:tc>
        <w:tc>
          <w:tcPr>
            <w:tcW w:w="3600" w:type="dxa"/>
          </w:tcPr>
          <w:p w14:paraId="355AFE69">
            <w:pPr>
              <w:pStyle w:val="57"/>
              <w:ind w:left="0" w:leftChars="0" w:firstLine="0" w:firstLineChars="0"/>
              <w:jc w:val="center"/>
              <w:rPr>
                <w:rFonts w:hint="eastAsia"/>
                <w:vertAlign w:val="baseline"/>
              </w:rPr>
            </w:pPr>
            <w:r>
              <w:rPr>
                <w:rFonts w:hint="eastAsia"/>
                <w:vertAlign w:val="baseline"/>
              </w:rPr>
              <w:t>桩间距</w:t>
            </w:r>
            <w:r>
              <w:rPr>
                <w:rFonts w:hint="eastAsia"/>
                <w:vertAlign w:val="baseline"/>
                <w:lang w:val="en-US" w:eastAsia="zh-CN"/>
              </w:rPr>
              <w:t>≤</w:t>
            </w:r>
            <w:r>
              <w:rPr>
                <w:rFonts w:hint="eastAsia"/>
                <w:vertAlign w:val="baseline"/>
              </w:rPr>
              <w:t>3D，抗压强度 ≥ 35 MPa</w:t>
            </w:r>
          </w:p>
        </w:tc>
        <w:tc>
          <w:tcPr>
            <w:tcW w:w="1992" w:type="dxa"/>
          </w:tcPr>
          <w:p w14:paraId="5BB185E2">
            <w:pPr>
              <w:pStyle w:val="57"/>
              <w:ind w:left="0" w:leftChars="0" w:firstLine="0" w:firstLineChars="0"/>
              <w:jc w:val="center"/>
              <w:rPr>
                <w:rFonts w:hint="eastAsia" w:eastAsia="宋体"/>
                <w:vertAlign w:val="baseline"/>
                <w:lang w:eastAsia="zh-CN"/>
              </w:rPr>
            </w:pPr>
            <w:r>
              <w:rPr>
                <w:rFonts w:hint="eastAsia"/>
              </w:rPr>
              <w:t>SL 258</w:t>
            </w:r>
            <w:r>
              <w:rPr>
                <w:rFonts w:hint="eastAsia"/>
                <w:lang w:eastAsia="zh-CN"/>
              </w:rPr>
              <w:t>、</w:t>
            </w:r>
            <w:r>
              <w:rPr>
                <w:rFonts w:hint="eastAsia"/>
                <w:vertAlign w:val="baseline"/>
              </w:rPr>
              <w:t>SL 72</w:t>
            </w:r>
            <w:r>
              <w:rPr>
                <w:rFonts w:hint="eastAsia"/>
                <w:vertAlign w:val="baseline"/>
                <w:lang w:val="en-US" w:eastAsia="zh-CN"/>
              </w:rPr>
              <w:t>9</w:t>
            </w:r>
          </w:p>
        </w:tc>
      </w:tr>
    </w:tbl>
    <w:p w14:paraId="4A23E7C3">
      <w:pPr>
        <w:pStyle w:val="106"/>
        <w:spacing w:before="120" w:after="120"/>
        <w:rPr>
          <w:rFonts w:hint="eastAsia"/>
        </w:rPr>
      </w:pPr>
      <w:bookmarkStart w:id="40" w:name="_Toc26791"/>
      <w:r>
        <w:rPr>
          <w:rFonts w:hint="eastAsia"/>
        </w:rPr>
        <w:t>图示</w:t>
      </w:r>
      <w:r>
        <w:rPr>
          <w:rFonts w:hint="eastAsia"/>
          <w:lang w:val="en-US" w:eastAsia="zh-CN"/>
        </w:rPr>
        <w:t>资料</w:t>
      </w:r>
      <w:bookmarkEnd w:id="40"/>
    </w:p>
    <w:p w14:paraId="68ACEAFA">
      <w:pPr>
        <w:pStyle w:val="57"/>
        <w:ind w:left="0" w:leftChars="0" w:firstLine="0" w:firstLineChars="0"/>
        <w:rPr>
          <w:rFonts w:hint="eastAsia"/>
        </w:rPr>
      </w:pPr>
      <w:r>
        <w:rPr>
          <w:rFonts w:hint="eastAsia"/>
          <w:lang w:val="en-US" w:eastAsia="zh-CN"/>
        </w:rPr>
        <w:t xml:space="preserve">6.5.1 </w:t>
      </w:r>
      <w:r>
        <w:rPr>
          <w:rFonts w:hint="eastAsia"/>
        </w:rPr>
        <w:t>典型帷幕灌浆施工剖面图。</w:t>
      </w:r>
    </w:p>
    <w:p w14:paraId="687E98A3">
      <w:pPr>
        <w:pStyle w:val="57"/>
        <w:ind w:left="0" w:leftChars="0" w:firstLine="0" w:firstLineChars="0"/>
        <w:rPr>
          <w:rFonts w:hint="eastAsia"/>
        </w:rPr>
      </w:pPr>
      <w:r>
        <w:rPr>
          <w:rFonts w:hint="eastAsia"/>
          <w:lang w:val="en-US" w:eastAsia="zh-CN"/>
        </w:rPr>
        <w:t xml:space="preserve">6.5.2 </w:t>
      </w:r>
      <w:r>
        <w:rPr>
          <w:rFonts w:hint="eastAsia"/>
        </w:rPr>
        <w:t>溢洪道扩建后的流量分析示意图。</w:t>
      </w:r>
    </w:p>
    <w:p w14:paraId="3255D501">
      <w:pPr>
        <w:pStyle w:val="105"/>
        <w:spacing w:before="240" w:after="240"/>
        <w:rPr>
          <w:rFonts w:hint="eastAsia"/>
        </w:rPr>
      </w:pPr>
      <w:bookmarkStart w:id="41" w:name="_Toc14261"/>
      <w:r>
        <w:rPr>
          <w:rFonts w:hint="eastAsia"/>
        </w:rPr>
        <w:t>技术咨询</w:t>
      </w:r>
      <w:bookmarkEnd w:id="41"/>
    </w:p>
    <w:p w14:paraId="33DD6E7F">
      <w:pPr>
        <w:pStyle w:val="106"/>
        <w:spacing w:before="120" w:after="120"/>
        <w:rPr>
          <w:rFonts w:hint="eastAsia"/>
        </w:rPr>
      </w:pPr>
      <w:bookmarkStart w:id="42" w:name="_Toc6379"/>
      <w:r>
        <w:rPr>
          <w:rFonts w:hint="eastAsia"/>
          <w:lang w:val="en-US" w:eastAsia="zh-CN"/>
        </w:rPr>
        <w:t>技术咨询</w:t>
      </w:r>
      <w:r>
        <w:rPr>
          <w:rFonts w:hint="eastAsia"/>
        </w:rPr>
        <w:t>程序前</w:t>
      </w:r>
      <w:bookmarkEnd w:id="42"/>
    </w:p>
    <w:p w14:paraId="508FB854">
      <w:pPr>
        <w:pStyle w:val="57"/>
        <w:ind w:left="0" w:leftChars="0" w:firstLine="0" w:firstLineChars="0"/>
        <w:rPr>
          <w:rFonts w:hint="eastAsia"/>
        </w:rPr>
      </w:pPr>
      <w:r>
        <w:rPr>
          <w:rFonts w:hint="eastAsia"/>
          <w:lang w:val="en-US" w:eastAsia="zh-CN"/>
        </w:rPr>
        <w:t xml:space="preserve">7.1.1 </w:t>
      </w:r>
      <w:r>
        <w:rPr>
          <w:rFonts w:hint="eastAsia"/>
        </w:rPr>
        <w:t>完成大坝现状调查与安全评估，形成初步诊断报告。</w:t>
      </w:r>
    </w:p>
    <w:p w14:paraId="6523CA98">
      <w:pPr>
        <w:pStyle w:val="57"/>
        <w:ind w:left="0" w:leftChars="0" w:firstLine="0" w:firstLineChars="0"/>
        <w:rPr>
          <w:rFonts w:hint="eastAsia"/>
        </w:rPr>
      </w:pPr>
      <w:r>
        <w:rPr>
          <w:rFonts w:hint="eastAsia"/>
          <w:lang w:val="en-US" w:eastAsia="zh-CN"/>
        </w:rPr>
        <w:t xml:space="preserve">7.1.2 </w:t>
      </w:r>
      <w:r>
        <w:rPr>
          <w:rFonts w:hint="eastAsia"/>
        </w:rPr>
        <w:t>确定技术咨询目标及主要关注领域。</w:t>
      </w:r>
    </w:p>
    <w:p w14:paraId="46D4D2A9">
      <w:pPr>
        <w:pStyle w:val="106"/>
        <w:spacing w:before="120" w:after="120"/>
        <w:rPr>
          <w:rFonts w:hint="eastAsia"/>
        </w:rPr>
      </w:pPr>
      <w:bookmarkStart w:id="43" w:name="_Toc7260"/>
      <w:r>
        <w:rPr>
          <w:rFonts w:hint="eastAsia"/>
          <w:lang w:val="en-US" w:eastAsia="zh-CN"/>
        </w:rPr>
        <w:t>咨询</w:t>
      </w:r>
      <w:r>
        <w:rPr>
          <w:rFonts w:hint="eastAsia"/>
        </w:rPr>
        <w:t>过程</w:t>
      </w:r>
      <w:bookmarkEnd w:id="43"/>
    </w:p>
    <w:p w14:paraId="3A30B9F8">
      <w:pPr>
        <w:pStyle w:val="57"/>
        <w:ind w:left="0" w:leftChars="0" w:firstLine="0" w:firstLineChars="0"/>
        <w:rPr>
          <w:rFonts w:hint="eastAsia"/>
        </w:rPr>
      </w:pPr>
      <w:r>
        <w:rPr>
          <w:rFonts w:hint="eastAsia"/>
          <w:lang w:val="en-US" w:eastAsia="zh-CN"/>
        </w:rPr>
        <w:t xml:space="preserve">7.2.1 </w:t>
      </w:r>
      <w:r>
        <w:rPr>
          <w:rFonts w:hint="eastAsia"/>
        </w:rPr>
        <w:t>数据收集包括历史运行资料、监测数据及周边环境信息。</w:t>
      </w:r>
    </w:p>
    <w:p w14:paraId="7B4CB893">
      <w:pPr>
        <w:pStyle w:val="57"/>
        <w:ind w:left="0" w:leftChars="0" w:firstLine="0" w:firstLineChars="0"/>
        <w:rPr>
          <w:rFonts w:hint="eastAsia"/>
        </w:rPr>
      </w:pPr>
      <w:r>
        <w:rPr>
          <w:rFonts w:hint="eastAsia"/>
          <w:lang w:val="en-US" w:eastAsia="zh-CN"/>
        </w:rPr>
        <w:t xml:space="preserve">7.2.2 </w:t>
      </w:r>
      <w:r>
        <w:rPr>
          <w:rFonts w:hint="eastAsia"/>
        </w:rPr>
        <w:t>方案论证</w:t>
      </w:r>
      <w:r>
        <w:rPr>
          <w:rFonts w:hint="eastAsia"/>
          <w:lang w:val="en-US" w:eastAsia="zh-CN"/>
        </w:rPr>
        <w:t>包括</w:t>
      </w:r>
      <w:r>
        <w:rPr>
          <w:rFonts w:hint="eastAsia"/>
        </w:rPr>
        <w:t>多方案比较分析，推荐最优加固方案。</w:t>
      </w:r>
    </w:p>
    <w:p w14:paraId="5AB30902">
      <w:pPr>
        <w:pStyle w:val="106"/>
        <w:spacing w:before="120" w:after="120"/>
        <w:rPr>
          <w:rFonts w:hint="eastAsia"/>
        </w:rPr>
      </w:pPr>
      <w:bookmarkStart w:id="44" w:name="_Toc9789"/>
      <w:r>
        <w:rPr>
          <w:rFonts w:hint="eastAsia"/>
          <w:lang w:val="en-US" w:eastAsia="zh-CN"/>
        </w:rPr>
        <w:t>咨询</w:t>
      </w:r>
      <w:r>
        <w:rPr>
          <w:rFonts w:hint="eastAsia"/>
        </w:rPr>
        <w:t>后的结果</w:t>
      </w:r>
      <w:bookmarkEnd w:id="44"/>
    </w:p>
    <w:p w14:paraId="10DA740E">
      <w:pPr>
        <w:pStyle w:val="57"/>
        <w:ind w:left="0" w:leftChars="0" w:firstLine="420" w:firstLineChars="200"/>
        <w:rPr>
          <w:rFonts w:hint="eastAsia"/>
        </w:rPr>
      </w:pPr>
      <w:r>
        <w:rPr>
          <w:rFonts w:hint="eastAsia"/>
          <w:lang w:val="en-US" w:eastAsia="zh-CN"/>
        </w:rPr>
        <w:t>咨询后应</w:t>
      </w:r>
      <w:r>
        <w:rPr>
          <w:rFonts w:hint="eastAsia"/>
        </w:rPr>
        <w:t>形成完整的技术咨询报告，包括问题诊断、加固建议及施工指导，满足验收要求。</w:t>
      </w:r>
    </w:p>
    <w:p w14:paraId="7409980C">
      <w:pPr>
        <w:pStyle w:val="105"/>
        <w:spacing w:before="240" w:after="240"/>
        <w:rPr>
          <w:rFonts w:hint="eastAsia"/>
        </w:rPr>
      </w:pPr>
      <w:bookmarkStart w:id="45" w:name="_Toc28586"/>
      <w:r>
        <w:rPr>
          <w:rFonts w:hint="eastAsia"/>
        </w:rPr>
        <w:t>咨询成果</w:t>
      </w:r>
      <w:bookmarkEnd w:id="45"/>
    </w:p>
    <w:p w14:paraId="6E23CDFE">
      <w:pPr>
        <w:pStyle w:val="106"/>
        <w:spacing w:before="120" w:after="120"/>
        <w:rPr>
          <w:rFonts w:hint="eastAsia"/>
        </w:rPr>
      </w:pPr>
      <w:bookmarkStart w:id="46" w:name="_Toc13090"/>
      <w:r>
        <w:rPr>
          <w:rFonts w:hint="eastAsia"/>
        </w:rPr>
        <w:t>验收要求</w:t>
      </w:r>
      <w:bookmarkEnd w:id="46"/>
    </w:p>
    <w:p w14:paraId="1E3C50E9">
      <w:pPr>
        <w:pStyle w:val="57"/>
        <w:ind w:left="0" w:leftChars="0" w:firstLine="420" w:firstLineChars="200"/>
        <w:rPr>
          <w:rFonts w:hint="eastAsia"/>
        </w:rPr>
      </w:pPr>
      <w:r>
        <w:rPr>
          <w:rFonts w:hint="eastAsia"/>
        </w:rPr>
        <w:t>技术咨询成果须经过</w:t>
      </w:r>
      <w:r>
        <w:rPr>
          <w:rFonts w:hint="eastAsia"/>
          <w:lang w:val="en-US" w:eastAsia="zh-CN"/>
        </w:rPr>
        <w:t>被咨询单位</w:t>
      </w:r>
      <w:r>
        <w:rPr>
          <w:rFonts w:hint="eastAsia"/>
        </w:rPr>
        <w:t>组织的专家评审，评审依据</w:t>
      </w:r>
      <w:r>
        <w:rPr>
          <w:rFonts w:hint="eastAsia"/>
          <w:lang w:val="en-US" w:eastAsia="zh-CN"/>
        </w:rPr>
        <w:t>符合</w:t>
      </w:r>
      <w:r>
        <w:rPr>
          <w:rFonts w:hint="eastAsia"/>
        </w:rPr>
        <w:t>GB/T 19022</w:t>
      </w:r>
      <w:r>
        <w:rPr>
          <w:rFonts w:hint="eastAsia"/>
          <w:lang w:eastAsia="zh-CN"/>
        </w:rPr>
        <w:t>、DL/T 5278</w:t>
      </w:r>
      <w:r>
        <w:rPr>
          <w:rFonts w:hint="eastAsia"/>
          <w:lang w:val="en-US" w:eastAsia="zh-CN"/>
        </w:rPr>
        <w:t>的规定</w:t>
      </w:r>
      <w:r>
        <w:rPr>
          <w:rFonts w:hint="eastAsia"/>
        </w:rPr>
        <w:t>。</w:t>
      </w:r>
    </w:p>
    <w:p w14:paraId="116AF716">
      <w:pPr>
        <w:pStyle w:val="106"/>
        <w:spacing w:before="120" w:after="120"/>
        <w:rPr>
          <w:rFonts w:hint="eastAsia"/>
        </w:rPr>
      </w:pPr>
      <w:bookmarkStart w:id="47" w:name="_Toc19119"/>
      <w:r>
        <w:rPr>
          <w:rFonts w:hint="eastAsia"/>
        </w:rPr>
        <w:t>评价指标</w:t>
      </w:r>
      <w:bookmarkEnd w:id="47"/>
    </w:p>
    <w:p w14:paraId="1E0AA310">
      <w:pPr>
        <w:pStyle w:val="57"/>
        <w:ind w:left="0" w:leftChars="0" w:firstLine="0" w:firstLineChars="0"/>
        <w:rPr>
          <w:rFonts w:hint="eastAsia"/>
        </w:rPr>
      </w:pPr>
      <w:r>
        <w:rPr>
          <w:rFonts w:hint="eastAsia"/>
          <w:lang w:val="en-US" w:eastAsia="zh-CN"/>
        </w:rPr>
        <w:t>8.2.1 技术咨询评价应遵循科学性，</w:t>
      </w:r>
      <w:r>
        <w:rPr>
          <w:rFonts w:hint="eastAsia"/>
        </w:rPr>
        <w:t>内容是否符合国家和行业规范，论据是否充分。</w:t>
      </w:r>
    </w:p>
    <w:p w14:paraId="33726C56">
      <w:pPr>
        <w:pStyle w:val="106"/>
        <w:spacing w:before="120" w:after="120"/>
        <w:rPr>
          <w:rFonts w:hint="eastAsia"/>
        </w:rPr>
      </w:pPr>
      <w:bookmarkStart w:id="48" w:name="_Toc23195"/>
      <w:r>
        <w:rPr>
          <w:rFonts w:hint="eastAsia"/>
        </w:rPr>
        <w:t>附录与报告</w:t>
      </w:r>
      <w:bookmarkEnd w:id="48"/>
    </w:p>
    <w:p w14:paraId="7D74F49C">
      <w:pPr>
        <w:pStyle w:val="57"/>
        <w:ind w:left="0" w:leftChars="0" w:firstLine="420" w:firstLineChars="200"/>
      </w:pPr>
      <w:r>
        <w:rPr>
          <w:rFonts w:hint="eastAsia"/>
          <w:lang w:val="en-US" w:eastAsia="zh-CN"/>
        </w:rPr>
        <w:t>技术咨询应</w:t>
      </w:r>
      <w:r>
        <w:rPr>
          <w:rFonts w:hint="eastAsia"/>
        </w:rPr>
        <w:t>附加大坝现状示意图、主要数据表格及专家评审意见记录。</w:t>
      </w:r>
    </w:p>
    <w:p w14:paraId="56536ECC">
      <w:pPr>
        <w:pStyle w:val="57"/>
        <w:ind w:firstLine="420"/>
      </w:pPr>
    </w:p>
    <w:bookmarkEnd w:id="3"/>
    <w:p w14:paraId="2FED7245">
      <w:pPr>
        <w:pStyle w:val="57"/>
        <w:ind w:firstLine="0" w:firstLineChars="0"/>
        <w:jc w:val="center"/>
      </w:pPr>
      <w:bookmarkStart w:id="49" w:name="BookMark8"/>
      <w:r>
        <w:drawing>
          <wp:inline distT="0" distB="0" distL="0" distR="0">
            <wp:extent cx="1485900" cy="317500"/>
            <wp:effectExtent l="0" t="0" r="0" b="635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4">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49"/>
    </w:p>
    <w:sectPr>
      <w:pgSz w:w="11906" w:h="16838"/>
      <w:pgMar w:top="1928" w:right="1134" w:bottom="1134" w:left="1134" w:header="1418" w:footer="1134" w:gutter="284"/>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隶属">
    <w:altName w:val="宋体"/>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D560C">
    <w:pPr>
      <w:widowControl w:val="0"/>
      <w:tabs>
        <w:tab w:val="center" w:pos="4153"/>
        <w:tab w:val="right" w:pos="8306"/>
      </w:tabs>
      <w:snapToGrid w:val="0"/>
      <w:jc w:val="left"/>
      <w:rPr>
        <w:rFonts w:ascii="等线" w:hAnsi="等线" w:eastAsia="等线"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等线" w:hAnsi="等线" w:eastAsia="等线" w:cs="Times New Roman"/>
        <w:kern w:val="2"/>
        <w:sz w:val="21"/>
        <w:szCs w:val="22"/>
        <w:lang w:val="en-US" w:eastAsia="zh-CN" w:bidi="ar-SA"/>
      </w:rPr>
      <w:id w:val="-548138633"/>
      <w:docPartObj>
        <w:docPartGallery w:val="autotext"/>
      </w:docPartObj>
    </w:sdtPr>
    <w:sdtEndPr>
      <w:rPr>
        <w:rFonts w:ascii="等线" w:hAnsi="等线" w:eastAsia="等线" w:cs="Times New Roman"/>
        <w:kern w:val="2"/>
        <w:sz w:val="18"/>
        <w:szCs w:val="18"/>
        <w:lang w:val="en-US" w:eastAsia="zh-CN" w:bidi="ar-SA"/>
      </w:rPr>
    </w:sdtEndPr>
    <w:sdtContent>
      <w:p w14:paraId="4DF9276B">
        <w:pPr>
          <w:framePr w:wrap="auto" w:vAnchor="text" w:hAnchor="margin" w:xAlign="center" w:y="1"/>
          <w:widowControl w:val="0"/>
          <w:tabs>
            <w:tab w:val="center" w:pos="4153"/>
            <w:tab w:val="right" w:pos="8306"/>
          </w:tabs>
          <w:snapToGrid w:val="0"/>
          <w:jc w:val="left"/>
          <w:rPr>
            <w:rFonts w:ascii="等线" w:hAnsi="等线" w:eastAsia="等线" w:cs="Times New Roman"/>
            <w:kern w:val="2"/>
            <w:sz w:val="18"/>
            <w:szCs w:val="18"/>
            <w:lang w:val="en-US" w:eastAsia="zh-CN" w:bidi="ar-SA"/>
          </w:rPr>
        </w:pPr>
        <w:r>
          <w:rPr>
            <w:rFonts w:ascii="宋体" w:hAnsi="Times New Roman" w:eastAsia="宋体" w:cs="宋体"/>
            <w:kern w:val="2"/>
            <w:sz w:val="18"/>
            <w:szCs w:val="18"/>
            <w:lang w:val="en-US" w:eastAsia="zh-CN" w:bidi="ar-SA"/>
          </w:rPr>
          <w:fldChar w:fldCharType="begin"/>
        </w:r>
        <w:r>
          <w:rPr>
            <w:rFonts w:ascii="宋体" w:hAnsi="Times New Roman" w:eastAsia="宋体" w:cs="宋体"/>
            <w:kern w:val="2"/>
            <w:sz w:val="18"/>
            <w:szCs w:val="18"/>
            <w:lang w:val="en-US" w:eastAsia="zh-CN" w:bidi="ar-SA"/>
          </w:rPr>
          <w:instrText xml:space="preserve"> PAGE </w:instrText>
        </w:r>
        <w:r>
          <w:rPr>
            <w:rFonts w:ascii="宋体" w:hAnsi="Times New Roman" w:eastAsia="宋体" w:cs="宋体"/>
            <w:kern w:val="2"/>
            <w:sz w:val="18"/>
            <w:szCs w:val="18"/>
            <w:lang w:val="en-US" w:eastAsia="zh-CN" w:bidi="ar-SA"/>
          </w:rPr>
          <w:fldChar w:fldCharType="end"/>
        </w:r>
      </w:p>
    </w:sdtContent>
  </w:sdt>
  <w:p w14:paraId="6C795CB2">
    <w:pPr>
      <w:widowControl w:val="0"/>
      <w:tabs>
        <w:tab w:val="center" w:pos="4153"/>
        <w:tab w:val="right" w:pos="8306"/>
      </w:tabs>
      <w:snapToGrid w:val="0"/>
      <w:jc w:val="left"/>
      <w:rPr>
        <w:rFonts w:ascii="等线" w:hAnsi="等线" w:eastAsia="等线" w:cs="Times New Roman"/>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等线" w:hAnsi="等线" w:eastAsia="等线" w:cs="Times New Roman"/>
        <w:kern w:val="2"/>
        <w:sz w:val="21"/>
        <w:szCs w:val="22"/>
        <w:lang w:val="en-US" w:eastAsia="zh-CN" w:bidi="ar-SA"/>
      </w:rPr>
      <w:id w:val="1458601550"/>
      <w:docPartObj>
        <w:docPartGallery w:val="autotext"/>
      </w:docPartObj>
    </w:sdtPr>
    <w:sdtEndPr>
      <w:rPr>
        <w:rFonts w:ascii="等线" w:hAnsi="等线" w:eastAsia="等线" w:cs="Times New Roman"/>
        <w:kern w:val="2"/>
        <w:sz w:val="18"/>
        <w:szCs w:val="18"/>
        <w:lang w:val="en-US" w:eastAsia="zh-CN" w:bidi="ar-SA"/>
      </w:rPr>
    </w:sdtEndPr>
    <w:sdtContent>
      <w:p w14:paraId="70A7C0F0">
        <w:pPr>
          <w:widowControl w:val="0"/>
          <w:tabs>
            <w:tab w:val="center" w:pos="4153"/>
            <w:tab w:val="right" w:pos="8306"/>
          </w:tabs>
          <w:snapToGrid w:val="0"/>
          <w:jc w:val="left"/>
          <w:rPr>
            <w:rFonts w:ascii="等线" w:hAnsi="等线" w:eastAsia="等线" w:cs="Times New Roman"/>
            <w:kern w:val="2"/>
            <w:sz w:val="18"/>
            <w:szCs w:val="18"/>
            <w:lang w:val="en-US" w:eastAsia="zh-CN" w:bidi="ar-SA"/>
          </w:rPr>
        </w:pPr>
      </w:p>
    </w:sdtContent>
  </w:sdt>
  <w:p w14:paraId="6BB0D56A">
    <w:pPr>
      <w:widowControl w:val="0"/>
      <w:tabs>
        <w:tab w:val="center" w:pos="4153"/>
        <w:tab w:val="right" w:pos="8306"/>
      </w:tabs>
      <w:snapToGrid w:val="0"/>
      <w:jc w:val="left"/>
      <w:rPr>
        <w:rFonts w:ascii="等线" w:hAnsi="等线" w:eastAsia="等线" w:cs="Times New Roman"/>
        <w:kern w:val="2"/>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BAEF5">
    <w:pPr>
      <w:pStyle w:val="53"/>
    </w:pPr>
    <w:r>
      <w:fldChar w:fldCharType="begin"/>
    </w:r>
    <w:r>
      <w:instrText xml:space="preserve">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C23FF">
    <w:pPr>
      <w:pStyle w:val="62"/>
      <w:wordWrap w:val="0"/>
      <w:rPr>
        <w:rFonts w:hint="default" w:eastAsia="黑体"/>
        <w:lang w:val="en-US" w:eastAsia="zh-CN"/>
      </w:rPr>
    </w:pPr>
    <w:r>
      <w:rPr>
        <w:rFonts w:hint="eastAsia"/>
        <w:lang w:val="en-US" w:eastAsia="zh-CN"/>
      </w:rPr>
      <w:t>T/CI XXX-2024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251C4">
    <w:pPr>
      <w:pStyle w:val="19"/>
      <w:jc w:val="right"/>
    </w:pPr>
    <w:r>
      <w:fldChar w:fldCharType="begin"/>
    </w:r>
    <w:r>
      <w:instrText xml:space="preserve"> STYLEREF  标准文件_文件编号  \* MERGEFORMAT </w:instrText>
    </w:r>
    <w:r>
      <w:fldChar w:fldCharType="separate"/>
    </w:r>
    <w:r>
      <w:rPr>
        <w:b/>
      </w:rPr>
      <w:t>错误！文档中没有指定样式的文字。</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5"/>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0"/>
      <w:suff w:val="nothing"/>
      <w:lvlText w:val="%1%2.%3　"/>
      <w:lvlJc w:val="left"/>
      <w:pPr>
        <w:ind w:left="0" w:firstLine="0"/>
      </w:pPr>
    </w:lvl>
    <w:lvl w:ilvl="3" w:tentative="0">
      <w:start w:val="1"/>
      <w:numFmt w:val="decimal"/>
      <w:pStyle w:val="119"/>
      <w:suff w:val="nothing"/>
      <w:lvlText w:val="%1%2.%3.%4　"/>
      <w:lvlJc w:val="left"/>
      <w:pPr>
        <w:ind w:left="0" w:firstLine="0"/>
      </w:pPr>
    </w:lvl>
    <w:lvl w:ilvl="4" w:tentative="0">
      <w:start w:val="1"/>
      <w:numFmt w:val="decimal"/>
      <w:pStyle w:val="154"/>
      <w:suff w:val="nothing"/>
      <w:lvlText w:val="%1%2.%3.%4.%5　"/>
      <w:lvlJc w:val="left"/>
      <w:pPr>
        <w:ind w:left="0" w:firstLine="0"/>
      </w:pPr>
    </w:lvl>
    <w:lvl w:ilvl="5" w:tentative="0">
      <w:start w:val="1"/>
      <w:numFmt w:val="decimal"/>
      <w:pStyle w:val="156"/>
      <w:suff w:val="nothing"/>
      <w:lvlText w:val="%1%2.%3.%4.%5.%6　"/>
      <w:lvlJc w:val="left"/>
      <w:pPr>
        <w:ind w:left="0" w:firstLine="0"/>
      </w:pPr>
    </w:lvl>
    <w:lvl w:ilvl="6" w:tentative="0">
      <w:start w:val="1"/>
      <w:numFmt w:val="decimal"/>
      <w:pStyle w:val="159"/>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1"/>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90"/>
      <w:lvlText w:val="%1"/>
      <w:lvlJc w:val="left"/>
      <w:pPr>
        <w:ind w:left="425" w:hanging="425"/>
      </w:pPr>
      <w:rPr>
        <w:rFonts w:hint="eastAsia"/>
      </w:rPr>
    </w:lvl>
    <w:lvl w:ilvl="1" w:tentative="0">
      <w:start w:val="1"/>
      <w:numFmt w:val="decimal"/>
      <w:pStyle w:val="201"/>
      <w:suff w:val="nothing"/>
      <w:lvlText w:val="%10.%2 "/>
      <w:lvlJc w:val="left"/>
      <w:pPr>
        <w:ind w:left="0" w:firstLine="0"/>
      </w:pPr>
      <w:rPr>
        <w:rFonts w:hint="eastAsia" w:ascii="黑体" w:eastAsia="黑体" w:hAnsiTheme="minorHAnsi"/>
        <w:b w:val="0"/>
        <w:i w:val="0"/>
        <w:sz w:val="21"/>
      </w:rPr>
    </w:lvl>
    <w:lvl w:ilvl="2" w:tentative="0">
      <w:start w:val="1"/>
      <w:numFmt w:val="decimal"/>
      <w:pStyle w:val="202"/>
      <w:suff w:val="nothing"/>
      <w:lvlText w:val="%10.%2.%3 "/>
      <w:lvlJc w:val="left"/>
      <w:pPr>
        <w:ind w:left="0" w:firstLine="0"/>
      </w:pPr>
      <w:rPr>
        <w:rFonts w:hint="eastAsia" w:ascii="黑体" w:eastAsia="黑体" w:hAnsiTheme="minorHAnsi"/>
        <w:b w:val="0"/>
        <w:i w:val="0"/>
        <w:sz w:val="21"/>
      </w:rPr>
    </w:lvl>
    <w:lvl w:ilvl="3" w:tentative="0">
      <w:start w:val="1"/>
      <w:numFmt w:val="decimal"/>
      <w:pStyle w:val="203"/>
      <w:suff w:val="nothing"/>
      <w:lvlText w:val="%10.%2.%3.%4 "/>
      <w:lvlJc w:val="left"/>
      <w:pPr>
        <w:ind w:left="0" w:firstLine="0"/>
      </w:pPr>
      <w:rPr>
        <w:rFonts w:hint="eastAsia" w:ascii="黑体" w:eastAsia="黑体" w:hAnsiTheme="minorHAnsi"/>
        <w:b w:val="0"/>
        <w:i w:val="0"/>
        <w:sz w:val="21"/>
      </w:rPr>
    </w:lvl>
    <w:lvl w:ilvl="4" w:tentative="0">
      <w:start w:val="1"/>
      <w:numFmt w:val="decimal"/>
      <w:pStyle w:val="204"/>
      <w:suff w:val="nothing"/>
      <w:lvlText w:val="%10.%2.%3.%4.%5 "/>
      <w:lvlJc w:val="left"/>
      <w:pPr>
        <w:ind w:left="0" w:firstLine="0"/>
      </w:pPr>
      <w:rPr>
        <w:rFonts w:hint="eastAsia" w:ascii="黑体" w:eastAsia="黑体" w:hAnsiTheme="minorHAnsi"/>
        <w:b w:val="0"/>
        <w:i w:val="0"/>
        <w:sz w:val="21"/>
      </w:rPr>
    </w:lvl>
    <w:lvl w:ilvl="5" w:tentative="0">
      <w:start w:val="1"/>
      <w:numFmt w:val="decimal"/>
      <w:pStyle w:val="205"/>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2"/>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68"/>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70"/>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1"/>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86"/>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3"/>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3"/>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8"/>
      <w:lvlText w:val=""/>
      <w:lvlJc w:val="left"/>
      <w:pPr>
        <w:ind w:left="851" w:hanging="431"/>
      </w:pPr>
      <w:rPr>
        <w:rFonts w:hint="default" w:ascii="Symbol" w:hAnsi="Symbol"/>
        <w:sz w:val="21"/>
      </w:rPr>
    </w:lvl>
    <w:lvl w:ilvl="2" w:tentative="0">
      <w:start w:val="1"/>
      <w:numFmt w:val="bullet"/>
      <w:pStyle w:val="173"/>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2"/>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5"/>
      <w:lvlText w:val="%1)"/>
      <w:lvlJc w:val="left"/>
      <w:pPr>
        <w:tabs>
          <w:tab w:val="left" w:pos="851"/>
        </w:tabs>
        <w:ind w:left="851" w:hanging="426"/>
      </w:pPr>
      <w:rPr>
        <w:rFonts w:hint="eastAsia" w:ascii="宋体" w:hAnsi="Times New Roman" w:eastAsia="宋体"/>
        <w:sz w:val="21"/>
      </w:rPr>
    </w:lvl>
    <w:lvl w:ilvl="1" w:tentative="0">
      <w:start w:val="1"/>
      <w:numFmt w:val="decimal"/>
      <w:pStyle w:val="110"/>
      <w:lvlText w:val="%2)"/>
      <w:lvlJc w:val="left"/>
      <w:pPr>
        <w:tabs>
          <w:tab w:val="left" w:pos="1276"/>
        </w:tabs>
        <w:ind w:left="1276" w:hanging="425"/>
      </w:pPr>
      <w:rPr>
        <w:rFonts w:hint="eastAsia" w:ascii="宋体" w:hAnsi="Times New Roman" w:eastAsia="宋体"/>
        <w:sz w:val="21"/>
      </w:rPr>
    </w:lvl>
    <w:lvl w:ilvl="2" w:tentative="0">
      <w:start w:val="1"/>
      <w:numFmt w:val="decimal"/>
      <w:pStyle w:val="118"/>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199"/>
      <w:lvlText w:val="%1"/>
      <w:lvlJc w:val="left"/>
      <w:pPr>
        <w:ind w:left="420" w:hanging="420"/>
      </w:pPr>
      <w:rPr>
        <w:rFonts w:hint="eastAsia"/>
      </w:rPr>
    </w:lvl>
    <w:lvl w:ilvl="1" w:tentative="0">
      <w:start w:val="1"/>
      <w:numFmt w:val="decimal"/>
      <w:pStyle w:val="84"/>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4"/>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tentative="0">
      <w:start w:val="1"/>
      <w:numFmt w:val="decimal"/>
      <w:pStyle w:val="117"/>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6">
    <w:nsid w:val="54632751"/>
    <w:multiLevelType w:val="multilevel"/>
    <w:tmpl w:val="54632751"/>
    <w:lvl w:ilvl="0" w:tentative="0">
      <w:start w:val="1"/>
      <w:numFmt w:val="none"/>
      <w:pStyle w:val="94"/>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7">
    <w:nsid w:val="557C2AF5"/>
    <w:multiLevelType w:val="multilevel"/>
    <w:tmpl w:val="557C2AF5"/>
    <w:lvl w:ilvl="0" w:tentative="0">
      <w:start w:val="1"/>
      <w:numFmt w:val="decimal"/>
      <w:pStyle w:val="115"/>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603797C"/>
    <w:multiLevelType w:val="multilevel"/>
    <w:tmpl w:val="5603797C"/>
    <w:lvl w:ilvl="0" w:tentative="0">
      <w:start w:val="1"/>
      <w:numFmt w:val="upperLetter"/>
      <w:pStyle w:val="200"/>
      <w:suff w:val="space"/>
      <w:lvlText w:val="%1"/>
      <w:lvlJc w:val="left"/>
      <w:pPr>
        <w:ind w:left="425" w:hanging="425"/>
      </w:pPr>
      <w:rPr>
        <w:rFonts w:hint="eastAsia"/>
      </w:rPr>
    </w:lvl>
    <w:lvl w:ilvl="1" w:tentative="0">
      <w:start w:val="1"/>
      <w:numFmt w:val="decimal"/>
      <w:pStyle w:val="78"/>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64D2089"/>
    <w:multiLevelType w:val="multilevel"/>
    <w:tmpl w:val="564D2089"/>
    <w:lvl w:ilvl="0" w:tentative="0">
      <w:start w:val="1"/>
      <w:numFmt w:val="none"/>
      <w:pStyle w:val="112"/>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44622F9"/>
    <w:multiLevelType w:val="multilevel"/>
    <w:tmpl w:val="644622F9"/>
    <w:lvl w:ilvl="0" w:tentative="0">
      <w:start w:val="1"/>
      <w:numFmt w:val="upperRoman"/>
      <w:pStyle w:val="169"/>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1">
    <w:nsid w:val="646260FA"/>
    <w:multiLevelType w:val="multilevel"/>
    <w:tmpl w:val="646260FA"/>
    <w:lvl w:ilvl="0" w:tentative="0">
      <w:start w:val="1"/>
      <w:numFmt w:val="decimal"/>
      <w:pStyle w:val="113"/>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2">
    <w:nsid w:val="654A26C9"/>
    <w:multiLevelType w:val="multilevel"/>
    <w:tmpl w:val="654A26C9"/>
    <w:lvl w:ilvl="0" w:tentative="0">
      <w:start w:val="1"/>
      <w:numFmt w:val="none"/>
      <w:pStyle w:val="190"/>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3">
    <w:nsid w:val="657D3FBC"/>
    <w:multiLevelType w:val="multilevel"/>
    <w:tmpl w:val="657D3FBC"/>
    <w:lvl w:ilvl="0" w:tentative="0">
      <w:start w:val="1"/>
      <w:numFmt w:val="upperLetter"/>
      <w:pStyle w:val="77"/>
      <w:suff w:val="nothing"/>
      <w:lvlText w:val="附录%1"/>
      <w:lvlJc w:val="left"/>
      <w:pPr>
        <w:ind w:left="0" w:firstLine="0"/>
      </w:pPr>
      <w:rPr>
        <w:rFonts w:hint="eastAsia"/>
        <w:spacing w:val="100"/>
      </w:rPr>
    </w:lvl>
    <w:lvl w:ilvl="1" w:tentative="0">
      <w:start w:val="1"/>
      <w:numFmt w:val="decimal"/>
      <w:pStyle w:val="79"/>
      <w:suff w:val="nothing"/>
      <w:lvlText w:val="%1.%2　"/>
      <w:lvlJc w:val="left"/>
      <w:pPr>
        <w:ind w:left="0" w:firstLine="0"/>
      </w:pPr>
      <w:rPr>
        <w:rFonts w:hint="eastAsia" w:ascii="黑体" w:eastAsia="黑体"/>
        <w:b w:val="0"/>
        <w:i w:val="0"/>
        <w:sz w:val="21"/>
      </w:rPr>
    </w:lvl>
    <w:lvl w:ilvl="2" w:tentative="0">
      <w:start w:val="1"/>
      <w:numFmt w:val="decimal"/>
      <w:pStyle w:val="80"/>
      <w:suff w:val="nothing"/>
      <w:lvlText w:val="%1.%2.%3　"/>
      <w:lvlJc w:val="left"/>
      <w:pPr>
        <w:ind w:left="0" w:firstLine="0"/>
      </w:pPr>
      <w:rPr>
        <w:rFonts w:hint="eastAsia" w:ascii="黑体" w:eastAsia="黑体"/>
        <w:b w:val="0"/>
        <w:i w:val="0"/>
        <w:sz w:val="21"/>
      </w:rPr>
    </w:lvl>
    <w:lvl w:ilvl="3" w:tentative="0">
      <w:start w:val="1"/>
      <w:numFmt w:val="decimal"/>
      <w:pStyle w:val="82"/>
      <w:suff w:val="nothing"/>
      <w:lvlText w:val="%1.%2.%3.%4　"/>
      <w:lvlJc w:val="left"/>
      <w:pPr>
        <w:ind w:left="0" w:firstLine="0"/>
      </w:pPr>
      <w:rPr>
        <w:rFonts w:hint="eastAsia" w:ascii="黑体" w:eastAsia="黑体"/>
        <w:b w:val="0"/>
        <w:i w:val="0"/>
        <w:sz w:val="21"/>
      </w:rPr>
    </w:lvl>
    <w:lvl w:ilvl="4" w:tentative="0">
      <w:start w:val="1"/>
      <w:numFmt w:val="decimal"/>
      <w:pStyle w:val="83"/>
      <w:suff w:val="nothing"/>
      <w:lvlText w:val="%1.%2.%3.%4.%5　"/>
      <w:lvlJc w:val="left"/>
      <w:pPr>
        <w:ind w:left="0" w:firstLine="0"/>
      </w:pPr>
      <w:rPr>
        <w:rFonts w:hint="eastAsia" w:ascii="黑体" w:eastAsia="黑体"/>
        <w:b w:val="0"/>
        <w:i w:val="0"/>
        <w:sz w:val="21"/>
      </w:rPr>
    </w:lvl>
    <w:lvl w:ilvl="5" w:tentative="0">
      <w:start w:val="1"/>
      <w:numFmt w:val="decimal"/>
      <w:pStyle w:val="85"/>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69506ABF"/>
    <w:multiLevelType w:val="multilevel"/>
    <w:tmpl w:val="69506ABF"/>
    <w:lvl w:ilvl="0" w:tentative="0">
      <w:start w:val="1"/>
      <w:numFmt w:val="bullet"/>
      <w:pStyle w:val="189"/>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5">
    <w:nsid w:val="6CA41985"/>
    <w:multiLevelType w:val="multilevel"/>
    <w:tmpl w:val="6CA41985"/>
    <w:lvl w:ilvl="0" w:tentative="0">
      <w:start w:val="1"/>
      <w:numFmt w:val="decimal"/>
      <w:pStyle w:val="98"/>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CE42AC1"/>
    <w:multiLevelType w:val="multilevel"/>
    <w:tmpl w:val="6CE42AC1"/>
    <w:lvl w:ilvl="0" w:tentative="0">
      <w:start w:val="1"/>
      <w:numFmt w:val="lowerLetter"/>
      <w:pStyle w:val="17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CEA2025"/>
    <w:multiLevelType w:val="multilevel"/>
    <w:tmpl w:val="6CEA2025"/>
    <w:lvl w:ilvl="0" w:tentative="0">
      <w:start w:val="1"/>
      <w:numFmt w:val="none"/>
      <w:pStyle w:val="153"/>
      <w:suff w:val="nothing"/>
      <w:lvlText w:val="%1"/>
      <w:lvlJc w:val="left"/>
      <w:pPr>
        <w:ind w:left="0" w:firstLine="0"/>
      </w:pPr>
      <w:rPr>
        <w:rFonts w:hint="eastAsia"/>
      </w:rPr>
    </w:lvl>
    <w:lvl w:ilvl="1" w:tentative="0">
      <w:start w:val="1"/>
      <w:numFmt w:val="decimal"/>
      <w:pStyle w:val="105"/>
      <w:suff w:val="nothing"/>
      <w:lvlText w:val="%1%2　"/>
      <w:lvlJc w:val="left"/>
      <w:pPr>
        <w:ind w:left="0" w:firstLine="0"/>
      </w:pPr>
      <w:rPr>
        <w:rFonts w:hint="eastAsia" w:ascii="黑体" w:eastAsia="黑体"/>
        <w:b w:val="0"/>
        <w:i w:val="0"/>
        <w:sz w:val="21"/>
      </w:rPr>
    </w:lvl>
    <w:lvl w:ilvl="2" w:tentative="0">
      <w:start w:val="1"/>
      <w:numFmt w:val="decimal"/>
      <w:pStyle w:val="106"/>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66"/>
      <w:suff w:val="nothing"/>
      <w:lvlText w:val="%1%2.%3.%4　"/>
      <w:lvlJc w:val="left"/>
      <w:pPr>
        <w:ind w:left="0" w:firstLine="0"/>
      </w:pPr>
      <w:rPr>
        <w:rFonts w:hint="eastAsia" w:ascii="黑体" w:eastAsia="黑体"/>
        <w:b w:val="0"/>
        <w:i w:val="0"/>
        <w:sz w:val="21"/>
      </w:rPr>
    </w:lvl>
    <w:lvl w:ilvl="4" w:tentative="0">
      <w:start w:val="1"/>
      <w:numFmt w:val="decimal"/>
      <w:pStyle w:val="95"/>
      <w:suff w:val="nothing"/>
      <w:lvlText w:val="%1%2.%3.%4.%5　"/>
      <w:lvlJc w:val="left"/>
      <w:pPr>
        <w:ind w:left="0" w:firstLine="0"/>
      </w:pPr>
      <w:rPr>
        <w:rFonts w:hint="eastAsia" w:ascii="黑体" w:eastAsia="黑体"/>
        <w:b w:val="0"/>
        <w:i w:val="0"/>
        <w:sz w:val="21"/>
      </w:rPr>
    </w:lvl>
    <w:lvl w:ilvl="5" w:tentative="0">
      <w:start w:val="1"/>
      <w:numFmt w:val="decimal"/>
      <w:pStyle w:val="99"/>
      <w:suff w:val="nothing"/>
      <w:lvlText w:val="%1%2.%3.%4.%5.%6　"/>
      <w:lvlJc w:val="left"/>
      <w:pPr>
        <w:ind w:left="0" w:firstLine="0"/>
      </w:pPr>
      <w:rPr>
        <w:rFonts w:hint="eastAsia" w:ascii="黑体" w:eastAsia="黑体"/>
        <w:b w:val="0"/>
        <w:i w:val="0"/>
        <w:sz w:val="21"/>
      </w:rPr>
    </w:lvl>
    <w:lvl w:ilvl="6" w:tentative="0">
      <w:start w:val="1"/>
      <w:numFmt w:val="decimal"/>
      <w:pStyle w:val="104"/>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8">
    <w:nsid w:val="6DBF04F4"/>
    <w:multiLevelType w:val="multilevel"/>
    <w:tmpl w:val="6DBF04F4"/>
    <w:lvl w:ilvl="0" w:tentative="0">
      <w:start w:val="1"/>
      <w:numFmt w:val="none"/>
      <w:pStyle w:val="180"/>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9">
    <w:nsid w:val="6DF35F19"/>
    <w:multiLevelType w:val="multilevel"/>
    <w:tmpl w:val="6DF35F19"/>
    <w:lvl w:ilvl="0" w:tentative="0">
      <w:start w:val="1"/>
      <w:numFmt w:val="decimal"/>
      <w:pStyle w:val="116"/>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0">
    <w:nsid w:val="76933334"/>
    <w:multiLevelType w:val="multilevel"/>
    <w:tmpl w:val="76933334"/>
    <w:lvl w:ilvl="0" w:tentative="0">
      <w:start w:val="1"/>
      <w:numFmt w:val="none"/>
      <w:pStyle w:val="140"/>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7"/>
  </w:num>
  <w:num w:numId="3">
    <w:abstractNumId w:val="5"/>
  </w:num>
  <w:num w:numId="4">
    <w:abstractNumId w:val="23"/>
  </w:num>
  <w:num w:numId="5">
    <w:abstractNumId w:val="18"/>
  </w:num>
  <w:num w:numId="6">
    <w:abstractNumId w:val="13"/>
  </w:num>
  <w:num w:numId="7">
    <w:abstractNumId w:val="8"/>
  </w:num>
  <w:num w:numId="8">
    <w:abstractNumId w:val="3"/>
  </w:num>
  <w:num w:numId="9">
    <w:abstractNumId w:val="9"/>
  </w:num>
  <w:num w:numId="10">
    <w:abstractNumId w:val="16"/>
  </w:num>
  <w:num w:numId="11">
    <w:abstractNumId w:val="25"/>
  </w:num>
  <w:num w:numId="12">
    <w:abstractNumId w:val="11"/>
  </w:num>
  <w:num w:numId="13">
    <w:abstractNumId w:val="12"/>
  </w:num>
  <w:num w:numId="14">
    <w:abstractNumId w:val="7"/>
  </w:num>
  <w:num w:numId="15">
    <w:abstractNumId w:val="19"/>
  </w:num>
  <w:num w:numId="16">
    <w:abstractNumId w:val="21"/>
  </w:num>
  <w:num w:numId="17">
    <w:abstractNumId w:val="17"/>
  </w:num>
  <w:num w:numId="18">
    <w:abstractNumId w:val="29"/>
  </w:num>
  <w:num w:numId="19">
    <w:abstractNumId w:val="15"/>
  </w:num>
  <w:num w:numId="20">
    <w:abstractNumId w:val="1"/>
  </w:num>
  <w:num w:numId="21">
    <w:abstractNumId w:val="10"/>
  </w:num>
  <w:num w:numId="22">
    <w:abstractNumId w:val="30"/>
  </w:num>
  <w:num w:numId="23">
    <w:abstractNumId w:val="20"/>
  </w:num>
  <w:num w:numId="24">
    <w:abstractNumId w:val="6"/>
  </w:num>
  <w:num w:numId="25">
    <w:abstractNumId w:val="26"/>
  </w:num>
  <w:num w:numId="26">
    <w:abstractNumId w:val="28"/>
  </w:num>
  <w:num w:numId="27">
    <w:abstractNumId w:val="2"/>
  </w:num>
  <w:num w:numId="28">
    <w:abstractNumId w:val="4"/>
  </w:num>
  <w:num w:numId="29">
    <w:abstractNumId w:val="14"/>
  </w:num>
  <w:num w:numId="30">
    <w:abstractNumId w:val="24"/>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forms"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UwM2M0YTEyMWNkODhlODVmNGRhNDg3YjM2NWI0MjIifQ=="/>
  </w:docVars>
  <w:rsids>
    <w:rsidRoot w:val="00AB7E8B"/>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365ED"/>
    <w:rsid w:val="00041EFD"/>
    <w:rsid w:val="0004249A"/>
    <w:rsid w:val="00043282"/>
    <w:rsid w:val="00044286"/>
    <w:rsid w:val="00047F28"/>
    <w:rsid w:val="000503AA"/>
    <w:rsid w:val="000506A1"/>
    <w:rsid w:val="000515DD"/>
    <w:rsid w:val="0005265A"/>
    <w:rsid w:val="000527F0"/>
    <w:rsid w:val="000539DD"/>
    <w:rsid w:val="00053BD3"/>
    <w:rsid w:val="000556ED"/>
    <w:rsid w:val="00055FE2"/>
    <w:rsid w:val="0005616F"/>
    <w:rsid w:val="00060C2E"/>
    <w:rsid w:val="00061033"/>
    <w:rsid w:val="000619E9"/>
    <w:rsid w:val="000622D4"/>
    <w:rsid w:val="0006357D"/>
    <w:rsid w:val="00067F1E"/>
    <w:rsid w:val="00071CC0"/>
    <w:rsid w:val="00071CFC"/>
    <w:rsid w:val="00073C8C"/>
    <w:rsid w:val="00077B64"/>
    <w:rsid w:val="00077FF2"/>
    <w:rsid w:val="00080A1C"/>
    <w:rsid w:val="00081D62"/>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6362"/>
    <w:rsid w:val="000C7666"/>
    <w:rsid w:val="000D0A9C"/>
    <w:rsid w:val="000D1255"/>
    <w:rsid w:val="000D1795"/>
    <w:rsid w:val="000D329A"/>
    <w:rsid w:val="000D4B9C"/>
    <w:rsid w:val="000D4EB6"/>
    <w:rsid w:val="000D753B"/>
    <w:rsid w:val="000E4C9E"/>
    <w:rsid w:val="000E6FD7"/>
    <w:rsid w:val="000E7144"/>
    <w:rsid w:val="000F06E1"/>
    <w:rsid w:val="000F0E3C"/>
    <w:rsid w:val="000F19D5"/>
    <w:rsid w:val="000F4050"/>
    <w:rsid w:val="000F4AEA"/>
    <w:rsid w:val="000F67E9"/>
    <w:rsid w:val="00104926"/>
    <w:rsid w:val="001112CA"/>
    <w:rsid w:val="00113B1E"/>
    <w:rsid w:val="0011711C"/>
    <w:rsid w:val="00124E4F"/>
    <w:rsid w:val="001260B7"/>
    <w:rsid w:val="001265CB"/>
    <w:rsid w:val="001321C6"/>
    <w:rsid w:val="001325C4"/>
    <w:rsid w:val="00133010"/>
    <w:rsid w:val="001338EE"/>
    <w:rsid w:val="00133AAE"/>
    <w:rsid w:val="00135323"/>
    <w:rsid w:val="001356C4"/>
    <w:rsid w:val="00137565"/>
    <w:rsid w:val="00141114"/>
    <w:rsid w:val="00142969"/>
    <w:rsid w:val="001446C2"/>
    <w:rsid w:val="001457E7"/>
    <w:rsid w:val="00145D9D"/>
    <w:rsid w:val="00146388"/>
    <w:rsid w:val="001529E5"/>
    <w:rsid w:val="00152FB3"/>
    <w:rsid w:val="00153C7E"/>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87A0B"/>
    <w:rsid w:val="00190087"/>
    <w:rsid w:val="001913C4"/>
    <w:rsid w:val="0019348F"/>
    <w:rsid w:val="00193A07"/>
    <w:rsid w:val="00194C95"/>
    <w:rsid w:val="00195C34"/>
    <w:rsid w:val="00196EF5"/>
    <w:rsid w:val="001A1A53"/>
    <w:rsid w:val="001A234A"/>
    <w:rsid w:val="001A4CF3"/>
    <w:rsid w:val="001A6696"/>
    <w:rsid w:val="001B06E8"/>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6788"/>
    <w:rsid w:val="001E73AB"/>
    <w:rsid w:val="001F092D"/>
    <w:rsid w:val="001F143A"/>
    <w:rsid w:val="001F1605"/>
    <w:rsid w:val="001F2508"/>
    <w:rsid w:val="001F4816"/>
    <w:rsid w:val="001F69B4"/>
    <w:rsid w:val="001F77C7"/>
    <w:rsid w:val="00200183"/>
    <w:rsid w:val="00200333"/>
    <w:rsid w:val="0020107D"/>
    <w:rsid w:val="00202AA4"/>
    <w:rsid w:val="002031F7"/>
    <w:rsid w:val="002040E6"/>
    <w:rsid w:val="0020527B"/>
    <w:rsid w:val="00205F2C"/>
    <w:rsid w:val="00210B15"/>
    <w:rsid w:val="002142EA"/>
    <w:rsid w:val="00215ADD"/>
    <w:rsid w:val="002204BB"/>
    <w:rsid w:val="00221B79"/>
    <w:rsid w:val="00221C6B"/>
    <w:rsid w:val="002253A1"/>
    <w:rsid w:val="00225CF8"/>
    <w:rsid w:val="0022794E"/>
    <w:rsid w:val="00233D64"/>
    <w:rsid w:val="0023482A"/>
    <w:rsid w:val="002359CB"/>
    <w:rsid w:val="0024180A"/>
    <w:rsid w:val="00243540"/>
    <w:rsid w:val="0024497B"/>
    <w:rsid w:val="0024515B"/>
    <w:rsid w:val="00246021"/>
    <w:rsid w:val="0024666E"/>
    <w:rsid w:val="00247487"/>
    <w:rsid w:val="00247F52"/>
    <w:rsid w:val="00250B25"/>
    <w:rsid w:val="00250BBE"/>
    <w:rsid w:val="002515C2"/>
    <w:rsid w:val="0025194F"/>
    <w:rsid w:val="0026148A"/>
    <w:rsid w:val="00262696"/>
    <w:rsid w:val="00263D25"/>
    <w:rsid w:val="002643C3"/>
    <w:rsid w:val="00264A0C"/>
    <w:rsid w:val="00266EEB"/>
    <w:rsid w:val="00267EF4"/>
    <w:rsid w:val="00270CB8"/>
    <w:rsid w:val="00272B08"/>
    <w:rsid w:val="00281BB8"/>
    <w:rsid w:val="00281E9E"/>
    <w:rsid w:val="00282405"/>
    <w:rsid w:val="00285170"/>
    <w:rsid w:val="00285361"/>
    <w:rsid w:val="00292D60"/>
    <w:rsid w:val="00293B3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3F07"/>
    <w:rsid w:val="002C5278"/>
    <w:rsid w:val="002C7EBB"/>
    <w:rsid w:val="002D06C1"/>
    <w:rsid w:val="002D42B5"/>
    <w:rsid w:val="002D4F1A"/>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988"/>
    <w:rsid w:val="0032143B"/>
    <w:rsid w:val="003221B4"/>
    <w:rsid w:val="0032258D"/>
    <w:rsid w:val="00322E62"/>
    <w:rsid w:val="00324D13"/>
    <w:rsid w:val="00324EDD"/>
    <w:rsid w:val="003331E4"/>
    <w:rsid w:val="00336C64"/>
    <w:rsid w:val="00337162"/>
    <w:rsid w:val="0034194F"/>
    <w:rsid w:val="00344605"/>
    <w:rsid w:val="003474AA"/>
    <w:rsid w:val="00350D1D"/>
    <w:rsid w:val="00352C83"/>
    <w:rsid w:val="00352F1A"/>
    <w:rsid w:val="0036107C"/>
    <w:rsid w:val="003615D2"/>
    <w:rsid w:val="0036429C"/>
    <w:rsid w:val="00364A53"/>
    <w:rsid w:val="003654CB"/>
    <w:rsid w:val="00365AA9"/>
    <w:rsid w:val="00365F86"/>
    <w:rsid w:val="00365F87"/>
    <w:rsid w:val="00366E89"/>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97FE4"/>
    <w:rsid w:val="003A11D1"/>
    <w:rsid w:val="003A1582"/>
    <w:rsid w:val="003A3D9C"/>
    <w:rsid w:val="003A4077"/>
    <w:rsid w:val="003A4AA7"/>
    <w:rsid w:val="003B09AD"/>
    <w:rsid w:val="003B1F18"/>
    <w:rsid w:val="003B5BF0"/>
    <w:rsid w:val="003B60BF"/>
    <w:rsid w:val="003B6BE3"/>
    <w:rsid w:val="003C010C"/>
    <w:rsid w:val="003C0A6C"/>
    <w:rsid w:val="003C14F8"/>
    <w:rsid w:val="003C5A43"/>
    <w:rsid w:val="003D0519"/>
    <w:rsid w:val="003D0FF6"/>
    <w:rsid w:val="003D262C"/>
    <w:rsid w:val="003D6D61"/>
    <w:rsid w:val="003E019F"/>
    <w:rsid w:val="003E091D"/>
    <w:rsid w:val="003E1C53"/>
    <w:rsid w:val="003E2A69"/>
    <w:rsid w:val="003E2D49"/>
    <w:rsid w:val="003E2FD4"/>
    <w:rsid w:val="003E49F6"/>
    <w:rsid w:val="003E660F"/>
    <w:rsid w:val="003F0841"/>
    <w:rsid w:val="003F23D3"/>
    <w:rsid w:val="003F3F08"/>
    <w:rsid w:val="003F49F1"/>
    <w:rsid w:val="003F6272"/>
    <w:rsid w:val="00400E72"/>
    <w:rsid w:val="00401400"/>
    <w:rsid w:val="00404869"/>
    <w:rsid w:val="00405884"/>
    <w:rsid w:val="00407D39"/>
    <w:rsid w:val="0041477A"/>
    <w:rsid w:val="004167A3"/>
    <w:rsid w:val="00432DAA"/>
    <w:rsid w:val="00434305"/>
    <w:rsid w:val="00435DF7"/>
    <w:rsid w:val="0044083F"/>
    <w:rsid w:val="00441AE7"/>
    <w:rsid w:val="00445574"/>
    <w:rsid w:val="004467FB"/>
    <w:rsid w:val="00452D6B"/>
    <w:rsid w:val="00454484"/>
    <w:rsid w:val="0045517B"/>
    <w:rsid w:val="00463B77"/>
    <w:rsid w:val="00463C7B"/>
    <w:rsid w:val="004644A6"/>
    <w:rsid w:val="004659BD"/>
    <w:rsid w:val="00470775"/>
    <w:rsid w:val="004746B1"/>
    <w:rsid w:val="0047583F"/>
    <w:rsid w:val="00475DE8"/>
    <w:rsid w:val="00481C44"/>
    <w:rsid w:val="00484936"/>
    <w:rsid w:val="00485C89"/>
    <w:rsid w:val="00486BE3"/>
    <w:rsid w:val="004905E4"/>
    <w:rsid w:val="00490A89"/>
    <w:rsid w:val="00490AB4"/>
    <w:rsid w:val="00492F02"/>
    <w:rsid w:val="004939AE"/>
    <w:rsid w:val="004A12DF"/>
    <w:rsid w:val="004A1BA8"/>
    <w:rsid w:val="004A4B57"/>
    <w:rsid w:val="004A63FA"/>
    <w:rsid w:val="004A6A3D"/>
    <w:rsid w:val="004B0272"/>
    <w:rsid w:val="004B2701"/>
    <w:rsid w:val="004B2E1B"/>
    <w:rsid w:val="004B3AA8"/>
    <w:rsid w:val="004B3E93"/>
    <w:rsid w:val="004C1FBC"/>
    <w:rsid w:val="004C25A2"/>
    <w:rsid w:val="004C3F1D"/>
    <w:rsid w:val="004C458D"/>
    <w:rsid w:val="004C7556"/>
    <w:rsid w:val="004C7E8B"/>
    <w:rsid w:val="004C7E9D"/>
    <w:rsid w:val="004C7F67"/>
    <w:rsid w:val="004D076D"/>
    <w:rsid w:val="004D0EF1"/>
    <w:rsid w:val="004D2253"/>
    <w:rsid w:val="004D4406"/>
    <w:rsid w:val="004D7C42"/>
    <w:rsid w:val="004E0465"/>
    <w:rsid w:val="004E127B"/>
    <w:rsid w:val="004E1C0A"/>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273"/>
    <w:rsid w:val="00505767"/>
    <w:rsid w:val="005073F0"/>
    <w:rsid w:val="00510A7B"/>
    <w:rsid w:val="00512F6E"/>
    <w:rsid w:val="00513038"/>
    <w:rsid w:val="00514174"/>
    <w:rsid w:val="00516088"/>
    <w:rsid w:val="00516B0B"/>
    <w:rsid w:val="005220EC"/>
    <w:rsid w:val="00523F95"/>
    <w:rsid w:val="00524D65"/>
    <w:rsid w:val="00525B16"/>
    <w:rsid w:val="00533D04"/>
    <w:rsid w:val="00534804"/>
    <w:rsid w:val="00534BDF"/>
    <w:rsid w:val="005354EA"/>
    <w:rsid w:val="0053585F"/>
    <w:rsid w:val="00535EC4"/>
    <w:rsid w:val="00535ED9"/>
    <w:rsid w:val="0053692B"/>
    <w:rsid w:val="00541853"/>
    <w:rsid w:val="00543BDA"/>
    <w:rsid w:val="005441CC"/>
    <w:rsid w:val="005479DA"/>
    <w:rsid w:val="00547BCC"/>
    <w:rsid w:val="0055013B"/>
    <w:rsid w:val="00551F6F"/>
    <w:rsid w:val="00555044"/>
    <w:rsid w:val="00561475"/>
    <w:rsid w:val="00562308"/>
    <w:rsid w:val="0056487B"/>
    <w:rsid w:val="00564FB9"/>
    <w:rsid w:val="00573D9E"/>
    <w:rsid w:val="005762C5"/>
    <w:rsid w:val="005801E3"/>
    <w:rsid w:val="00581802"/>
    <w:rsid w:val="005836A8"/>
    <w:rsid w:val="0058409C"/>
    <w:rsid w:val="00584262"/>
    <w:rsid w:val="00586630"/>
    <w:rsid w:val="00587ADD"/>
    <w:rsid w:val="00593A49"/>
    <w:rsid w:val="00596160"/>
    <w:rsid w:val="005966E2"/>
    <w:rsid w:val="00597007"/>
    <w:rsid w:val="005A0966"/>
    <w:rsid w:val="005A11B7"/>
    <w:rsid w:val="005A260B"/>
    <w:rsid w:val="005A4A1B"/>
    <w:rsid w:val="005A7830"/>
    <w:rsid w:val="005A7FCE"/>
    <w:rsid w:val="005B0F3F"/>
    <w:rsid w:val="005B191C"/>
    <w:rsid w:val="005B41A5"/>
    <w:rsid w:val="005B4903"/>
    <w:rsid w:val="005B51CE"/>
    <w:rsid w:val="005B5885"/>
    <w:rsid w:val="005B5CD7"/>
    <w:rsid w:val="005B6CF6"/>
    <w:rsid w:val="005B7422"/>
    <w:rsid w:val="005C29B8"/>
    <w:rsid w:val="005C5F21"/>
    <w:rsid w:val="005C7156"/>
    <w:rsid w:val="005D0C75"/>
    <w:rsid w:val="005D4171"/>
    <w:rsid w:val="005D6A95"/>
    <w:rsid w:val="005D6B2C"/>
    <w:rsid w:val="005D6D9C"/>
    <w:rsid w:val="005E2335"/>
    <w:rsid w:val="005E34CA"/>
    <w:rsid w:val="005E3C18"/>
    <w:rsid w:val="005E4250"/>
    <w:rsid w:val="005E6812"/>
    <w:rsid w:val="005E7881"/>
    <w:rsid w:val="005E78E0"/>
    <w:rsid w:val="005F0D9C"/>
    <w:rsid w:val="005F284E"/>
    <w:rsid w:val="006015CE"/>
    <w:rsid w:val="00604784"/>
    <w:rsid w:val="00606419"/>
    <w:rsid w:val="00607D29"/>
    <w:rsid w:val="00612952"/>
    <w:rsid w:val="00614CC1"/>
    <w:rsid w:val="00615A9D"/>
    <w:rsid w:val="00617387"/>
    <w:rsid w:val="006205D6"/>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A07AA"/>
    <w:rsid w:val="006A25E5"/>
    <w:rsid w:val="006A2B46"/>
    <w:rsid w:val="006A336D"/>
    <w:rsid w:val="006A37B9"/>
    <w:rsid w:val="006B2672"/>
    <w:rsid w:val="006B54BF"/>
    <w:rsid w:val="006B5F44"/>
    <w:rsid w:val="006B5F90"/>
    <w:rsid w:val="006B62E4"/>
    <w:rsid w:val="006C1BBA"/>
    <w:rsid w:val="006C2079"/>
    <w:rsid w:val="006C5A62"/>
    <w:rsid w:val="006C5D68"/>
    <w:rsid w:val="006C6976"/>
    <w:rsid w:val="006C6DD0"/>
    <w:rsid w:val="006D04EA"/>
    <w:rsid w:val="006D16C4"/>
    <w:rsid w:val="006D3E96"/>
    <w:rsid w:val="006D4515"/>
    <w:rsid w:val="006D4BB1"/>
    <w:rsid w:val="006D6593"/>
    <w:rsid w:val="006F03A8"/>
    <w:rsid w:val="006F2ACA"/>
    <w:rsid w:val="006F2ADC"/>
    <w:rsid w:val="006F2BFE"/>
    <w:rsid w:val="006F31E9"/>
    <w:rsid w:val="006F6284"/>
    <w:rsid w:val="007002C5"/>
    <w:rsid w:val="00704387"/>
    <w:rsid w:val="00707669"/>
    <w:rsid w:val="00711CBA"/>
    <w:rsid w:val="00711FB5"/>
    <w:rsid w:val="00712A01"/>
    <w:rsid w:val="00714F58"/>
    <w:rsid w:val="00722FBF"/>
    <w:rsid w:val="00722FC2"/>
    <w:rsid w:val="00724E1B"/>
    <w:rsid w:val="00725949"/>
    <w:rsid w:val="00727FA2"/>
    <w:rsid w:val="007322D9"/>
    <w:rsid w:val="00732BC0"/>
    <w:rsid w:val="0073720F"/>
    <w:rsid w:val="00737796"/>
    <w:rsid w:val="0074165C"/>
    <w:rsid w:val="00742C35"/>
    <w:rsid w:val="007432CA"/>
    <w:rsid w:val="007439EB"/>
    <w:rsid w:val="00743CB4"/>
    <w:rsid w:val="00743F0A"/>
    <w:rsid w:val="007444E8"/>
    <w:rsid w:val="0074548E"/>
    <w:rsid w:val="00745773"/>
    <w:rsid w:val="00746800"/>
    <w:rsid w:val="00747BE4"/>
    <w:rsid w:val="007501A8"/>
    <w:rsid w:val="00750D61"/>
    <w:rsid w:val="00750EE1"/>
    <w:rsid w:val="00752B4D"/>
    <w:rsid w:val="00755402"/>
    <w:rsid w:val="00756B26"/>
    <w:rsid w:val="00756EDF"/>
    <w:rsid w:val="007600E3"/>
    <w:rsid w:val="00765C43"/>
    <w:rsid w:val="00765EFB"/>
    <w:rsid w:val="007671CA"/>
    <w:rsid w:val="00767C61"/>
    <w:rsid w:val="0077008A"/>
    <w:rsid w:val="00773C1F"/>
    <w:rsid w:val="00774DA4"/>
    <w:rsid w:val="00776599"/>
    <w:rsid w:val="0078114B"/>
    <w:rsid w:val="00781DD2"/>
    <w:rsid w:val="00783ECF"/>
    <w:rsid w:val="0078413A"/>
    <w:rsid w:val="007922A5"/>
    <w:rsid w:val="00794F84"/>
    <w:rsid w:val="007959E8"/>
    <w:rsid w:val="00795E9C"/>
    <w:rsid w:val="00797958"/>
    <w:rsid w:val="007A0521"/>
    <w:rsid w:val="007A2E12"/>
    <w:rsid w:val="007A3475"/>
    <w:rsid w:val="007A41C8"/>
    <w:rsid w:val="007A54CE"/>
    <w:rsid w:val="007A5D3A"/>
    <w:rsid w:val="007A6FD9"/>
    <w:rsid w:val="007A7FFA"/>
    <w:rsid w:val="007B04EB"/>
    <w:rsid w:val="007B0D4F"/>
    <w:rsid w:val="007B5A3D"/>
    <w:rsid w:val="007B5B95"/>
    <w:rsid w:val="007B6032"/>
    <w:rsid w:val="007B68EA"/>
    <w:rsid w:val="007B7453"/>
    <w:rsid w:val="007C2D89"/>
    <w:rsid w:val="007C4593"/>
    <w:rsid w:val="007C5309"/>
    <w:rsid w:val="007C6069"/>
    <w:rsid w:val="007D06C4"/>
    <w:rsid w:val="007D1352"/>
    <w:rsid w:val="007D2508"/>
    <w:rsid w:val="007D346A"/>
    <w:rsid w:val="007D6518"/>
    <w:rsid w:val="007D76BD"/>
    <w:rsid w:val="007E0BF1"/>
    <w:rsid w:val="007E5219"/>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1D19"/>
    <w:rsid w:val="00823303"/>
    <w:rsid w:val="008233B2"/>
    <w:rsid w:val="00823A9F"/>
    <w:rsid w:val="00823C85"/>
    <w:rsid w:val="00825138"/>
    <w:rsid w:val="008269DD"/>
    <w:rsid w:val="00830621"/>
    <w:rsid w:val="0083348C"/>
    <w:rsid w:val="008373D3"/>
    <w:rsid w:val="00840617"/>
    <w:rsid w:val="00840F84"/>
    <w:rsid w:val="0084255D"/>
    <w:rsid w:val="00842A47"/>
    <w:rsid w:val="00843C13"/>
    <w:rsid w:val="00843DEF"/>
    <w:rsid w:val="008454F8"/>
    <w:rsid w:val="0085173A"/>
    <w:rsid w:val="008603CE"/>
    <w:rsid w:val="008620FC"/>
    <w:rsid w:val="008627A5"/>
    <w:rsid w:val="00863E05"/>
    <w:rsid w:val="00865ACA"/>
    <w:rsid w:val="00865D28"/>
    <w:rsid w:val="00865F85"/>
    <w:rsid w:val="00867C10"/>
    <w:rsid w:val="00870439"/>
    <w:rsid w:val="00870DA1"/>
    <w:rsid w:val="00883F93"/>
    <w:rsid w:val="00884DB3"/>
    <w:rsid w:val="00885A9D"/>
    <w:rsid w:val="008864F6"/>
    <w:rsid w:val="00887DA5"/>
    <w:rsid w:val="0089049D"/>
    <w:rsid w:val="008928C9"/>
    <w:rsid w:val="008930CB"/>
    <w:rsid w:val="008938DC"/>
    <w:rsid w:val="00893FD1"/>
    <w:rsid w:val="00894836"/>
    <w:rsid w:val="00895172"/>
    <w:rsid w:val="00895680"/>
    <w:rsid w:val="00896DFF"/>
    <w:rsid w:val="0089762C"/>
    <w:rsid w:val="008A173B"/>
    <w:rsid w:val="008A1893"/>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70BD"/>
    <w:rsid w:val="008F788F"/>
    <w:rsid w:val="008F7EA2"/>
    <w:rsid w:val="00902722"/>
    <w:rsid w:val="009027BC"/>
    <w:rsid w:val="009062E6"/>
    <w:rsid w:val="00911BE5"/>
    <w:rsid w:val="00913CA9"/>
    <w:rsid w:val="009145AE"/>
    <w:rsid w:val="009146CE"/>
    <w:rsid w:val="00914CA7"/>
    <w:rsid w:val="00915C3E"/>
    <w:rsid w:val="009161A8"/>
    <w:rsid w:val="009245AE"/>
    <w:rsid w:val="009245F5"/>
    <w:rsid w:val="009249EC"/>
    <w:rsid w:val="00924B16"/>
    <w:rsid w:val="009273B3"/>
    <w:rsid w:val="009305B5"/>
    <w:rsid w:val="00931813"/>
    <w:rsid w:val="009378DD"/>
    <w:rsid w:val="009429D5"/>
    <w:rsid w:val="00942BF1"/>
    <w:rsid w:val="00945180"/>
    <w:rsid w:val="00945428"/>
    <w:rsid w:val="0094607B"/>
    <w:rsid w:val="00953604"/>
    <w:rsid w:val="0095496B"/>
    <w:rsid w:val="00960F1E"/>
    <w:rsid w:val="009610DC"/>
    <w:rsid w:val="00961490"/>
    <w:rsid w:val="0096381A"/>
    <w:rsid w:val="00965E04"/>
    <w:rsid w:val="009674AD"/>
    <w:rsid w:val="00970CDC"/>
    <w:rsid w:val="00975727"/>
    <w:rsid w:val="00977010"/>
    <w:rsid w:val="00977D02"/>
    <w:rsid w:val="00977FF9"/>
    <w:rsid w:val="009809BB"/>
    <w:rsid w:val="0098364B"/>
    <w:rsid w:val="009908A3"/>
    <w:rsid w:val="009911AF"/>
    <w:rsid w:val="00991875"/>
    <w:rsid w:val="00991F92"/>
    <w:rsid w:val="00992985"/>
    <w:rsid w:val="00993889"/>
    <w:rsid w:val="0099551B"/>
    <w:rsid w:val="00996BD2"/>
    <w:rsid w:val="00997BF1"/>
    <w:rsid w:val="009A089C"/>
    <w:rsid w:val="009A118E"/>
    <w:rsid w:val="009A21CD"/>
    <w:rsid w:val="009A278C"/>
    <w:rsid w:val="009A2BC2"/>
    <w:rsid w:val="009A42C1"/>
    <w:rsid w:val="009A5429"/>
    <w:rsid w:val="009A72AD"/>
    <w:rsid w:val="009B09E0"/>
    <w:rsid w:val="009B0BC5"/>
    <w:rsid w:val="009B1247"/>
    <w:rsid w:val="009B6029"/>
    <w:rsid w:val="009B6971"/>
    <w:rsid w:val="009C27F1"/>
    <w:rsid w:val="009C3152"/>
    <w:rsid w:val="009C3257"/>
    <w:rsid w:val="009C44C8"/>
    <w:rsid w:val="009C4CFA"/>
    <w:rsid w:val="009C5070"/>
    <w:rsid w:val="009D112C"/>
    <w:rsid w:val="009D1385"/>
    <w:rsid w:val="009D47FA"/>
    <w:rsid w:val="009D4C5B"/>
    <w:rsid w:val="009D50D2"/>
    <w:rsid w:val="009D6BCA"/>
    <w:rsid w:val="009E0F62"/>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2271D"/>
    <w:rsid w:val="00A2298B"/>
    <w:rsid w:val="00A237D5"/>
    <w:rsid w:val="00A30EFC"/>
    <w:rsid w:val="00A31984"/>
    <w:rsid w:val="00A32D73"/>
    <w:rsid w:val="00A3367B"/>
    <w:rsid w:val="00A33C67"/>
    <w:rsid w:val="00A3597D"/>
    <w:rsid w:val="00A36DD1"/>
    <w:rsid w:val="00A4006C"/>
    <w:rsid w:val="00A40091"/>
    <w:rsid w:val="00A4030F"/>
    <w:rsid w:val="00A41C79"/>
    <w:rsid w:val="00A41CB5"/>
    <w:rsid w:val="00A42CDF"/>
    <w:rsid w:val="00A4452E"/>
    <w:rsid w:val="00A4472C"/>
    <w:rsid w:val="00A44E69"/>
    <w:rsid w:val="00A4661E"/>
    <w:rsid w:val="00A5381C"/>
    <w:rsid w:val="00A55BD6"/>
    <w:rsid w:val="00A55D50"/>
    <w:rsid w:val="00A57142"/>
    <w:rsid w:val="00A648CD"/>
    <w:rsid w:val="00A6537A"/>
    <w:rsid w:val="00A67866"/>
    <w:rsid w:val="00A70B07"/>
    <w:rsid w:val="00A723F8"/>
    <w:rsid w:val="00A7659C"/>
    <w:rsid w:val="00A77CCB"/>
    <w:rsid w:val="00A83D8D"/>
    <w:rsid w:val="00A8446B"/>
    <w:rsid w:val="00A8473F"/>
    <w:rsid w:val="00A862D6"/>
    <w:rsid w:val="00A8715E"/>
    <w:rsid w:val="00A9295B"/>
    <w:rsid w:val="00A93B09"/>
    <w:rsid w:val="00A952D7"/>
    <w:rsid w:val="00A963F7"/>
    <w:rsid w:val="00A96AD8"/>
    <w:rsid w:val="00AA052C"/>
    <w:rsid w:val="00AA1E45"/>
    <w:rsid w:val="00AA4286"/>
    <w:rsid w:val="00AA456B"/>
    <w:rsid w:val="00AA57F5"/>
    <w:rsid w:val="00AA672E"/>
    <w:rsid w:val="00AA6EC9"/>
    <w:rsid w:val="00AB6309"/>
    <w:rsid w:val="00AB6C5F"/>
    <w:rsid w:val="00AB7129"/>
    <w:rsid w:val="00AB7E8B"/>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2A69"/>
    <w:rsid w:val="00AE37E5"/>
    <w:rsid w:val="00AE5EB4"/>
    <w:rsid w:val="00AF0C18"/>
    <w:rsid w:val="00AF47C5"/>
    <w:rsid w:val="00AF5398"/>
    <w:rsid w:val="00B049AF"/>
    <w:rsid w:val="00B07242"/>
    <w:rsid w:val="00B10534"/>
    <w:rsid w:val="00B113DB"/>
    <w:rsid w:val="00B11D8A"/>
    <w:rsid w:val="00B12981"/>
    <w:rsid w:val="00B147DD"/>
    <w:rsid w:val="00B156FD"/>
    <w:rsid w:val="00B21F61"/>
    <w:rsid w:val="00B261F1"/>
    <w:rsid w:val="00B265BC"/>
    <w:rsid w:val="00B279AE"/>
    <w:rsid w:val="00B31FB1"/>
    <w:rsid w:val="00B33952"/>
    <w:rsid w:val="00B33C5E"/>
    <w:rsid w:val="00B342F4"/>
    <w:rsid w:val="00B34369"/>
    <w:rsid w:val="00B34DC2"/>
    <w:rsid w:val="00B378E5"/>
    <w:rsid w:val="00B4346D"/>
    <w:rsid w:val="00B440F4"/>
    <w:rsid w:val="00B447A5"/>
    <w:rsid w:val="00B4654C"/>
    <w:rsid w:val="00B47293"/>
    <w:rsid w:val="00B50E50"/>
    <w:rsid w:val="00B52120"/>
    <w:rsid w:val="00B54ABC"/>
    <w:rsid w:val="00B56FBE"/>
    <w:rsid w:val="00B60ACF"/>
    <w:rsid w:val="00B62B58"/>
    <w:rsid w:val="00B65149"/>
    <w:rsid w:val="00B66567"/>
    <w:rsid w:val="00B66F52"/>
    <w:rsid w:val="00B66FE5"/>
    <w:rsid w:val="00B72880"/>
    <w:rsid w:val="00B758BF"/>
    <w:rsid w:val="00B77EC8"/>
    <w:rsid w:val="00B827A6"/>
    <w:rsid w:val="00B831CE"/>
    <w:rsid w:val="00B86677"/>
    <w:rsid w:val="00B87131"/>
    <w:rsid w:val="00B939B1"/>
    <w:rsid w:val="00B96D40"/>
    <w:rsid w:val="00B97386"/>
    <w:rsid w:val="00BA263B"/>
    <w:rsid w:val="00BA42B2"/>
    <w:rsid w:val="00BA58D4"/>
    <w:rsid w:val="00BA5B9E"/>
    <w:rsid w:val="00BA7C9A"/>
    <w:rsid w:val="00BB5F8F"/>
    <w:rsid w:val="00BB657A"/>
    <w:rsid w:val="00BC1A4E"/>
    <w:rsid w:val="00BC5DC7"/>
    <w:rsid w:val="00BC6B8B"/>
    <w:rsid w:val="00BC73D8"/>
    <w:rsid w:val="00BD52D7"/>
    <w:rsid w:val="00BD5AD2"/>
    <w:rsid w:val="00BE22F3"/>
    <w:rsid w:val="00BE5B52"/>
    <w:rsid w:val="00BE7B8D"/>
    <w:rsid w:val="00BF0993"/>
    <w:rsid w:val="00BF10A9"/>
    <w:rsid w:val="00BF1703"/>
    <w:rsid w:val="00BF231C"/>
    <w:rsid w:val="00BF51E5"/>
    <w:rsid w:val="00BF74A6"/>
    <w:rsid w:val="00C013AD"/>
    <w:rsid w:val="00C04904"/>
    <w:rsid w:val="00C056B3"/>
    <w:rsid w:val="00C103E5"/>
    <w:rsid w:val="00C13319"/>
    <w:rsid w:val="00C13EE9"/>
    <w:rsid w:val="00C21540"/>
    <w:rsid w:val="00C21906"/>
    <w:rsid w:val="00C21BFA"/>
    <w:rsid w:val="00C24C8D"/>
    <w:rsid w:val="00C25FE2"/>
    <w:rsid w:val="00C26B53"/>
    <w:rsid w:val="00C279B2"/>
    <w:rsid w:val="00C33E50"/>
    <w:rsid w:val="00C34C20"/>
    <w:rsid w:val="00C35A3E"/>
    <w:rsid w:val="00C42130"/>
    <w:rsid w:val="00C423A4"/>
    <w:rsid w:val="00C423E3"/>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4DF2"/>
    <w:rsid w:val="00C96741"/>
    <w:rsid w:val="00CA2D1B"/>
    <w:rsid w:val="00CA375D"/>
    <w:rsid w:val="00CA662A"/>
    <w:rsid w:val="00CA7AFD"/>
    <w:rsid w:val="00CA7C3C"/>
    <w:rsid w:val="00CB0189"/>
    <w:rsid w:val="00CB0BA2"/>
    <w:rsid w:val="00CB1A42"/>
    <w:rsid w:val="00CB1B0C"/>
    <w:rsid w:val="00CB2C0B"/>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E0C4F"/>
    <w:rsid w:val="00CE30EA"/>
    <w:rsid w:val="00CF048A"/>
    <w:rsid w:val="00CF155A"/>
    <w:rsid w:val="00CF2947"/>
    <w:rsid w:val="00CF686F"/>
    <w:rsid w:val="00CF6E60"/>
    <w:rsid w:val="00CF7BCA"/>
    <w:rsid w:val="00D008FD"/>
    <w:rsid w:val="00D0321C"/>
    <w:rsid w:val="00D035EC"/>
    <w:rsid w:val="00D06AB1"/>
    <w:rsid w:val="00D06FC1"/>
    <w:rsid w:val="00D072ED"/>
    <w:rsid w:val="00D07A16"/>
    <w:rsid w:val="00D1067E"/>
    <w:rsid w:val="00D10F50"/>
    <w:rsid w:val="00D11272"/>
    <w:rsid w:val="00D126F5"/>
    <w:rsid w:val="00D1489E"/>
    <w:rsid w:val="00D20737"/>
    <w:rsid w:val="00D21E81"/>
    <w:rsid w:val="00D223DE"/>
    <w:rsid w:val="00D25E37"/>
    <w:rsid w:val="00D2661A"/>
    <w:rsid w:val="00D27582"/>
    <w:rsid w:val="00D27EC4"/>
    <w:rsid w:val="00D300A6"/>
    <w:rsid w:val="00D32719"/>
    <w:rsid w:val="00D33333"/>
    <w:rsid w:val="00D352A2"/>
    <w:rsid w:val="00D4162B"/>
    <w:rsid w:val="00D4514F"/>
    <w:rsid w:val="00D451E2"/>
    <w:rsid w:val="00D45E89"/>
    <w:rsid w:val="00D45E8D"/>
    <w:rsid w:val="00D466AE"/>
    <w:rsid w:val="00D4734F"/>
    <w:rsid w:val="00D512A5"/>
    <w:rsid w:val="00D51BF3"/>
    <w:rsid w:val="00D66846"/>
    <w:rsid w:val="00D675FB"/>
    <w:rsid w:val="00D71F25"/>
    <w:rsid w:val="00D72A9C"/>
    <w:rsid w:val="00D77031"/>
    <w:rsid w:val="00D84941"/>
    <w:rsid w:val="00D84FA1"/>
    <w:rsid w:val="00D851F0"/>
    <w:rsid w:val="00D86DB7"/>
    <w:rsid w:val="00D87BF5"/>
    <w:rsid w:val="00D90721"/>
    <w:rsid w:val="00D926D0"/>
    <w:rsid w:val="00D93030"/>
    <w:rsid w:val="00D950E1"/>
    <w:rsid w:val="00D952A6"/>
    <w:rsid w:val="00D97F99"/>
    <w:rsid w:val="00DA1E08"/>
    <w:rsid w:val="00DA24F8"/>
    <w:rsid w:val="00DA28E8"/>
    <w:rsid w:val="00DA38D3"/>
    <w:rsid w:val="00DA3932"/>
    <w:rsid w:val="00DA3AFC"/>
    <w:rsid w:val="00DA64F8"/>
    <w:rsid w:val="00DA6C15"/>
    <w:rsid w:val="00DB0258"/>
    <w:rsid w:val="00DB38EE"/>
    <w:rsid w:val="00DB498B"/>
    <w:rsid w:val="00DB66CA"/>
    <w:rsid w:val="00DB6BCA"/>
    <w:rsid w:val="00DB6F54"/>
    <w:rsid w:val="00DB73F7"/>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BFC"/>
    <w:rsid w:val="00DE6E81"/>
    <w:rsid w:val="00DE703F"/>
    <w:rsid w:val="00DE7595"/>
    <w:rsid w:val="00DF1961"/>
    <w:rsid w:val="00DF44DE"/>
    <w:rsid w:val="00E01138"/>
    <w:rsid w:val="00E02DFB"/>
    <w:rsid w:val="00E030F9"/>
    <w:rsid w:val="00E0311A"/>
    <w:rsid w:val="00E03138"/>
    <w:rsid w:val="00E06404"/>
    <w:rsid w:val="00E11A85"/>
    <w:rsid w:val="00E12495"/>
    <w:rsid w:val="00E140EC"/>
    <w:rsid w:val="00E15CCD"/>
    <w:rsid w:val="00E202EF"/>
    <w:rsid w:val="00E210B5"/>
    <w:rsid w:val="00E2552F"/>
    <w:rsid w:val="00E31008"/>
    <w:rsid w:val="00E3137A"/>
    <w:rsid w:val="00E32CCF"/>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0C63"/>
    <w:rsid w:val="00E62FF9"/>
    <w:rsid w:val="00E635D6"/>
    <w:rsid w:val="00E639BC"/>
    <w:rsid w:val="00E664CC"/>
    <w:rsid w:val="00E70388"/>
    <w:rsid w:val="00E70F92"/>
    <w:rsid w:val="00E74313"/>
    <w:rsid w:val="00E74C54"/>
    <w:rsid w:val="00E77A03"/>
    <w:rsid w:val="00E81A8A"/>
    <w:rsid w:val="00E822E8"/>
    <w:rsid w:val="00E82554"/>
    <w:rsid w:val="00E82606"/>
    <w:rsid w:val="00E831C1"/>
    <w:rsid w:val="00E846C8"/>
    <w:rsid w:val="00E84957"/>
    <w:rsid w:val="00E84A55"/>
    <w:rsid w:val="00E85BFF"/>
    <w:rsid w:val="00E90391"/>
    <w:rsid w:val="00E906C2"/>
    <w:rsid w:val="00E9311F"/>
    <w:rsid w:val="00E934D1"/>
    <w:rsid w:val="00E94AF0"/>
    <w:rsid w:val="00E95D13"/>
    <w:rsid w:val="00E95DD3"/>
    <w:rsid w:val="00E969D5"/>
    <w:rsid w:val="00EA4FAD"/>
    <w:rsid w:val="00EA58D1"/>
    <w:rsid w:val="00EA61BC"/>
    <w:rsid w:val="00EA681A"/>
    <w:rsid w:val="00EA735B"/>
    <w:rsid w:val="00EB1E69"/>
    <w:rsid w:val="00EB2086"/>
    <w:rsid w:val="00EB31ED"/>
    <w:rsid w:val="00EB5EDF"/>
    <w:rsid w:val="00EB60FE"/>
    <w:rsid w:val="00EB74DB"/>
    <w:rsid w:val="00EC5359"/>
    <w:rsid w:val="00EC562A"/>
    <w:rsid w:val="00ED067A"/>
    <w:rsid w:val="00ED2B50"/>
    <w:rsid w:val="00EE0350"/>
    <w:rsid w:val="00EE0719"/>
    <w:rsid w:val="00EE0E80"/>
    <w:rsid w:val="00EE613F"/>
    <w:rsid w:val="00EE7295"/>
    <w:rsid w:val="00EE7869"/>
    <w:rsid w:val="00EF054A"/>
    <w:rsid w:val="00EF3235"/>
    <w:rsid w:val="00EF7E72"/>
    <w:rsid w:val="00F06D37"/>
    <w:rsid w:val="00F07B9D"/>
    <w:rsid w:val="00F11586"/>
    <w:rsid w:val="00F1183B"/>
    <w:rsid w:val="00F11C9F"/>
    <w:rsid w:val="00F12263"/>
    <w:rsid w:val="00F1409D"/>
    <w:rsid w:val="00F14214"/>
    <w:rsid w:val="00F157A9"/>
    <w:rsid w:val="00F16F00"/>
    <w:rsid w:val="00F25BB6"/>
    <w:rsid w:val="00F26B7E"/>
    <w:rsid w:val="00F27A3B"/>
    <w:rsid w:val="00F32780"/>
    <w:rsid w:val="00F33817"/>
    <w:rsid w:val="00F420D5"/>
    <w:rsid w:val="00F451EA"/>
    <w:rsid w:val="00F45447"/>
    <w:rsid w:val="00F456C6"/>
    <w:rsid w:val="00F4577B"/>
    <w:rsid w:val="00F46496"/>
    <w:rsid w:val="00F474D0"/>
    <w:rsid w:val="00F50179"/>
    <w:rsid w:val="00F515EE"/>
    <w:rsid w:val="00F56511"/>
    <w:rsid w:val="00F6194E"/>
    <w:rsid w:val="00F623AC"/>
    <w:rsid w:val="00F6412A"/>
    <w:rsid w:val="00F65893"/>
    <w:rsid w:val="00F66A4A"/>
    <w:rsid w:val="00F71E22"/>
    <w:rsid w:val="00F72142"/>
    <w:rsid w:val="00F72AE7"/>
    <w:rsid w:val="00F833BA"/>
    <w:rsid w:val="00F84FD0"/>
    <w:rsid w:val="00F859A8"/>
    <w:rsid w:val="00F86D87"/>
    <w:rsid w:val="00F9108B"/>
    <w:rsid w:val="00F91349"/>
    <w:rsid w:val="00F93A8A"/>
    <w:rsid w:val="00F95248"/>
    <w:rsid w:val="00F956A9"/>
    <w:rsid w:val="00F963ED"/>
    <w:rsid w:val="00F966CF"/>
    <w:rsid w:val="00F96CAE"/>
    <w:rsid w:val="00F97C99"/>
    <w:rsid w:val="00FA662D"/>
    <w:rsid w:val="00FA73B1"/>
    <w:rsid w:val="00FB0CB9"/>
    <w:rsid w:val="00FB231D"/>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1CAB"/>
    <w:rsid w:val="00FF3E7D"/>
    <w:rsid w:val="00FF5B99"/>
    <w:rsid w:val="00FF730C"/>
    <w:rsid w:val="00FF73F4"/>
    <w:rsid w:val="00FF7CE4"/>
    <w:rsid w:val="00FF7E39"/>
    <w:rsid w:val="012D7308"/>
    <w:rsid w:val="04E212CC"/>
    <w:rsid w:val="073D3F2F"/>
    <w:rsid w:val="07C6078C"/>
    <w:rsid w:val="07DA3DDA"/>
    <w:rsid w:val="083425DB"/>
    <w:rsid w:val="0ACB47D3"/>
    <w:rsid w:val="0C9D2956"/>
    <w:rsid w:val="0D033E95"/>
    <w:rsid w:val="0E9668F0"/>
    <w:rsid w:val="0EB16245"/>
    <w:rsid w:val="0FA91498"/>
    <w:rsid w:val="109559BF"/>
    <w:rsid w:val="11853687"/>
    <w:rsid w:val="13664EDD"/>
    <w:rsid w:val="136C0CC0"/>
    <w:rsid w:val="14BF5B00"/>
    <w:rsid w:val="17F55D8B"/>
    <w:rsid w:val="189E7C17"/>
    <w:rsid w:val="19E968F9"/>
    <w:rsid w:val="1BC54E55"/>
    <w:rsid w:val="1E3669DC"/>
    <w:rsid w:val="1E8E4197"/>
    <w:rsid w:val="21553BAC"/>
    <w:rsid w:val="21B479A3"/>
    <w:rsid w:val="22877578"/>
    <w:rsid w:val="236D079B"/>
    <w:rsid w:val="24AA2A5A"/>
    <w:rsid w:val="273C559E"/>
    <w:rsid w:val="27934193"/>
    <w:rsid w:val="29CD455B"/>
    <w:rsid w:val="2A4828F5"/>
    <w:rsid w:val="30BC3681"/>
    <w:rsid w:val="310E6852"/>
    <w:rsid w:val="312A69FF"/>
    <w:rsid w:val="31E60B34"/>
    <w:rsid w:val="33305A23"/>
    <w:rsid w:val="341B0681"/>
    <w:rsid w:val="34C33710"/>
    <w:rsid w:val="34C93A39"/>
    <w:rsid w:val="36336FF3"/>
    <w:rsid w:val="36CD052A"/>
    <w:rsid w:val="381E7F36"/>
    <w:rsid w:val="38CE04BA"/>
    <w:rsid w:val="3D4207AA"/>
    <w:rsid w:val="3ECB5549"/>
    <w:rsid w:val="3F556805"/>
    <w:rsid w:val="41081350"/>
    <w:rsid w:val="4313609B"/>
    <w:rsid w:val="432D1637"/>
    <w:rsid w:val="467F03FC"/>
    <w:rsid w:val="48FE7D12"/>
    <w:rsid w:val="49CB3750"/>
    <w:rsid w:val="4D124FE6"/>
    <w:rsid w:val="4E6254B0"/>
    <w:rsid w:val="508B1714"/>
    <w:rsid w:val="51CE0489"/>
    <w:rsid w:val="5465429B"/>
    <w:rsid w:val="56510B8C"/>
    <w:rsid w:val="5CBD35D4"/>
    <w:rsid w:val="5D8D7605"/>
    <w:rsid w:val="5F957E6F"/>
    <w:rsid w:val="5FBB296E"/>
    <w:rsid w:val="6278145D"/>
    <w:rsid w:val="62A41A1D"/>
    <w:rsid w:val="636F22EA"/>
    <w:rsid w:val="652A1A23"/>
    <w:rsid w:val="68671856"/>
    <w:rsid w:val="6AA1065B"/>
    <w:rsid w:val="6CD66844"/>
    <w:rsid w:val="6DA022AC"/>
    <w:rsid w:val="70F25535"/>
    <w:rsid w:val="71CC73D5"/>
    <w:rsid w:val="74973DC9"/>
    <w:rsid w:val="76EB7264"/>
    <w:rsid w:val="77D93560"/>
    <w:rsid w:val="7E2968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5"/>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6"/>
    <w:autoRedefine/>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7"/>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38"/>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39"/>
    <w:autoRedefine/>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0"/>
    <w:autoRedefine/>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1"/>
    <w:autoRedefine/>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2"/>
    <w:autoRedefine/>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3"/>
    <w:autoRedefine/>
    <w:qFormat/>
    <w:uiPriority w:val="0"/>
    <w:pPr>
      <w:keepNext/>
      <w:keepLines/>
      <w:adjustRightInd/>
      <w:spacing w:before="240" w:after="64" w:line="320" w:lineRule="auto"/>
      <w:outlineLvl w:val="8"/>
    </w:pPr>
    <w:rPr>
      <w:rFonts w:ascii="Arial" w:hAnsi="Arial" w:eastAsia="黑体"/>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tabs>
        <w:tab w:val="right" w:leader="dot" w:pos="9344"/>
      </w:tabs>
      <w:spacing w:line="300" w:lineRule="exact"/>
      <w:ind w:left="1259"/>
    </w:pPr>
    <w:rPr>
      <w:rFonts w:ascii="宋体"/>
    </w:rPr>
  </w:style>
  <w:style w:type="paragraph" w:styleId="12">
    <w:name w:val="Normal Indent"/>
    <w:basedOn w:val="1"/>
    <w:autoRedefine/>
    <w:qFormat/>
    <w:uiPriority w:val="0"/>
    <w:pPr>
      <w:ind w:firstLine="420"/>
    </w:pPr>
  </w:style>
  <w:style w:type="paragraph" w:styleId="13">
    <w:name w:val="annotation text"/>
    <w:basedOn w:val="1"/>
    <w:semiHidden/>
    <w:unhideWhenUsed/>
    <w:qFormat/>
    <w:uiPriority w:val="99"/>
    <w:pPr>
      <w:jc w:val="left"/>
    </w:pPr>
  </w:style>
  <w:style w:type="paragraph" w:styleId="14">
    <w:name w:val="Body Text"/>
    <w:basedOn w:val="1"/>
    <w:link w:val="87"/>
    <w:autoRedefine/>
    <w:qFormat/>
    <w:uiPriority w:val="0"/>
    <w:pPr>
      <w:spacing w:after="120"/>
    </w:pPr>
  </w:style>
  <w:style w:type="paragraph" w:styleId="15">
    <w:name w:val="toc 5"/>
    <w:basedOn w:val="1"/>
    <w:next w:val="1"/>
    <w:autoRedefine/>
    <w:unhideWhenUsed/>
    <w:qFormat/>
    <w:uiPriority w:val="39"/>
    <w:pPr>
      <w:ind w:left="839"/>
    </w:pPr>
    <w:rPr>
      <w:rFonts w:ascii="宋体"/>
    </w:rPr>
  </w:style>
  <w:style w:type="paragraph" w:styleId="16">
    <w:name w:val="toc 3"/>
    <w:basedOn w:val="1"/>
    <w:next w:val="1"/>
    <w:autoRedefine/>
    <w:unhideWhenUsed/>
    <w:qFormat/>
    <w:uiPriority w:val="39"/>
    <w:pPr>
      <w:spacing w:line="300" w:lineRule="exact"/>
      <w:ind w:left="420"/>
    </w:pPr>
    <w:rPr>
      <w:rFonts w:ascii="宋体"/>
    </w:rPr>
  </w:style>
  <w:style w:type="paragraph" w:styleId="17">
    <w:name w:val="Balloon Text"/>
    <w:basedOn w:val="1"/>
    <w:link w:val="46"/>
    <w:autoRedefine/>
    <w:semiHidden/>
    <w:unhideWhenUsed/>
    <w:qFormat/>
    <w:uiPriority w:val="99"/>
    <w:rPr>
      <w:sz w:val="18"/>
      <w:szCs w:val="18"/>
    </w:rPr>
  </w:style>
  <w:style w:type="paragraph" w:styleId="18">
    <w:name w:val="footer"/>
    <w:basedOn w:val="1"/>
    <w:link w:val="45"/>
    <w:autoRedefine/>
    <w:qFormat/>
    <w:uiPriority w:val="99"/>
    <w:pPr>
      <w:tabs>
        <w:tab w:val="center" w:pos="4153"/>
        <w:tab w:val="right" w:pos="8306"/>
      </w:tabs>
      <w:adjustRightInd/>
      <w:snapToGrid w:val="0"/>
      <w:spacing w:line="240" w:lineRule="auto"/>
      <w:jc w:val="right"/>
    </w:pPr>
    <w:rPr>
      <w:rFonts w:ascii="宋体"/>
      <w:sz w:val="18"/>
      <w:szCs w:val="18"/>
    </w:rPr>
  </w:style>
  <w:style w:type="paragraph" w:styleId="19">
    <w:name w:val="header"/>
    <w:basedOn w:val="1"/>
    <w:link w:val="44"/>
    <w:autoRedefine/>
    <w:qFormat/>
    <w:uiPriority w:val="99"/>
    <w:pPr>
      <w:tabs>
        <w:tab w:val="center" w:pos="4153"/>
        <w:tab w:val="right" w:pos="8306"/>
      </w:tabs>
      <w:adjustRightInd/>
      <w:snapToGrid w:val="0"/>
      <w:jc w:val="center"/>
    </w:pPr>
    <w:rPr>
      <w:sz w:val="18"/>
      <w:szCs w:val="18"/>
    </w:rPr>
  </w:style>
  <w:style w:type="paragraph" w:styleId="20">
    <w:name w:val="toc 1"/>
    <w:basedOn w:val="1"/>
    <w:next w:val="1"/>
    <w:autoRedefine/>
    <w:unhideWhenUsed/>
    <w:qFormat/>
    <w:uiPriority w:val="39"/>
    <w:rPr>
      <w:rFonts w:ascii="宋体"/>
    </w:rPr>
  </w:style>
  <w:style w:type="paragraph" w:styleId="21">
    <w:name w:val="toc 4"/>
    <w:basedOn w:val="1"/>
    <w:next w:val="1"/>
    <w:autoRedefine/>
    <w:unhideWhenUsed/>
    <w:qFormat/>
    <w:uiPriority w:val="39"/>
    <w:pPr>
      <w:tabs>
        <w:tab w:val="right" w:leader="dot" w:pos="9344"/>
      </w:tabs>
      <w:spacing w:line="300" w:lineRule="exact"/>
      <w:ind w:left="629"/>
    </w:pPr>
    <w:rPr>
      <w:rFonts w:ascii="宋体"/>
    </w:rPr>
  </w:style>
  <w:style w:type="paragraph" w:styleId="22">
    <w:name w:val="footnote text"/>
    <w:basedOn w:val="1"/>
    <w:next w:val="1"/>
    <w:link w:val="100"/>
    <w:autoRedefine/>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3">
    <w:name w:val="toc 6"/>
    <w:basedOn w:val="1"/>
    <w:next w:val="1"/>
    <w:autoRedefine/>
    <w:unhideWhenUsed/>
    <w:qFormat/>
    <w:uiPriority w:val="39"/>
    <w:pPr>
      <w:spacing w:line="300" w:lineRule="exact"/>
      <w:ind w:left="1049"/>
    </w:pPr>
    <w:rPr>
      <w:rFonts w:ascii="宋体"/>
    </w:rPr>
  </w:style>
  <w:style w:type="paragraph" w:styleId="24">
    <w:name w:val="table of figures"/>
    <w:basedOn w:val="1"/>
    <w:next w:val="1"/>
    <w:autoRedefine/>
    <w:semiHidden/>
    <w:qFormat/>
    <w:uiPriority w:val="0"/>
    <w:pPr>
      <w:adjustRightInd/>
      <w:spacing w:line="240" w:lineRule="auto"/>
      <w:jc w:val="left"/>
    </w:pPr>
    <w:rPr>
      <w:szCs w:val="24"/>
    </w:rPr>
  </w:style>
  <w:style w:type="paragraph" w:styleId="25">
    <w:name w:val="toc 2"/>
    <w:basedOn w:val="1"/>
    <w:next w:val="1"/>
    <w:autoRedefine/>
    <w:unhideWhenUsed/>
    <w:qFormat/>
    <w:uiPriority w:val="39"/>
    <w:pPr>
      <w:tabs>
        <w:tab w:val="right" w:leader="dot" w:pos="9344"/>
      </w:tabs>
      <w:spacing w:line="300" w:lineRule="exact"/>
      <w:ind w:left="210"/>
    </w:pPr>
    <w:rPr>
      <w:rFonts w:ascii="宋体"/>
    </w:rPr>
  </w:style>
  <w:style w:type="paragraph" w:styleId="26">
    <w:name w:val="Title"/>
    <w:basedOn w:val="1"/>
    <w:link w:val="49"/>
    <w:autoRedefine/>
    <w:qFormat/>
    <w:uiPriority w:val="0"/>
    <w:pPr>
      <w:spacing w:before="240" w:after="60"/>
      <w:jc w:val="center"/>
      <w:outlineLvl w:val="0"/>
    </w:pPr>
    <w:rPr>
      <w:rFonts w:ascii="Arial" w:hAnsi="Arial" w:cs="Arial"/>
      <w:b/>
      <w:bCs/>
      <w:sz w:val="32"/>
      <w:szCs w:val="32"/>
    </w:rPr>
  </w:style>
  <w:style w:type="table" w:styleId="28">
    <w:name w:val="Table Grid"/>
    <w:basedOn w:val="2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autoRedefine/>
    <w:qFormat/>
    <w:uiPriority w:val="22"/>
    <w:rPr>
      <w:b/>
      <w:bCs/>
    </w:rPr>
  </w:style>
  <w:style w:type="character" w:styleId="31">
    <w:name w:val="page number"/>
    <w:autoRedefine/>
    <w:qFormat/>
    <w:uiPriority w:val="0"/>
    <w:rPr>
      <w:rFonts w:ascii="宋体" w:hAnsi="Times New Roman" w:eastAsia="宋体"/>
      <w:sz w:val="18"/>
    </w:rPr>
  </w:style>
  <w:style w:type="character" w:styleId="32">
    <w:name w:val="Emphasis"/>
    <w:autoRedefine/>
    <w:qFormat/>
    <w:uiPriority w:val="20"/>
    <w:rPr>
      <w:i/>
      <w:iCs/>
    </w:rPr>
  </w:style>
  <w:style w:type="character" w:styleId="33">
    <w:name w:val="Hyperlink"/>
    <w:autoRedefine/>
    <w:qFormat/>
    <w:uiPriority w:val="99"/>
    <w:rPr>
      <w:rFonts w:ascii="宋体" w:hAnsi="Times New Roman" w:eastAsia="宋体"/>
      <w:color w:val="auto"/>
      <w:spacing w:val="0"/>
      <w:w w:val="100"/>
      <w:position w:val="0"/>
      <w:sz w:val="21"/>
      <w:u w:val="none"/>
      <w:vertAlign w:val="baseline"/>
    </w:rPr>
  </w:style>
  <w:style w:type="character" w:styleId="34">
    <w:name w:val="footnote reference"/>
    <w:autoRedefine/>
    <w:semiHidden/>
    <w:qFormat/>
    <w:uiPriority w:val="0"/>
    <w:rPr>
      <w:rFonts w:ascii="宋体" w:hAnsi="宋体" w:eastAsia="宋体" w:cs="Times New Roman"/>
      <w:spacing w:val="0"/>
      <w:sz w:val="18"/>
      <w:vertAlign w:val="superscript"/>
    </w:rPr>
  </w:style>
  <w:style w:type="character" w:customStyle="1" w:styleId="35">
    <w:name w:val="标题 1 字符"/>
    <w:link w:val="2"/>
    <w:autoRedefine/>
    <w:qFormat/>
    <w:uiPriority w:val="0"/>
    <w:rPr>
      <w:b/>
      <w:bCs/>
      <w:kern w:val="44"/>
      <w:sz w:val="44"/>
      <w:szCs w:val="44"/>
    </w:rPr>
  </w:style>
  <w:style w:type="character" w:customStyle="1" w:styleId="36">
    <w:name w:val="标题 2 字符"/>
    <w:link w:val="3"/>
    <w:autoRedefine/>
    <w:qFormat/>
    <w:uiPriority w:val="0"/>
    <w:rPr>
      <w:rFonts w:ascii="Arial" w:hAnsi="Arial" w:eastAsia="黑体"/>
      <w:b/>
      <w:bCs/>
      <w:kern w:val="2"/>
      <w:sz w:val="32"/>
      <w:szCs w:val="32"/>
    </w:rPr>
  </w:style>
  <w:style w:type="character" w:customStyle="1" w:styleId="37">
    <w:name w:val="标题 3 字符"/>
    <w:link w:val="4"/>
    <w:autoRedefine/>
    <w:qFormat/>
    <w:uiPriority w:val="0"/>
    <w:rPr>
      <w:b/>
      <w:bCs/>
      <w:kern w:val="2"/>
      <w:sz w:val="32"/>
      <w:szCs w:val="32"/>
    </w:rPr>
  </w:style>
  <w:style w:type="character" w:customStyle="1" w:styleId="38">
    <w:name w:val="标题 4 字符"/>
    <w:link w:val="5"/>
    <w:autoRedefine/>
    <w:qFormat/>
    <w:uiPriority w:val="0"/>
    <w:rPr>
      <w:rFonts w:ascii="Arial" w:hAnsi="Arial" w:eastAsia="黑体"/>
      <w:b/>
      <w:bCs/>
      <w:kern w:val="2"/>
      <w:sz w:val="28"/>
      <w:szCs w:val="28"/>
    </w:rPr>
  </w:style>
  <w:style w:type="character" w:customStyle="1" w:styleId="39">
    <w:name w:val="标题 5 字符"/>
    <w:link w:val="6"/>
    <w:autoRedefine/>
    <w:qFormat/>
    <w:uiPriority w:val="0"/>
    <w:rPr>
      <w:b/>
      <w:bCs/>
      <w:kern w:val="2"/>
      <w:sz w:val="28"/>
      <w:szCs w:val="28"/>
    </w:rPr>
  </w:style>
  <w:style w:type="character" w:customStyle="1" w:styleId="40">
    <w:name w:val="标题 6 字符"/>
    <w:link w:val="7"/>
    <w:autoRedefine/>
    <w:qFormat/>
    <w:uiPriority w:val="0"/>
    <w:rPr>
      <w:rFonts w:ascii="Arial" w:hAnsi="Arial" w:eastAsia="黑体"/>
      <w:b/>
      <w:bCs/>
      <w:kern w:val="2"/>
      <w:sz w:val="24"/>
      <w:szCs w:val="24"/>
    </w:rPr>
  </w:style>
  <w:style w:type="character" w:customStyle="1" w:styleId="41">
    <w:name w:val="标题 7 字符"/>
    <w:link w:val="8"/>
    <w:autoRedefine/>
    <w:qFormat/>
    <w:uiPriority w:val="0"/>
    <w:rPr>
      <w:b/>
      <w:bCs/>
      <w:kern w:val="2"/>
      <w:sz w:val="24"/>
      <w:szCs w:val="24"/>
    </w:rPr>
  </w:style>
  <w:style w:type="character" w:customStyle="1" w:styleId="42">
    <w:name w:val="标题 8 字符"/>
    <w:link w:val="9"/>
    <w:autoRedefine/>
    <w:qFormat/>
    <w:uiPriority w:val="0"/>
    <w:rPr>
      <w:rFonts w:ascii="Arial" w:hAnsi="Arial" w:eastAsia="黑体"/>
      <w:kern w:val="2"/>
      <w:sz w:val="24"/>
      <w:szCs w:val="24"/>
    </w:rPr>
  </w:style>
  <w:style w:type="character" w:customStyle="1" w:styleId="43">
    <w:name w:val="标题 9 字符"/>
    <w:link w:val="10"/>
    <w:autoRedefine/>
    <w:qFormat/>
    <w:uiPriority w:val="0"/>
    <w:rPr>
      <w:rFonts w:ascii="Arial" w:hAnsi="Arial" w:eastAsia="黑体"/>
      <w:kern w:val="2"/>
      <w:sz w:val="21"/>
      <w:szCs w:val="21"/>
    </w:rPr>
  </w:style>
  <w:style w:type="character" w:customStyle="1" w:styleId="44">
    <w:name w:val="页眉 字符"/>
    <w:link w:val="19"/>
    <w:autoRedefine/>
    <w:qFormat/>
    <w:uiPriority w:val="99"/>
    <w:rPr>
      <w:kern w:val="2"/>
      <w:sz w:val="18"/>
      <w:szCs w:val="18"/>
    </w:rPr>
  </w:style>
  <w:style w:type="character" w:customStyle="1" w:styleId="45">
    <w:name w:val="页脚 字符"/>
    <w:link w:val="18"/>
    <w:autoRedefine/>
    <w:qFormat/>
    <w:uiPriority w:val="99"/>
    <w:rPr>
      <w:rFonts w:ascii="宋体"/>
      <w:kern w:val="2"/>
      <w:sz w:val="18"/>
      <w:szCs w:val="18"/>
    </w:rPr>
  </w:style>
  <w:style w:type="character" w:customStyle="1" w:styleId="46">
    <w:name w:val="批注框文本 字符"/>
    <w:link w:val="17"/>
    <w:autoRedefine/>
    <w:semiHidden/>
    <w:qFormat/>
    <w:uiPriority w:val="99"/>
    <w:rPr>
      <w:kern w:val="2"/>
      <w:sz w:val="18"/>
      <w:szCs w:val="18"/>
    </w:rPr>
  </w:style>
  <w:style w:type="paragraph" w:styleId="47">
    <w:name w:val="Quote"/>
    <w:basedOn w:val="1"/>
    <w:next w:val="1"/>
    <w:link w:val="48"/>
    <w:autoRedefine/>
    <w:qFormat/>
    <w:uiPriority w:val="29"/>
    <w:rPr>
      <w:i/>
      <w:iCs/>
      <w:color w:val="000000"/>
    </w:rPr>
  </w:style>
  <w:style w:type="character" w:customStyle="1" w:styleId="48">
    <w:name w:val="引用 字符"/>
    <w:link w:val="47"/>
    <w:autoRedefine/>
    <w:qFormat/>
    <w:uiPriority w:val="29"/>
    <w:rPr>
      <w:i/>
      <w:iCs/>
      <w:color w:val="000000"/>
      <w:kern w:val="2"/>
      <w:sz w:val="21"/>
      <w:szCs w:val="21"/>
    </w:rPr>
  </w:style>
  <w:style w:type="character" w:customStyle="1" w:styleId="49">
    <w:name w:val="标题 字符"/>
    <w:link w:val="26"/>
    <w:autoRedefine/>
    <w:qFormat/>
    <w:uiPriority w:val="0"/>
    <w:rPr>
      <w:rFonts w:ascii="Arial" w:hAnsi="Arial" w:cs="Arial"/>
      <w:b/>
      <w:bCs/>
      <w:kern w:val="2"/>
      <w:sz w:val="32"/>
      <w:szCs w:val="32"/>
    </w:rPr>
  </w:style>
  <w:style w:type="paragraph" w:customStyle="1" w:styleId="50">
    <w:name w:val="标准标志"/>
    <w:next w:val="1"/>
    <w:autoRedefine/>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1">
    <w:name w:val="标准称谓"/>
    <w:next w:val="1"/>
    <w:autoRedefine/>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2">
    <w:name w:val="标准文件_页脚偶数页"/>
    <w:autoRedefine/>
    <w:qFormat/>
    <w:uiPriority w:val="0"/>
    <w:pPr>
      <w:ind w:left="198"/>
    </w:pPr>
    <w:rPr>
      <w:rFonts w:ascii="宋体" w:hAnsi="Times New Roman" w:eastAsia="宋体" w:cs="Times New Roman"/>
      <w:sz w:val="18"/>
      <w:lang w:val="en-US" w:eastAsia="zh-CN" w:bidi="ar-SA"/>
    </w:rPr>
  </w:style>
  <w:style w:type="paragraph" w:customStyle="1" w:styleId="53">
    <w:name w:val="标准文件_页脚奇数页"/>
    <w:autoRedefine/>
    <w:qFormat/>
    <w:uiPriority w:val="0"/>
    <w:pPr>
      <w:ind w:right="227"/>
      <w:jc w:val="right"/>
    </w:pPr>
    <w:rPr>
      <w:rFonts w:ascii="宋体" w:hAnsi="Times New Roman" w:eastAsia="宋体" w:cs="Times New Roman"/>
      <w:sz w:val="18"/>
      <w:lang w:val="en-US" w:eastAsia="zh-CN" w:bidi="ar-SA"/>
    </w:rPr>
  </w:style>
  <w:style w:type="paragraph" w:customStyle="1" w:styleId="54">
    <w:name w:val="标准书眉一"/>
    <w:autoRedefine/>
    <w:qFormat/>
    <w:uiPriority w:val="0"/>
    <w:pPr>
      <w:jc w:val="both"/>
    </w:pPr>
    <w:rPr>
      <w:rFonts w:ascii="Times New Roman" w:hAnsi="Times New Roman" w:eastAsia="宋体" w:cs="Times New Roman"/>
      <w:lang w:val="en-US" w:eastAsia="zh-CN" w:bidi="ar-SA"/>
    </w:rPr>
  </w:style>
  <w:style w:type="paragraph" w:customStyle="1" w:styleId="55">
    <w:name w:val="标准文件_ICS"/>
    <w:basedOn w:val="1"/>
    <w:autoRedefine/>
    <w:qFormat/>
    <w:uiPriority w:val="0"/>
    <w:pPr>
      <w:spacing w:line="0" w:lineRule="atLeast"/>
    </w:pPr>
    <w:rPr>
      <w:rFonts w:ascii="黑体" w:hAnsi="宋体" w:eastAsia="黑体"/>
    </w:rPr>
  </w:style>
  <w:style w:type="paragraph" w:customStyle="1" w:styleId="56">
    <w:name w:val="标准文件_标准正文"/>
    <w:basedOn w:val="1"/>
    <w:next w:val="57"/>
    <w:autoRedefine/>
    <w:qFormat/>
    <w:uiPriority w:val="0"/>
    <w:pPr>
      <w:snapToGrid w:val="0"/>
      <w:ind w:firstLine="200" w:firstLineChars="200"/>
    </w:pPr>
    <w:rPr>
      <w:kern w:val="0"/>
    </w:rPr>
  </w:style>
  <w:style w:type="paragraph" w:customStyle="1" w:styleId="57">
    <w:name w:val="标准文件_段"/>
    <w:link w:val="185"/>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8">
    <w:name w:val="标准文件_版本"/>
    <w:basedOn w:val="56"/>
    <w:autoRedefine/>
    <w:qFormat/>
    <w:uiPriority w:val="0"/>
    <w:pPr>
      <w:adjustRightInd/>
      <w:snapToGrid/>
      <w:ind w:firstLine="0" w:firstLineChars="0"/>
    </w:pPr>
    <w:rPr>
      <w:rFonts w:ascii="宋体" w:hAnsi="宋体"/>
      <w:kern w:val="2"/>
    </w:rPr>
  </w:style>
  <w:style w:type="paragraph" w:customStyle="1" w:styleId="59">
    <w:name w:val="标准文件_标准部门"/>
    <w:basedOn w:val="1"/>
    <w:autoRedefine/>
    <w:qFormat/>
    <w:uiPriority w:val="0"/>
    <w:pPr>
      <w:jc w:val="center"/>
    </w:pPr>
    <w:rPr>
      <w:rFonts w:ascii="黑体" w:eastAsia="黑体"/>
      <w:kern w:val="0"/>
      <w:sz w:val="44"/>
    </w:rPr>
  </w:style>
  <w:style w:type="paragraph" w:customStyle="1" w:styleId="60">
    <w:name w:val="标准文件_标准代替"/>
    <w:basedOn w:val="1"/>
    <w:next w:val="1"/>
    <w:autoRedefine/>
    <w:qFormat/>
    <w:uiPriority w:val="0"/>
    <w:pPr>
      <w:spacing w:line="310" w:lineRule="exact"/>
      <w:jc w:val="right"/>
    </w:pPr>
    <w:rPr>
      <w:rFonts w:ascii="宋体" w:hAnsi="宋体"/>
      <w:kern w:val="0"/>
    </w:rPr>
  </w:style>
  <w:style w:type="paragraph" w:customStyle="1" w:styleId="61">
    <w:name w:val="标准文件_标准名称标题"/>
    <w:basedOn w:val="1"/>
    <w:next w:val="1"/>
    <w:autoRedefine/>
    <w:qFormat/>
    <w:uiPriority w:val="0"/>
    <w:pPr>
      <w:widowControl/>
      <w:shd w:val="clear" w:color="FFFFFF" w:fill="FFFFFF"/>
      <w:adjustRightInd/>
      <w:spacing w:before="640" w:after="100"/>
      <w:jc w:val="center"/>
    </w:pPr>
    <w:rPr>
      <w:rFonts w:ascii="黑体" w:eastAsia="黑体"/>
      <w:kern w:val="0"/>
      <w:sz w:val="32"/>
    </w:rPr>
  </w:style>
  <w:style w:type="paragraph" w:customStyle="1" w:styleId="62">
    <w:name w:val="标准文件_页眉奇数页"/>
    <w:next w:val="1"/>
    <w:autoRedefine/>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3">
    <w:name w:val="标准文件_页眉偶数页"/>
    <w:basedOn w:val="62"/>
    <w:next w:val="1"/>
    <w:autoRedefine/>
    <w:qFormat/>
    <w:uiPriority w:val="0"/>
    <w:pPr>
      <w:jc w:val="left"/>
    </w:pPr>
  </w:style>
  <w:style w:type="paragraph" w:customStyle="1" w:styleId="64">
    <w:name w:val="标准文件_参考文献标题"/>
    <w:basedOn w:val="1"/>
    <w:next w:val="1"/>
    <w:autoRedefine/>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65">
    <w:name w:val="标准文件_参考文献条目"/>
    <w:autoRedefine/>
    <w:qFormat/>
    <w:uiPriority w:val="0"/>
    <w:pPr>
      <w:numPr>
        <w:ilvl w:val="0"/>
        <w:numId w:val="1"/>
      </w:numPr>
    </w:pPr>
    <w:rPr>
      <w:rFonts w:ascii="宋体" w:hAnsi="Times New Roman" w:eastAsia="宋体" w:cs="Times New Roman"/>
      <w:lang w:val="en-US" w:eastAsia="zh-CN" w:bidi="ar-SA"/>
    </w:rPr>
  </w:style>
  <w:style w:type="paragraph" w:customStyle="1" w:styleId="66">
    <w:name w:val="标准文件_二级条标题"/>
    <w:next w:val="57"/>
    <w:autoRedefine/>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7">
    <w:name w:val="标准文件_发布"/>
    <w:autoRedefine/>
    <w:qFormat/>
    <w:uiPriority w:val="0"/>
    <w:rPr>
      <w:rFonts w:ascii="黑体" w:eastAsia="黑体"/>
      <w:spacing w:val="0"/>
      <w:w w:val="100"/>
      <w:position w:val="3"/>
      <w:sz w:val="28"/>
    </w:rPr>
  </w:style>
  <w:style w:type="paragraph" w:customStyle="1" w:styleId="68">
    <w:name w:val="标准文件_方框数字列项"/>
    <w:basedOn w:val="57"/>
    <w:autoRedefine/>
    <w:qFormat/>
    <w:uiPriority w:val="0"/>
    <w:pPr>
      <w:numPr>
        <w:ilvl w:val="0"/>
        <w:numId w:val="3"/>
      </w:numPr>
      <w:ind w:firstLine="0" w:firstLineChars="0"/>
    </w:pPr>
  </w:style>
  <w:style w:type="paragraph" w:customStyle="1" w:styleId="69">
    <w:name w:val="标准文件_封面标准编号"/>
    <w:basedOn w:val="1"/>
    <w:next w:val="60"/>
    <w:autoRedefine/>
    <w:qFormat/>
    <w:uiPriority w:val="0"/>
    <w:pPr>
      <w:spacing w:line="310" w:lineRule="exact"/>
      <w:jc w:val="right"/>
    </w:pPr>
    <w:rPr>
      <w:rFonts w:ascii="黑体" w:eastAsia="黑体"/>
      <w:kern w:val="0"/>
      <w:sz w:val="28"/>
    </w:rPr>
  </w:style>
  <w:style w:type="paragraph" w:customStyle="1" w:styleId="70">
    <w:name w:val="标准文件_封面标准分类号"/>
    <w:basedOn w:val="1"/>
    <w:autoRedefine/>
    <w:qFormat/>
    <w:uiPriority w:val="0"/>
    <w:rPr>
      <w:rFonts w:ascii="黑体" w:eastAsia="黑体"/>
      <w:b/>
      <w:kern w:val="0"/>
      <w:sz w:val="28"/>
    </w:rPr>
  </w:style>
  <w:style w:type="paragraph" w:customStyle="1" w:styleId="71">
    <w:name w:val="标准文件_封面标准名称"/>
    <w:basedOn w:val="1"/>
    <w:autoRedefine/>
    <w:qFormat/>
    <w:uiPriority w:val="0"/>
    <w:pPr>
      <w:spacing w:line="240" w:lineRule="auto"/>
      <w:jc w:val="center"/>
    </w:pPr>
    <w:rPr>
      <w:rFonts w:ascii="黑体" w:eastAsia="黑体"/>
      <w:kern w:val="0"/>
      <w:sz w:val="52"/>
    </w:rPr>
  </w:style>
  <w:style w:type="paragraph" w:customStyle="1" w:styleId="72">
    <w:name w:val="标准文件_封面标准英文名称"/>
    <w:basedOn w:val="1"/>
    <w:autoRedefine/>
    <w:qFormat/>
    <w:uiPriority w:val="0"/>
    <w:pPr>
      <w:spacing w:line="240" w:lineRule="auto"/>
      <w:jc w:val="center"/>
    </w:pPr>
    <w:rPr>
      <w:rFonts w:ascii="黑体" w:eastAsia="黑体"/>
      <w:b/>
      <w:sz w:val="28"/>
    </w:rPr>
  </w:style>
  <w:style w:type="paragraph" w:customStyle="1" w:styleId="73">
    <w:name w:val="标准文件_封面发布日期"/>
    <w:basedOn w:val="1"/>
    <w:autoRedefine/>
    <w:qFormat/>
    <w:uiPriority w:val="0"/>
    <w:pPr>
      <w:spacing w:line="310" w:lineRule="exact"/>
    </w:pPr>
    <w:rPr>
      <w:rFonts w:ascii="黑体" w:eastAsia="黑体"/>
      <w:kern w:val="0"/>
      <w:sz w:val="28"/>
    </w:rPr>
  </w:style>
  <w:style w:type="paragraph" w:customStyle="1" w:styleId="74">
    <w:name w:val="标准文件_封面密级"/>
    <w:basedOn w:val="1"/>
    <w:autoRedefine/>
    <w:qFormat/>
    <w:uiPriority w:val="0"/>
    <w:rPr>
      <w:rFonts w:eastAsia="黑体"/>
      <w:sz w:val="32"/>
    </w:rPr>
  </w:style>
  <w:style w:type="paragraph" w:customStyle="1" w:styleId="75">
    <w:name w:val="标准文件_封面实施日期"/>
    <w:basedOn w:val="1"/>
    <w:autoRedefine/>
    <w:qFormat/>
    <w:uiPriority w:val="0"/>
    <w:pPr>
      <w:spacing w:line="310" w:lineRule="exact"/>
      <w:jc w:val="right"/>
    </w:pPr>
    <w:rPr>
      <w:rFonts w:ascii="黑体" w:eastAsia="黑体"/>
      <w:sz w:val="28"/>
    </w:rPr>
  </w:style>
  <w:style w:type="paragraph" w:customStyle="1" w:styleId="76">
    <w:name w:val="标准文件_封面抬头"/>
    <w:basedOn w:val="57"/>
    <w:autoRedefine/>
    <w:qFormat/>
    <w:uiPriority w:val="0"/>
    <w:pPr>
      <w:adjustRightInd w:val="0"/>
      <w:spacing w:line="800" w:lineRule="exact"/>
      <w:ind w:firstLine="0" w:firstLineChars="0"/>
      <w:jc w:val="distribute"/>
    </w:pPr>
    <w:rPr>
      <w:rFonts w:ascii="黑体" w:eastAsia="黑体"/>
      <w:b/>
      <w:sz w:val="64"/>
    </w:rPr>
  </w:style>
  <w:style w:type="paragraph" w:customStyle="1" w:styleId="77">
    <w:name w:val="标准文件_附录标识"/>
    <w:next w:val="57"/>
    <w:autoRedefine/>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78">
    <w:name w:val="标准文件_附录表标题"/>
    <w:next w:val="57"/>
    <w:autoRedefine/>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79">
    <w:name w:val="标准文件_附录一级条标题"/>
    <w:next w:val="57"/>
    <w:autoRedefine/>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0">
    <w:name w:val="标准文件_附录二级条标题"/>
    <w:basedOn w:val="79"/>
    <w:next w:val="57"/>
    <w:autoRedefine/>
    <w:qFormat/>
    <w:uiPriority w:val="0"/>
    <w:pPr>
      <w:widowControl/>
      <w:numPr>
        <w:ilvl w:val="2"/>
      </w:numPr>
      <w:wordWrap w:val="0"/>
      <w:overflowPunct w:val="0"/>
      <w:autoSpaceDE w:val="0"/>
      <w:autoSpaceDN w:val="0"/>
      <w:textAlignment w:val="baseline"/>
      <w:outlineLvl w:val="3"/>
    </w:pPr>
  </w:style>
  <w:style w:type="paragraph" w:customStyle="1" w:styleId="81">
    <w:name w:val="标准文件_附录公式"/>
    <w:basedOn w:val="56"/>
    <w:next w:val="56"/>
    <w:autoRedefine/>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2">
    <w:name w:val="标准文件_附录三级条标题"/>
    <w:next w:val="57"/>
    <w:autoRedefine/>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3">
    <w:name w:val="标准文件_附录四级条标题"/>
    <w:next w:val="57"/>
    <w:autoRedefine/>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4">
    <w:name w:val="标准文件_附录图标题"/>
    <w:next w:val="57"/>
    <w:autoRedefine/>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5">
    <w:name w:val="标准文件_附录五级条标题"/>
    <w:next w:val="57"/>
    <w:autoRedefine/>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6">
    <w:name w:val="标准文件_附录英文标识"/>
    <w:next w:val="14"/>
    <w:autoRedefine/>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7">
    <w:name w:val="正文文本 字符"/>
    <w:link w:val="14"/>
    <w:autoRedefine/>
    <w:qFormat/>
    <w:uiPriority w:val="0"/>
    <w:rPr>
      <w:kern w:val="2"/>
      <w:sz w:val="21"/>
      <w:szCs w:val="21"/>
    </w:rPr>
  </w:style>
  <w:style w:type="paragraph" w:customStyle="1" w:styleId="88">
    <w:name w:val="标准文件_附录章标题"/>
    <w:next w:val="57"/>
    <w:autoRedefine/>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9">
    <w:name w:val="标准文件_公式后的破折号"/>
    <w:basedOn w:val="57"/>
    <w:next w:val="57"/>
    <w:autoRedefine/>
    <w:qFormat/>
    <w:uiPriority w:val="0"/>
    <w:pPr>
      <w:ind w:left="488" w:leftChars="200" w:hanging="289" w:hangingChars="290"/>
    </w:pPr>
  </w:style>
  <w:style w:type="paragraph" w:customStyle="1" w:styleId="90">
    <w:name w:val="标准文件_前言、引言标题"/>
    <w:next w:val="1"/>
    <w:autoRedefine/>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1">
    <w:name w:val="标准文件_目次、标准名称标题"/>
    <w:basedOn w:val="90"/>
    <w:next w:val="57"/>
    <w:autoRedefine/>
    <w:qFormat/>
    <w:uiPriority w:val="0"/>
    <w:pPr>
      <w:spacing w:line="460" w:lineRule="exact"/>
      <w:ind w:left="0" w:firstLine="0"/>
    </w:pPr>
  </w:style>
  <w:style w:type="paragraph" w:customStyle="1" w:styleId="92">
    <w:name w:val="标准文件_目录标题"/>
    <w:basedOn w:val="1"/>
    <w:autoRedefine/>
    <w:qFormat/>
    <w:uiPriority w:val="0"/>
    <w:pPr>
      <w:spacing w:before="480" w:after="150" w:afterLines="150" w:line="240" w:lineRule="auto"/>
      <w:jc w:val="center"/>
    </w:pPr>
    <w:rPr>
      <w:rFonts w:ascii="黑体" w:eastAsia="黑体"/>
      <w:sz w:val="32"/>
    </w:rPr>
  </w:style>
  <w:style w:type="paragraph" w:customStyle="1" w:styleId="93">
    <w:name w:val="标准文件_破折号列项"/>
    <w:autoRedefine/>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4">
    <w:name w:val="标准文件_破折号列项（二级）"/>
    <w:basedOn w:val="93"/>
    <w:autoRedefine/>
    <w:qFormat/>
    <w:uiPriority w:val="0"/>
    <w:pPr>
      <w:numPr>
        <w:numId w:val="10"/>
      </w:numPr>
    </w:pPr>
  </w:style>
  <w:style w:type="paragraph" w:customStyle="1" w:styleId="95">
    <w:name w:val="标准文件_三级条标题"/>
    <w:basedOn w:val="66"/>
    <w:next w:val="57"/>
    <w:autoRedefine/>
    <w:qFormat/>
    <w:uiPriority w:val="0"/>
    <w:pPr>
      <w:widowControl/>
      <w:numPr>
        <w:ilvl w:val="4"/>
      </w:numPr>
      <w:outlineLvl w:val="3"/>
    </w:pPr>
  </w:style>
  <w:style w:type="character" w:customStyle="1" w:styleId="96">
    <w:name w:val="不明显参考1"/>
    <w:autoRedefine/>
    <w:qFormat/>
    <w:uiPriority w:val="31"/>
    <w:rPr>
      <w:smallCaps/>
      <w:color w:val="C0504D"/>
      <w:u w:val="single"/>
    </w:rPr>
  </w:style>
  <w:style w:type="paragraph" w:customStyle="1" w:styleId="97">
    <w:name w:val="标准文件_示例后续"/>
    <w:basedOn w:val="1"/>
    <w:autoRedefine/>
    <w:qFormat/>
    <w:uiPriority w:val="0"/>
    <w:pPr>
      <w:adjustRightInd/>
      <w:spacing w:line="240" w:lineRule="auto"/>
      <w:ind w:firstLine="200" w:firstLineChars="200"/>
    </w:pPr>
    <w:rPr>
      <w:sz w:val="18"/>
      <w:szCs w:val="24"/>
    </w:rPr>
  </w:style>
  <w:style w:type="paragraph" w:customStyle="1" w:styleId="98">
    <w:name w:val="标准文件_数字编号列项"/>
    <w:autoRedefine/>
    <w:qFormat/>
    <w:uiPriority w:val="0"/>
    <w:pPr>
      <w:numPr>
        <w:ilvl w:val="0"/>
        <w:numId w:val="11"/>
      </w:numPr>
      <w:jc w:val="both"/>
    </w:pPr>
    <w:rPr>
      <w:rFonts w:ascii="宋体" w:hAnsi="宋体" w:eastAsia="宋体" w:cs="Times New Roman"/>
      <w:sz w:val="21"/>
      <w:lang w:val="en-US" w:eastAsia="zh-CN" w:bidi="ar-SA"/>
    </w:rPr>
  </w:style>
  <w:style w:type="paragraph" w:customStyle="1" w:styleId="99">
    <w:name w:val="标准文件_四级条标题"/>
    <w:next w:val="57"/>
    <w:autoRedefine/>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0">
    <w:name w:val="脚注文本 字符"/>
    <w:link w:val="22"/>
    <w:autoRedefine/>
    <w:semiHidden/>
    <w:qFormat/>
    <w:uiPriority w:val="0"/>
    <w:rPr>
      <w:rFonts w:ascii="宋体"/>
      <w:kern w:val="2"/>
      <w:sz w:val="18"/>
      <w:szCs w:val="18"/>
    </w:rPr>
  </w:style>
  <w:style w:type="paragraph" w:customStyle="1" w:styleId="101">
    <w:name w:val="标准文件_条文脚注"/>
    <w:basedOn w:val="22"/>
    <w:autoRedefine/>
    <w:qFormat/>
    <w:uiPriority w:val="0"/>
    <w:pPr>
      <w:adjustRightInd w:val="0"/>
      <w:spacing w:line="240" w:lineRule="auto"/>
      <w:ind w:left="0" w:leftChars="0" w:firstLine="200" w:firstLineChars="200"/>
      <w:jc w:val="both"/>
    </w:pPr>
    <w:rPr>
      <w:rFonts w:hAnsi="宋体"/>
    </w:rPr>
  </w:style>
  <w:style w:type="paragraph" w:customStyle="1" w:styleId="102">
    <w:name w:val="标准文件_图表脚注"/>
    <w:basedOn w:val="1"/>
    <w:next w:val="57"/>
    <w:autoRedefine/>
    <w:qFormat/>
    <w:uiPriority w:val="0"/>
    <w:pPr>
      <w:numPr>
        <w:ilvl w:val="0"/>
        <w:numId w:val="12"/>
      </w:numPr>
      <w:spacing w:line="240" w:lineRule="auto"/>
      <w:jc w:val="left"/>
    </w:pPr>
    <w:rPr>
      <w:rFonts w:ascii="宋体" w:hAnsi="宋体"/>
      <w:sz w:val="18"/>
    </w:rPr>
  </w:style>
  <w:style w:type="character" w:customStyle="1" w:styleId="103">
    <w:name w:val="标准文件_图表脚注内容"/>
    <w:autoRedefine/>
    <w:qFormat/>
    <w:uiPriority w:val="0"/>
    <w:rPr>
      <w:rFonts w:ascii="宋体" w:hAnsi="宋体" w:eastAsia="宋体" w:cs="Times New Roman"/>
      <w:spacing w:val="0"/>
      <w:sz w:val="18"/>
      <w:vertAlign w:val="superscript"/>
    </w:rPr>
  </w:style>
  <w:style w:type="paragraph" w:customStyle="1" w:styleId="104">
    <w:name w:val="标准文件_五级条标题"/>
    <w:next w:val="57"/>
    <w:autoRedefine/>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5">
    <w:name w:val="标准文件_章标题"/>
    <w:next w:val="57"/>
    <w:autoRedefine/>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6">
    <w:name w:val="标准文件_一级条标题"/>
    <w:basedOn w:val="105"/>
    <w:next w:val="57"/>
    <w:autoRedefine/>
    <w:qFormat/>
    <w:uiPriority w:val="0"/>
    <w:pPr>
      <w:numPr>
        <w:ilvl w:val="2"/>
      </w:numPr>
      <w:spacing w:before="50" w:beforeLines="50" w:after="50" w:afterLines="50"/>
      <w:outlineLvl w:val="1"/>
    </w:pPr>
  </w:style>
  <w:style w:type="paragraph" w:customStyle="1" w:styleId="107">
    <w:name w:val="标准文件_一致程度"/>
    <w:basedOn w:val="1"/>
    <w:autoRedefine/>
    <w:qFormat/>
    <w:uiPriority w:val="0"/>
    <w:pPr>
      <w:spacing w:line="440" w:lineRule="exact"/>
      <w:jc w:val="center"/>
    </w:pPr>
    <w:rPr>
      <w:sz w:val="28"/>
    </w:rPr>
  </w:style>
  <w:style w:type="paragraph" w:customStyle="1" w:styleId="108">
    <w:name w:val="标准文件_引言标题"/>
    <w:next w:val="1"/>
    <w:autoRedefine/>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09">
    <w:name w:val="标准文件_英文图表脚注"/>
    <w:basedOn w:val="56"/>
    <w:autoRedefine/>
    <w:qFormat/>
    <w:uiPriority w:val="0"/>
    <w:pPr>
      <w:widowControl/>
      <w:adjustRightInd/>
      <w:snapToGrid/>
      <w:spacing w:line="240" w:lineRule="auto"/>
      <w:ind w:left="79" w:hanging="79" w:hangingChars="80"/>
    </w:pPr>
    <w:rPr>
      <w:rFonts w:ascii="宋体" w:hAnsi="宋体"/>
    </w:rPr>
  </w:style>
  <w:style w:type="paragraph" w:customStyle="1" w:styleId="110">
    <w:name w:val="标准文件_数字编号列项（二级）"/>
    <w:autoRedefine/>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1">
    <w:name w:val="标准文件_英文注："/>
    <w:basedOn w:val="1"/>
    <w:next w:val="57"/>
    <w:autoRedefine/>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2">
    <w:name w:val="标准文件_英文注×："/>
    <w:basedOn w:val="1"/>
    <w:autoRedefine/>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3">
    <w:name w:val="标准文件_正文表标题"/>
    <w:next w:val="57"/>
    <w:autoRedefine/>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4">
    <w:name w:val="标准文件_正文公式"/>
    <w:basedOn w:val="1"/>
    <w:next w:val="56"/>
    <w:autoRedefine/>
    <w:qFormat/>
    <w:uiPriority w:val="0"/>
    <w:pPr>
      <w:tabs>
        <w:tab w:val="center" w:pos="4678"/>
        <w:tab w:val="right" w:leader="middleDot" w:pos="9356"/>
      </w:tabs>
      <w:spacing w:line="240" w:lineRule="auto"/>
    </w:pPr>
    <w:rPr>
      <w:rFonts w:ascii="宋体" w:hAnsi="宋体"/>
    </w:rPr>
  </w:style>
  <w:style w:type="paragraph" w:customStyle="1" w:styleId="115">
    <w:name w:val="标准文件_正文图标题"/>
    <w:next w:val="57"/>
    <w:autoRedefine/>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6">
    <w:name w:val="标准文件_正文英文表标题"/>
    <w:next w:val="57"/>
    <w:autoRedefine/>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7">
    <w:name w:val="标准文件_正文英文图标题"/>
    <w:next w:val="57"/>
    <w:autoRedefine/>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8">
    <w:name w:val="标准文件_编号列项（三级）"/>
    <w:autoRedefine/>
    <w:qFormat/>
    <w:uiPriority w:val="0"/>
    <w:pPr>
      <w:numPr>
        <w:ilvl w:val="2"/>
        <w:numId w:val="13"/>
      </w:numPr>
    </w:pPr>
    <w:rPr>
      <w:rFonts w:ascii="宋体" w:hAnsi="Times New Roman" w:eastAsia="宋体" w:cs="Times New Roman"/>
      <w:sz w:val="21"/>
      <w:lang w:val="en-US" w:eastAsia="zh-CN" w:bidi="ar-SA"/>
    </w:rPr>
  </w:style>
  <w:style w:type="paragraph" w:customStyle="1" w:styleId="119">
    <w:name w:val="二级无标题条"/>
    <w:basedOn w:val="1"/>
    <w:autoRedefine/>
    <w:qFormat/>
    <w:uiPriority w:val="0"/>
    <w:pPr>
      <w:numPr>
        <w:ilvl w:val="3"/>
        <w:numId w:val="20"/>
      </w:numPr>
      <w:adjustRightInd/>
      <w:spacing w:line="240" w:lineRule="auto"/>
    </w:pPr>
    <w:rPr>
      <w:rFonts w:ascii="宋体" w:hAnsi="宋体"/>
      <w:szCs w:val="24"/>
    </w:rPr>
  </w:style>
  <w:style w:type="paragraph" w:customStyle="1" w:styleId="120">
    <w:name w:val="发布部门"/>
    <w:next w:val="57"/>
    <w:autoRedefine/>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1">
    <w:name w:val="发布日期"/>
    <w:autoRedefine/>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2">
    <w:name w:val="封面标准代替信息"/>
    <w:basedOn w:val="1"/>
    <w:autoRedefine/>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3">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4">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5">
    <w:name w:val="封面标准文稿类别"/>
    <w:autoRedefine/>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6">
    <w:name w:val="封面标准英文名称"/>
    <w:autoRedefine/>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7">
    <w:name w:val="封面一致性程度标识"/>
    <w:autoRedefine/>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8">
    <w:name w:val="封面正文"/>
    <w:autoRedefine/>
    <w:qFormat/>
    <w:uiPriority w:val="0"/>
    <w:pPr>
      <w:jc w:val="both"/>
    </w:pPr>
    <w:rPr>
      <w:rFonts w:ascii="Times New Roman" w:hAnsi="Times New Roman" w:eastAsia="宋体" w:cs="Times New Roman"/>
      <w:lang w:val="en-US" w:eastAsia="zh-CN" w:bidi="ar-SA"/>
    </w:rPr>
  </w:style>
  <w:style w:type="paragraph" w:customStyle="1" w:styleId="129">
    <w:name w:val="附录二级无标题条"/>
    <w:basedOn w:val="1"/>
    <w:next w:val="57"/>
    <w:autoRedefine/>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0">
    <w:name w:val="附录三级无标题条"/>
    <w:basedOn w:val="129"/>
    <w:next w:val="57"/>
    <w:autoRedefine/>
    <w:qFormat/>
    <w:uiPriority w:val="0"/>
    <w:pPr>
      <w:outlineLvl w:val="4"/>
    </w:pPr>
  </w:style>
  <w:style w:type="paragraph" w:customStyle="1" w:styleId="131">
    <w:name w:val="附录四级无标题条"/>
    <w:basedOn w:val="130"/>
    <w:next w:val="57"/>
    <w:autoRedefine/>
    <w:qFormat/>
    <w:uiPriority w:val="0"/>
    <w:pPr>
      <w:outlineLvl w:val="5"/>
    </w:pPr>
  </w:style>
  <w:style w:type="paragraph" w:customStyle="1" w:styleId="132">
    <w:name w:val="附录图"/>
    <w:next w:val="57"/>
    <w:autoRedefine/>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3">
    <w:name w:val="标准文件_一级项"/>
    <w:autoRedefine/>
    <w:qFormat/>
    <w:uiPriority w:val="0"/>
    <w:pPr>
      <w:numPr>
        <w:ilvl w:val="0"/>
        <w:numId w:val="21"/>
      </w:numPr>
    </w:pPr>
    <w:rPr>
      <w:rFonts w:ascii="宋体" w:hAnsi="Times New Roman" w:eastAsia="宋体" w:cs="Times New Roman"/>
      <w:sz w:val="21"/>
      <w:lang w:val="en-US" w:eastAsia="zh-CN" w:bidi="ar-SA"/>
    </w:rPr>
  </w:style>
  <w:style w:type="paragraph" w:customStyle="1" w:styleId="134">
    <w:name w:val="附录五级无标题条"/>
    <w:basedOn w:val="131"/>
    <w:next w:val="57"/>
    <w:autoRedefine/>
    <w:qFormat/>
    <w:uiPriority w:val="0"/>
    <w:pPr>
      <w:outlineLvl w:val="6"/>
    </w:pPr>
  </w:style>
  <w:style w:type="paragraph" w:customStyle="1" w:styleId="135">
    <w:name w:val="附录性质"/>
    <w:basedOn w:val="1"/>
    <w:autoRedefine/>
    <w:qFormat/>
    <w:uiPriority w:val="0"/>
    <w:pPr>
      <w:widowControl/>
      <w:adjustRightInd/>
      <w:jc w:val="center"/>
    </w:pPr>
    <w:rPr>
      <w:rFonts w:ascii="黑体" w:eastAsia="黑体"/>
    </w:rPr>
  </w:style>
  <w:style w:type="paragraph" w:customStyle="1" w:styleId="136">
    <w:name w:val="附录一级无标题条"/>
    <w:basedOn w:val="88"/>
    <w:next w:val="57"/>
    <w:autoRedefine/>
    <w:qFormat/>
    <w:uiPriority w:val="0"/>
    <w:pPr>
      <w:autoSpaceDN w:val="0"/>
      <w:outlineLvl w:val="2"/>
    </w:pPr>
    <w:rPr>
      <w:rFonts w:ascii="宋体" w:hAnsi="宋体" w:eastAsia="宋体"/>
    </w:rPr>
  </w:style>
  <w:style w:type="character" w:customStyle="1" w:styleId="137">
    <w:name w:val="个人答复风格"/>
    <w:autoRedefine/>
    <w:qFormat/>
    <w:uiPriority w:val="0"/>
    <w:rPr>
      <w:rFonts w:ascii="Arial" w:hAnsi="Arial" w:eastAsia="宋体" w:cs="Arial"/>
      <w:color w:val="auto"/>
      <w:spacing w:val="0"/>
      <w:sz w:val="20"/>
    </w:rPr>
  </w:style>
  <w:style w:type="character" w:customStyle="1" w:styleId="138">
    <w:name w:val="个人撰写风格"/>
    <w:autoRedefine/>
    <w:qFormat/>
    <w:uiPriority w:val="0"/>
    <w:rPr>
      <w:rFonts w:ascii="Arial" w:hAnsi="Arial" w:eastAsia="宋体" w:cs="Arial"/>
      <w:color w:val="auto"/>
      <w:spacing w:val="0"/>
      <w:sz w:val="20"/>
    </w:rPr>
  </w:style>
  <w:style w:type="paragraph" w:customStyle="1" w:styleId="139">
    <w:name w:val="脚注后续"/>
    <w:autoRedefine/>
    <w:qFormat/>
    <w:uiPriority w:val="0"/>
    <w:pPr>
      <w:ind w:left="350" w:leftChars="350"/>
      <w:jc w:val="both"/>
    </w:pPr>
    <w:rPr>
      <w:rFonts w:ascii="宋体" w:hAnsi="Times New Roman" w:eastAsia="宋体" w:cs="Times New Roman"/>
      <w:sz w:val="18"/>
      <w:lang w:val="en-US" w:eastAsia="zh-CN" w:bidi="ar-SA"/>
    </w:rPr>
  </w:style>
  <w:style w:type="paragraph" w:customStyle="1" w:styleId="140">
    <w:name w:val="列项——"/>
    <w:autoRedefine/>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1">
    <w:name w:val="列项·"/>
    <w:basedOn w:val="57"/>
    <w:autoRedefine/>
    <w:qFormat/>
    <w:uiPriority w:val="0"/>
    <w:pPr>
      <w:tabs>
        <w:tab w:val="left" w:pos="840"/>
      </w:tabs>
    </w:pPr>
  </w:style>
  <w:style w:type="paragraph" w:customStyle="1" w:styleId="142">
    <w:name w:val="目次、索引正文"/>
    <w:autoRedefine/>
    <w:qFormat/>
    <w:uiPriority w:val="0"/>
    <w:pPr>
      <w:spacing w:line="320" w:lineRule="exact"/>
      <w:jc w:val="both"/>
    </w:pPr>
    <w:rPr>
      <w:rFonts w:ascii="宋体" w:hAnsi="Times New Roman" w:eastAsia="宋体" w:cs="Times New Roman"/>
      <w:sz w:val="21"/>
      <w:lang w:val="en-US" w:eastAsia="zh-CN" w:bidi="ar-SA"/>
    </w:rPr>
  </w:style>
  <w:style w:type="paragraph" w:customStyle="1" w:styleId="143">
    <w:name w:val="目录 21"/>
    <w:basedOn w:val="1"/>
    <w:next w:val="1"/>
    <w:autoRedefine/>
    <w:semiHidden/>
    <w:qFormat/>
    <w:uiPriority w:val="0"/>
    <w:pPr>
      <w:adjustRightInd/>
      <w:spacing w:line="240" w:lineRule="auto"/>
      <w:jc w:val="left"/>
    </w:pPr>
    <w:rPr>
      <w:bCs/>
      <w:iCs/>
    </w:rPr>
  </w:style>
  <w:style w:type="paragraph" w:customStyle="1" w:styleId="144">
    <w:name w:val="目录 31"/>
    <w:basedOn w:val="1"/>
    <w:next w:val="1"/>
    <w:autoRedefine/>
    <w:semiHidden/>
    <w:qFormat/>
    <w:uiPriority w:val="0"/>
    <w:pPr>
      <w:spacing w:line="240" w:lineRule="auto"/>
    </w:pPr>
    <w:rPr>
      <w:rFonts w:ascii="宋体" w:hAnsi="宋体"/>
      <w:iCs/>
    </w:rPr>
  </w:style>
  <w:style w:type="paragraph" w:customStyle="1" w:styleId="145">
    <w:name w:val="目录 41"/>
    <w:basedOn w:val="1"/>
    <w:next w:val="1"/>
    <w:autoRedefine/>
    <w:semiHidden/>
    <w:qFormat/>
    <w:uiPriority w:val="0"/>
    <w:pPr>
      <w:adjustRightInd/>
      <w:spacing w:line="240" w:lineRule="auto"/>
      <w:jc w:val="left"/>
    </w:pPr>
  </w:style>
  <w:style w:type="paragraph" w:customStyle="1" w:styleId="146">
    <w:name w:val="目录 51"/>
    <w:basedOn w:val="1"/>
    <w:next w:val="1"/>
    <w:autoRedefine/>
    <w:semiHidden/>
    <w:qFormat/>
    <w:uiPriority w:val="0"/>
    <w:pPr>
      <w:spacing w:line="240" w:lineRule="auto"/>
    </w:pPr>
    <w:rPr>
      <w:rFonts w:ascii="宋体" w:hAnsi="宋体"/>
    </w:rPr>
  </w:style>
  <w:style w:type="paragraph" w:customStyle="1" w:styleId="147">
    <w:name w:val="目录 61"/>
    <w:basedOn w:val="1"/>
    <w:next w:val="1"/>
    <w:autoRedefine/>
    <w:semiHidden/>
    <w:qFormat/>
    <w:uiPriority w:val="0"/>
    <w:pPr>
      <w:adjustRightInd/>
      <w:spacing w:line="240" w:lineRule="auto"/>
      <w:jc w:val="left"/>
    </w:pPr>
  </w:style>
  <w:style w:type="paragraph" w:customStyle="1" w:styleId="148">
    <w:name w:val="目录 71"/>
    <w:basedOn w:val="147"/>
    <w:autoRedefine/>
    <w:semiHidden/>
    <w:qFormat/>
    <w:uiPriority w:val="0"/>
    <w:pPr>
      <w:ind w:left="1260"/>
    </w:pPr>
  </w:style>
  <w:style w:type="paragraph" w:customStyle="1" w:styleId="149">
    <w:name w:val="目录 81"/>
    <w:basedOn w:val="148"/>
    <w:autoRedefine/>
    <w:semiHidden/>
    <w:qFormat/>
    <w:uiPriority w:val="0"/>
    <w:pPr>
      <w:ind w:left="1470"/>
    </w:pPr>
  </w:style>
  <w:style w:type="paragraph" w:customStyle="1" w:styleId="150">
    <w:name w:val="目录 91"/>
    <w:basedOn w:val="149"/>
    <w:autoRedefine/>
    <w:semiHidden/>
    <w:qFormat/>
    <w:uiPriority w:val="0"/>
    <w:pPr>
      <w:ind w:left="1680"/>
    </w:pPr>
  </w:style>
  <w:style w:type="paragraph" w:customStyle="1" w:styleId="151">
    <w:name w:val="其他标准称谓"/>
    <w:autoRedefine/>
    <w:qFormat/>
    <w:uiPriority w:val="0"/>
    <w:pPr>
      <w:spacing w:line="0" w:lineRule="atLeast"/>
      <w:jc w:val="distribute"/>
    </w:pPr>
    <w:rPr>
      <w:rFonts w:ascii="黑体" w:hAnsi="宋体" w:eastAsia="黑体" w:cs="Times New Roman"/>
      <w:sz w:val="52"/>
      <w:lang w:val="en-US" w:eastAsia="zh-CN" w:bidi="ar-SA"/>
    </w:rPr>
  </w:style>
  <w:style w:type="paragraph" w:customStyle="1" w:styleId="152">
    <w:name w:val="其他发布部门"/>
    <w:basedOn w:val="120"/>
    <w:autoRedefine/>
    <w:qFormat/>
    <w:uiPriority w:val="0"/>
    <w:pPr>
      <w:framePr w:wrap="around"/>
      <w:spacing w:line="0" w:lineRule="atLeast"/>
    </w:pPr>
    <w:rPr>
      <w:rFonts w:ascii="黑体" w:eastAsia="黑体"/>
      <w:b w:val="0"/>
    </w:rPr>
  </w:style>
  <w:style w:type="paragraph" w:customStyle="1" w:styleId="153">
    <w:name w:val="前言标题"/>
    <w:next w:val="1"/>
    <w:autoRedefine/>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4">
    <w:name w:val="三级无标题条"/>
    <w:basedOn w:val="1"/>
    <w:autoRedefine/>
    <w:qFormat/>
    <w:uiPriority w:val="0"/>
    <w:pPr>
      <w:numPr>
        <w:ilvl w:val="4"/>
        <w:numId w:val="20"/>
      </w:numPr>
      <w:adjustRightInd/>
      <w:spacing w:line="240" w:lineRule="auto"/>
    </w:pPr>
    <w:rPr>
      <w:rFonts w:ascii="宋体" w:hAnsi="宋体"/>
      <w:szCs w:val="24"/>
    </w:rPr>
  </w:style>
  <w:style w:type="paragraph" w:customStyle="1" w:styleId="155">
    <w:name w:val="实施日期"/>
    <w:basedOn w:val="121"/>
    <w:autoRedefine/>
    <w:qFormat/>
    <w:uiPriority w:val="0"/>
    <w:pPr>
      <w:framePr w:hSpace="0" w:wrap="around" w:xAlign="right"/>
      <w:jc w:val="right"/>
    </w:pPr>
  </w:style>
  <w:style w:type="paragraph" w:customStyle="1" w:styleId="156">
    <w:name w:val="四级无标题条"/>
    <w:basedOn w:val="1"/>
    <w:autoRedefine/>
    <w:qFormat/>
    <w:uiPriority w:val="0"/>
    <w:pPr>
      <w:numPr>
        <w:ilvl w:val="5"/>
        <w:numId w:val="20"/>
      </w:numPr>
      <w:adjustRightInd/>
      <w:spacing w:line="240" w:lineRule="auto"/>
    </w:pPr>
    <w:rPr>
      <w:rFonts w:ascii="宋体" w:hAnsi="宋体"/>
      <w:szCs w:val="24"/>
    </w:rPr>
  </w:style>
  <w:style w:type="paragraph" w:customStyle="1" w:styleId="157">
    <w:name w:val="文献分类号"/>
    <w:autoRedefine/>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8">
    <w:name w:val="无标题条"/>
    <w:next w:val="57"/>
    <w:autoRedefine/>
    <w:qFormat/>
    <w:uiPriority w:val="0"/>
    <w:pPr>
      <w:jc w:val="both"/>
    </w:pPr>
    <w:rPr>
      <w:rFonts w:ascii="宋体" w:hAnsi="宋体" w:eastAsia="宋体" w:cs="Times New Roman"/>
      <w:sz w:val="21"/>
      <w:lang w:val="en-US" w:eastAsia="zh-CN" w:bidi="ar-SA"/>
    </w:rPr>
  </w:style>
  <w:style w:type="paragraph" w:customStyle="1" w:styleId="159">
    <w:name w:val="五级无标题条"/>
    <w:basedOn w:val="1"/>
    <w:autoRedefine/>
    <w:qFormat/>
    <w:uiPriority w:val="0"/>
    <w:pPr>
      <w:numPr>
        <w:ilvl w:val="6"/>
        <w:numId w:val="20"/>
      </w:numPr>
      <w:adjustRightInd/>
    </w:pPr>
    <w:rPr>
      <w:szCs w:val="24"/>
    </w:rPr>
  </w:style>
  <w:style w:type="paragraph" w:customStyle="1" w:styleId="160">
    <w:name w:val="一级无标题条"/>
    <w:basedOn w:val="1"/>
    <w:autoRedefine/>
    <w:qFormat/>
    <w:uiPriority w:val="0"/>
    <w:pPr>
      <w:numPr>
        <w:ilvl w:val="2"/>
        <w:numId w:val="20"/>
      </w:numPr>
      <w:adjustRightInd/>
      <w:spacing w:before="10" w:after="10" w:line="240" w:lineRule="auto"/>
    </w:pPr>
    <w:rPr>
      <w:rFonts w:ascii="宋体" w:hAnsi="宋体"/>
      <w:szCs w:val="24"/>
    </w:rPr>
  </w:style>
  <w:style w:type="paragraph" w:customStyle="1" w:styleId="161">
    <w:name w:val="注:后续"/>
    <w:autoRedefine/>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2">
    <w:name w:val="注×:后续"/>
    <w:basedOn w:val="161"/>
    <w:autoRedefine/>
    <w:qFormat/>
    <w:uiPriority w:val="0"/>
    <w:pPr>
      <w:ind w:left="1406" w:leftChars="0" w:hanging="499" w:firstLineChars="0"/>
    </w:pPr>
  </w:style>
  <w:style w:type="paragraph" w:customStyle="1" w:styleId="163">
    <w:name w:val="标准文件_一级无标题"/>
    <w:basedOn w:val="106"/>
    <w:autoRedefine/>
    <w:qFormat/>
    <w:uiPriority w:val="0"/>
    <w:pPr>
      <w:spacing w:before="0" w:beforeLines="0" w:after="0" w:afterLines="0"/>
      <w:outlineLvl w:val="9"/>
    </w:pPr>
    <w:rPr>
      <w:rFonts w:ascii="宋体" w:eastAsia="宋体"/>
    </w:rPr>
  </w:style>
  <w:style w:type="paragraph" w:customStyle="1" w:styleId="164">
    <w:name w:val="标准文件_五级无标题"/>
    <w:basedOn w:val="104"/>
    <w:autoRedefine/>
    <w:qFormat/>
    <w:uiPriority w:val="0"/>
    <w:pPr>
      <w:spacing w:before="0" w:beforeLines="0" w:after="0" w:afterLines="0"/>
      <w:outlineLvl w:val="9"/>
    </w:pPr>
    <w:rPr>
      <w:rFonts w:ascii="宋体" w:eastAsia="宋体"/>
    </w:rPr>
  </w:style>
  <w:style w:type="paragraph" w:customStyle="1" w:styleId="165">
    <w:name w:val="标准文件_三级无标题"/>
    <w:basedOn w:val="95"/>
    <w:autoRedefine/>
    <w:qFormat/>
    <w:uiPriority w:val="0"/>
    <w:pPr>
      <w:spacing w:before="0" w:beforeLines="0" w:after="0" w:afterLines="0"/>
      <w:outlineLvl w:val="9"/>
    </w:pPr>
    <w:rPr>
      <w:rFonts w:ascii="宋体" w:eastAsia="宋体"/>
    </w:rPr>
  </w:style>
  <w:style w:type="paragraph" w:customStyle="1" w:styleId="166">
    <w:name w:val="标准文件_二级无标题"/>
    <w:basedOn w:val="66"/>
    <w:autoRedefine/>
    <w:qFormat/>
    <w:uiPriority w:val="0"/>
    <w:pPr>
      <w:spacing w:before="0" w:beforeLines="0" w:after="0" w:afterLines="0"/>
      <w:outlineLvl w:val="9"/>
    </w:pPr>
    <w:rPr>
      <w:rFonts w:ascii="宋体" w:eastAsia="宋体"/>
    </w:rPr>
  </w:style>
  <w:style w:type="paragraph" w:customStyle="1" w:styleId="167">
    <w:name w:val="标准_四级无标题"/>
    <w:basedOn w:val="99"/>
    <w:next w:val="57"/>
    <w:autoRedefine/>
    <w:qFormat/>
    <w:uiPriority w:val="0"/>
    <w:rPr>
      <w:rFonts w:eastAsia="宋体"/>
    </w:rPr>
  </w:style>
  <w:style w:type="paragraph" w:customStyle="1" w:styleId="168">
    <w:name w:val="标准文件_四级无标题"/>
    <w:basedOn w:val="99"/>
    <w:autoRedefine/>
    <w:qFormat/>
    <w:uiPriority w:val="0"/>
    <w:pPr>
      <w:spacing w:before="0" w:beforeLines="0" w:after="0" w:afterLines="0"/>
      <w:outlineLvl w:val="9"/>
    </w:pPr>
    <w:rPr>
      <w:rFonts w:ascii="宋体" w:hAnsi="黑体" w:eastAsia="宋体"/>
      <w:szCs w:val="52"/>
    </w:rPr>
  </w:style>
  <w:style w:type="paragraph" w:customStyle="1" w:styleId="169">
    <w:name w:val="标准文件_大写罗马数字编号列项"/>
    <w:basedOn w:val="57"/>
    <w:autoRedefine/>
    <w:qFormat/>
    <w:uiPriority w:val="0"/>
    <w:pPr>
      <w:numPr>
        <w:ilvl w:val="0"/>
        <w:numId w:val="23"/>
      </w:numPr>
      <w:ind w:firstLine="0" w:firstLineChars="0"/>
    </w:pPr>
    <w:rPr>
      <w:rFonts w:ascii="Times New Roman" w:cs="Arial"/>
      <w:szCs w:val="28"/>
    </w:rPr>
  </w:style>
  <w:style w:type="paragraph" w:customStyle="1" w:styleId="170">
    <w:name w:val="标准文件_小写罗马数字编号列项"/>
    <w:basedOn w:val="57"/>
    <w:autoRedefine/>
    <w:qFormat/>
    <w:uiPriority w:val="0"/>
    <w:pPr>
      <w:numPr>
        <w:ilvl w:val="0"/>
        <w:numId w:val="24"/>
      </w:numPr>
      <w:ind w:firstLine="0" w:firstLineChars="0"/>
    </w:pPr>
    <w:rPr>
      <w:rFonts w:cs="Arial"/>
      <w:szCs w:val="28"/>
    </w:rPr>
  </w:style>
  <w:style w:type="paragraph" w:customStyle="1" w:styleId="171">
    <w:name w:val="标准文件_附录标题"/>
    <w:basedOn w:val="77"/>
    <w:autoRedefine/>
    <w:qFormat/>
    <w:uiPriority w:val="0"/>
    <w:pPr>
      <w:numPr>
        <w:numId w:val="0"/>
      </w:numPr>
      <w:spacing w:after="280"/>
      <w:outlineLvl w:val="9"/>
    </w:pPr>
  </w:style>
  <w:style w:type="paragraph" w:customStyle="1" w:styleId="172">
    <w:name w:val="标准文件_二级项"/>
    <w:autoRedefine/>
    <w:qFormat/>
    <w:uiPriority w:val="0"/>
    <w:rPr>
      <w:rFonts w:ascii="宋体" w:hAnsi="Times New Roman" w:eastAsia="宋体" w:cs="Times New Roman"/>
      <w:sz w:val="21"/>
      <w:lang w:val="en-US" w:eastAsia="zh-CN" w:bidi="ar-SA"/>
    </w:rPr>
  </w:style>
  <w:style w:type="paragraph" w:customStyle="1" w:styleId="173">
    <w:name w:val="标准文件_三级项"/>
    <w:basedOn w:val="1"/>
    <w:autoRedefine/>
    <w:qFormat/>
    <w:uiPriority w:val="0"/>
    <w:pPr>
      <w:numPr>
        <w:ilvl w:val="2"/>
        <w:numId w:val="21"/>
      </w:numPr>
      <w:spacing w:line="536870612" w:lineRule="auto"/>
    </w:pPr>
    <w:rPr>
      <w:rFonts w:ascii="Times New Roman" w:hAnsi="Times New Roman"/>
    </w:rPr>
  </w:style>
  <w:style w:type="paragraph" w:customStyle="1" w:styleId="174">
    <w:name w:val="图表脚注说明"/>
    <w:basedOn w:val="1"/>
    <w:next w:val="57"/>
    <w:autoRedefine/>
    <w:qFormat/>
    <w:uiPriority w:val="0"/>
    <w:pPr>
      <w:numPr>
        <w:ilvl w:val="0"/>
        <w:numId w:val="25"/>
      </w:numPr>
      <w:adjustRightInd/>
      <w:spacing w:line="240" w:lineRule="auto"/>
    </w:pPr>
    <w:rPr>
      <w:rFonts w:ascii="宋体" w:hAnsi="Times New Roman"/>
      <w:sz w:val="18"/>
      <w:szCs w:val="18"/>
    </w:rPr>
  </w:style>
  <w:style w:type="paragraph" w:customStyle="1" w:styleId="175">
    <w:name w:val="标准文件_字母编号列项（一级）"/>
    <w:autoRedefine/>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6">
    <w:name w:val="标准文件_索引字母"/>
    <w:next w:val="57"/>
    <w:autoRedefine/>
    <w:qFormat/>
    <w:uiPriority w:val="0"/>
    <w:pPr>
      <w:jc w:val="center"/>
    </w:pPr>
    <w:rPr>
      <w:rFonts w:ascii="宋体" w:hAnsi="宋体" w:eastAsia="Times New Roman" w:cs="Times New Roman"/>
      <w:b/>
      <w:kern w:val="2"/>
      <w:sz w:val="21"/>
      <w:lang w:val="en-US" w:eastAsia="zh-CN" w:bidi="ar-SA"/>
    </w:rPr>
  </w:style>
  <w:style w:type="paragraph" w:customStyle="1" w:styleId="177">
    <w:name w:val="标准文件_附录前"/>
    <w:next w:val="57"/>
    <w:autoRedefine/>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8">
    <w:name w:val="标准文件_正文标准名称"/>
    <w:autoRedefine/>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79">
    <w:name w:val="标准文件_表格"/>
    <w:basedOn w:val="57"/>
    <w:autoRedefine/>
    <w:qFormat/>
    <w:uiPriority w:val="0"/>
    <w:pPr>
      <w:ind w:firstLine="0" w:firstLineChars="0"/>
      <w:jc w:val="center"/>
    </w:pPr>
    <w:rPr>
      <w:sz w:val="18"/>
    </w:rPr>
  </w:style>
  <w:style w:type="paragraph" w:customStyle="1" w:styleId="180">
    <w:name w:val="标准文件_注："/>
    <w:next w:val="57"/>
    <w:autoRedefine/>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1">
    <w:name w:val="标准文件_注×："/>
    <w:autoRedefine/>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2">
    <w:name w:val="标准文件_示例："/>
    <w:next w:val="183"/>
    <w:autoRedefine/>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3">
    <w:name w:val="标准文件_示例内容"/>
    <w:basedOn w:val="57"/>
    <w:autoRedefine/>
    <w:qFormat/>
    <w:uiPriority w:val="0"/>
    <w:pPr>
      <w:ind w:firstLine="420"/>
    </w:pPr>
    <w:rPr>
      <w:sz w:val="18"/>
    </w:rPr>
  </w:style>
  <w:style w:type="paragraph" w:customStyle="1" w:styleId="184">
    <w:name w:val="标准文件_示例×："/>
    <w:basedOn w:val="1"/>
    <w:next w:val="183"/>
    <w:autoRedefine/>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5">
    <w:name w:val="标准文件_段 Char"/>
    <w:link w:val="57"/>
    <w:autoRedefine/>
    <w:qFormat/>
    <w:uiPriority w:val="0"/>
    <w:rPr>
      <w:rFonts w:ascii="宋体" w:hAnsi="Times New Roman"/>
      <w:sz w:val="21"/>
    </w:rPr>
  </w:style>
  <w:style w:type="paragraph" w:customStyle="1" w:styleId="186">
    <w:name w:val="标准文件_表格续"/>
    <w:basedOn w:val="57"/>
    <w:next w:val="57"/>
    <w:autoRedefine/>
    <w:qFormat/>
    <w:uiPriority w:val="0"/>
    <w:pPr>
      <w:jc w:val="center"/>
    </w:pPr>
    <w:rPr>
      <w:rFonts w:ascii="黑体" w:hAnsi="黑体" w:eastAsia="黑体"/>
    </w:rPr>
  </w:style>
  <w:style w:type="character" w:styleId="187">
    <w:name w:val="Placeholder Text"/>
    <w:basedOn w:val="29"/>
    <w:autoRedefine/>
    <w:semiHidden/>
    <w:qFormat/>
    <w:uiPriority w:val="99"/>
    <w:rPr>
      <w:color w:val="808080"/>
    </w:rPr>
  </w:style>
  <w:style w:type="paragraph" w:customStyle="1" w:styleId="188">
    <w:name w:val="标准文件_二级项2"/>
    <w:basedOn w:val="57"/>
    <w:autoRedefine/>
    <w:qFormat/>
    <w:uiPriority w:val="0"/>
    <w:pPr>
      <w:numPr>
        <w:ilvl w:val="1"/>
        <w:numId w:val="21"/>
      </w:numPr>
      <w:ind w:firstLine="0" w:firstLineChars="0"/>
    </w:pPr>
  </w:style>
  <w:style w:type="paragraph" w:customStyle="1" w:styleId="189">
    <w:name w:val="标准文件_三级项2"/>
    <w:basedOn w:val="57"/>
    <w:autoRedefine/>
    <w:qFormat/>
    <w:uiPriority w:val="0"/>
    <w:pPr>
      <w:numPr>
        <w:ilvl w:val="0"/>
        <w:numId w:val="30"/>
      </w:numPr>
      <w:spacing w:line="300" w:lineRule="exact"/>
      <w:ind w:firstLineChars="0"/>
    </w:pPr>
    <w:rPr>
      <w:rFonts w:ascii="Times New Roman"/>
    </w:rPr>
  </w:style>
  <w:style w:type="paragraph" w:customStyle="1" w:styleId="190">
    <w:name w:val="标准文件_一级项2"/>
    <w:basedOn w:val="57"/>
    <w:autoRedefine/>
    <w:qFormat/>
    <w:uiPriority w:val="0"/>
    <w:pPr>
      <w:numPr>
        <w:ilvl w:val="0"/>
        <w:numId w:val="31"/>
      </w:numPr>
      <w:spacing w:line="300" w:lineRule="exact"/>
      <w:ind w:firstLineChars="0"/>
    </w:pPr>
    <w:rPr>
      <w:rFonts w:ascii="Times New Roman"/>
    </w:rPr>
  </w:style>
  <w:style w:type="paragraph" w:customStyle="1" w:styleId="191">
    <w:name w:val="标准文件_提示"/>
    <w:basedOn w:val="57"/>
    <w:next w:val="57"/>
    <w:autoRedefine/>
    <w:qFormat/>
    <w:uiPriority w:val="0"/>
    <w:pPr>
      <w:ind w:firstLine="420"/>
    </w:pPr>
    <w:rPr>
      <w:rFonts w:ascii="黑体" w:eastAsia="黑体"/>
    </w:rPr>
  </w:style>
  <w:style w:type="character" w:customStyle="1" w:styleId="192">
    <w:name w:val="标准文件_来源"/>
    <w:basedOn w:val="29"/>
    <w:autoRedefine/>
    <w:qFormat/>
    <w:uiPriority w:val="1"/>
    <w:rPr>
      <w:rFonts w:eastAsia="宋体"/>
      <w:sz w:val="21"/>
    </w:rPr>
  </w:style>
  <w:style w:type="paragraph" w:customStyle="1" w:styleId="193">
    <w:name w:val="标准文件_图表说明"/>
    <w:autoRedefine/>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4">
    <w:name w:val="其他发布日期"/>
    <w:basedOn w:val="121"/>
    <w:autoRedefine/>
    <w:qFormat/>
    <w:uiPriority w:val="0"/>
    <w:pPr>
      <w:framePr w:w="3997" w:h="471" w:hRule="exact" w:hSpace="0" w:vSpace="181" w:wrap="around" w:vAnchor="page" w:hAnchor="page" w:x="1419" w:y="14097"/>
    </w:pPr>
  </w:style>
  <w:style w:type="paragraph" w:customStyle="1" w:styleId="195">
    <w:name w:val="其他实施日期"/>
    <w:basedOn w:val="155"/>
    <w:autoRedefine/>
    <w:qFormat/>
    <w:uiPriority w:val="0"/>
    <w:pPr>
      <w:framePr w:w="3997" w:h="471" w:hRule="exact" w:vSpace="181" w:wrap="around" w:vAnchor="page" w:hAnchor="page" w:x="7089" w:y="14097"/>
    </w:pPr>
  </w:style>
  <w:style w:type="paragraph" w:customStyle="1" w:styleId="196">
    <w:name w:val="标准文件_文件编号"/>
    <w:basedOn w:val="57"/>
    <w:autoRedefine/>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7">
    <w:name w:val="标准文件_替换文件编号"/>
    <w:basedOn w:val="196"/>
    <w:autoRedefine/>
    <w:qFormat/>
    <w:uiPriority w:val="0"/>
    <w:pPr>
      <w:spacing w:before="57"/>
    </w:pPr>
    <w:rPr>
      <w:sz w:val="21"/>
    </w:rPr>
  </w:style>
  <w:style w:type="paragraph" w:customStyle="1" w:styleId="198">
    <w:name w:val="标准文件_文件名称"/>
    <w:basedOn w:val="57"/>
    <w:next w:val="57"/>
    <w:autoRedefine/>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199">
    <w:name w:val="标准文件_附录图标号"/>
    <w:basedOn w:val="57"/>
    <w:next w:val="57"/>
    <w:autoRedefine/>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0">
    <w:name w:val="标准文件_附录表标号"/>
    <w:basedOn w:val="57"/>
    <w:next w:val="57"/>
    <w:autoRedefine/>
    <w:qFormat/>
    <w:uiPriority w:val="0"/>
    <w:pPr>
      <w:numPr>
        <w:ilvl w:val="0"/>
        <w:numId w:val="5"/>
      </w:numPr>
      <w:spacing w:line="14" w:lineRule="exact"/>
      <w:ind w:firstLine="0" w:firstLineChars="0"/>
      <w:jc w:val="center"/>
    </w:pPr>
    <w:rPr>
      <w:rFonts w:eastAsia="黑体"/>
      <w:vanish/>
      <w:sz w:val="2"/>
    </w:rPr>
  </w:style>
  <w:style w:type="paragraph" w:customStyle="1" w:styleId="201">
    <w:name w:val="标准文件_引言一级条标题"/>
    <w:basedOn w:val="57"/>
    <w:next w:val="57"/>
    <w:autoRedefine/>
    <w:qFormat/>
    <w:uiPriority w:val="0"/>
    <w:pPr>
      <w:numPr>
        <w:ilvl w:val="1"/>
        <w:numId w:val="8"/>
      </w:numPr>
      <w:spacing w:before="50" w:beforeLines="50" w:after="50" w:afterLines="50"/>
      <w:ind w:firstLineChars="0"/>
    </w:pPr>
    <w:rPr>
      <w:rFonts w:ascii="黑体" w:eastAsia="黑体"/>
    </w:rPr>
  </w:style>
  <w:style w:type="paragraph" w:customStyle="1" w:styleId="202">
    <w:name w:val="标准文件_引言二级条标题"/>
    <w:basedOn w:val="57"/>
    <w:next w:val="57"/>
    <w:autoRedefine/>
    <w:qFormat/>
    <w:uiPriority w:val="0"/>
    <w:pPr>
      <w:numPr>
        <w:ilvl w:val="2"/>
        <w:numId w:val="8"/>
      </w:numPr>
      <w:spacing w:before="50" w:beforeLines="50" w:after="50" w:afterLines="50"/>
      <w:ind w:firstLineChars="0"/>
    </w:pPr>
    <w:rPr>
      <w:rFonts w:ascii="黑体" w:eastAsia="黑体"/>
    </w:rPr>
  </w:style>
  <w:style w:type="paragraph" w:customStyle="1" w:styleId="203">
    <w:name w:val="标准文件_引言三级条标题"/>
    <w:basedOn w:val="57"/>
    <w:next w:val="57"/>
    <w:autoRedefine/>
    <w:qFormat/>
    <w:uiPriority w:val="0"/>
    <w:pPr>
      <w:numPr>
        <w:ilvl w:val="3"/>
        <w:numId w:val="8"/>
      </w:numPr>
      <w:spacing w:before="50" w:beforeLines="50" w:after="50" w:afterLines="50"/>
      <w:ind w:firstLineChars="0"/>
    </w:pPr>
    <w:rPr>
      <w:rFonts w:ascii="黑体" w:eastAsia="黑体"/>
    </w:rPr>
  </w:style>
  <w:style w:type="paragraph" w:customStyle="1" w:styleId="204">
    <w:name w:val="标准文件_引言四级条标题"/>
    <w:basedOn w:val="57"/>
    <w:next w:val="57"/>
    <w:autoRedefine/>
    <w:qFormat/>
    <w:uiPriority w:val="0"/>
    <w:pPr>
      <w:numPr>
        <w:ilvl w:val="4"/>
        <w:numId w:val="8"/>
      </w:numPr>
      <w:spacing w:before="50" w:beforeLines="50" w:after="50" w:afterLines="50"/>
      <w:ind w:firstLineChars="0"/>
    </w:pPr>
    <w:rPr>
      <w:rFonts w:ascii="黑体" w:eastAsia="黑体"/>
    </w:rPr>
  </w:style>
  <w:style w:type="paragraph" w:customStyle="1" w:styleId="205">
    <w:name w:val="标准文件_引言五级条标题"/>
    <w:basedOn w:val="57"/>
    <w:next w:val="57"/>
    <w:autoRedefine/>
    <w:qFormat/>
    <w:uiPriority w:val="0"/>
    <w:pPr>
      <w:numPr>
        <w:ilvl w:val="5"/>
        <w:numId w:val="8"/>
      </w:numPr>
      <w:spacing w:before="50" w:beforeLines="50" w:after="50" w:afterLines="50"/>
      <w:ind w:firstLineChars="0"/>
    </w:pPr>
    <w:rPr>
      <w:rFonts w:ascii="黑体" w:eastAsia="黑体"/>
    </w:rPr>
  </w:style>
  <w:style w:type="paragraph" w:customStyle="1" w:styleId="206">
    <w:name w:val="标准文件_注后"/>
    <w:basedOn w:val="57"/>
    <w:autoRedefine/>
    <w:qFormat/>
    <w:uiPriority w:val="0"/>
    <w:pPr>
      <w:ind w:left="811" w:firstLine="0" w:firstLineChars="0"/>
    </w:pPr>
    <w:rPr>
      <w:sz w:val="18"/>
    </w:rPr>
  </w:style>
  <w:style w:type="paragraph" w:customStyle="1" w:styleId="207">
    <w:name w:val="标准文件_注X后"/>
    <w:basedOn w:val="57"/>
    <w:autoRedefine/>
    <w:qFormat/>
    <w:uiPriority w:val="0"/>
    <w:pPr>
      <w:ind w:left="811" w:firstLine="0" w:firstLineChars="0"/>
    </w:pPr>
    <w:rPr>
      <w:sz w:val="18"/>
    </w:rPr>
  </w:style>
  <w:style w:type="paragraph" w:customStyle="1" w:styleId="208">
    <w:name w:val="标准文件_示例后"/>
    <w:basedOn w:val="57"/>
    <w:autoRedefine/>
    <w:qFormat/>
    <w:uiPriority w:val="0"/>
    <w:pPr>
      <w:ind w:left="964" w:firstLine="0" w:firstLineChars="0"/>
    </w:pPr>
    <w:rPr>
      <w:sz w:val="18"/>
    </w:rPr>
  </w:style>
  <w:style w:type="paragraph" w:customStyle="1" w:styleId="209">
    <w:name w:val="标准文件_示例X后"/>
    <w:basedOn w:val="57"/>
    <w:link w:val="210"/>
    <w:autoRedefine/>
    <w:qFormat/>
    <w:uiPriority w:val="0"/>
    <w:pPr>
      <w:ind w:left="1049" w:firstLine="0" w:firstLineChars="0"/>
    </w:pPr>
    <w:rPr>
      <w:sz w:val="18"/>
    </w:rPr>
  </w:style>
  <w:style w:type="character" w:customStyle="1" w:styleId="210">
    <w:name w:val="标准文件_示例X后 字符"/>
    <w:basedOn w:val="185"/>
    <w:link w:val="209"/>
    <w:autoRedefine/>
    <w:qFormat/>
    <w:uiPriority w:val="0"/>
    <w:rPr>
      <w:rFonts w:ascii="宋体" w:hAnsi="Times New Roman"/>
      <w:sz w:val="18"/>
    </w:rPr>
  </w:style>
  <w:style w:type="paragraph" w:customStyle="1" w:styleId="211">
    <w:name w:val="标准文件_索引项"/>
    <w:basedOn w:val="57"/>
    <w:next w:val="57"/>
    <w:autoRedefine/>
    <w:qFormat/>
    <w:uiPriority w:val="0"/>
    <w:pPr>
      <w:tabs>
        <w:tab w:val="right" w:leader="dot" w:pos="9356"/>
      </w:tabs>
      <w:ind w:left="210" w:hanging="210" w:firstLineChars="0"/>
      <w:jc w:val="left"/>
    </w:pPr>
  </w:style>
  <w:style w:type="paragraph" w:customStyle="1" w:styleId="212">
    <w:name w:val="标准文件_附录一级无标题"/>
    <w:basedOn w:val="79"/>
    <w:autoRedefine/>
    <w:qFormat/>
    <w:uiPriority w:val="0"/>
    <w:pPr>
      <w:spacing w:before="0" w:beforeLines="0" w:after="0" w:afterLines="0" w:line="276" w:lineRule="auto"/>
      <w:outlineLvl w:val="9"/>
    </w:pPr>
    <w:rPr>
      <w:rFonts w:ascii="宋体" w:eastAsia="宋体"/>
    </w:rPr>
  </w:style>
  <w:style w:type="paragraph" w:customStyle="1" w:styleId="213">
    <w:name w:val="标准文件_附录二级无标题"/>
    <w:basedOn w:val="80"/>
    <w:autoRedefine/>
    <w:qFormat/>
    <w:uiPriority w:val="0"/>
    <w:pPr>
      <w:spacing w:before="0" w:beforeLines="0" w:after="0" w:afterLines="0" w:line="276" w:lineRule="auto"/>
      <w:outlineLvl w:val="9"/>
    </w:pPr>
    <w:rPr>
      <w:rFonts w:ascii="宋体" w:eastAsia="宋体"/>
    </w:rPr>
  </w:style>
  <w:style w:type="paragraph" w:customStyle="1" w:styleId="214">
    <w:name w:val="标准文件_附录三级无标题"/>
    <w:basedOn w:val="82"/>
    <w:autoRedefine/>
    <w:qFormat/>
    <w:uiPriority w:val="0"/>
    <w:pPr>
      <w:spacing w:before="0" w:beforeLines="0" w:after="0" w:afterLines="0" w:line="276" w:lineRule="auto"/>
      <w:outlineLvl w:val="9"/>
    </w:pPr>
    <w:rPr>
      <w:rFonts w:ascii="宋体" w:eastAsia="宋体"/>
    </w:rPr>
  </w:style>
  <w:style w:type="paragraph" w:customStyle="1" w:styleId="215">
    <w:name w:val="标准文件_附录四级无标题"/>
    <w:basedOn w:val="83"/>
    <w:autoRedefine/>
    <w:qFormat/>
    <w:uiPriority w:val="0"/>
    <w:pPr>
      <w:spacing w:before="0" w:beforeLines="0" w:after="0" w:afterLines="0" w:line="276" w:lineRule="auto"/>
      <w:outlineLvl w:val="9"/>
    </w:pPr>
    <w:rPr>
      <w:rFonts w:ascii="宋体" w:eastAsia="宋体"/>
    </w:rPr>
  </w:style>
  <w:style w:type="paragraph" w:customStyle="1" w:styleId="216">
    <w:name w:val="标准文件_附录五级无标题"/>
    <w:basedOn w:val="85"/>
    <w:autoRedefine/>
    <w:qFormat/>
    <w:uiPriority w:val="0"/>
    <w:pPr>
      <w:spacing w:before="0" w:beforeLines="0" w:after="0" w:afterLines="0" w:line="276" w:lineRule="auto"/>
      <w:outlineLvl w:val="9"/>
    </w:pPr>
    <w:rPr>
      <w:rFonts w:ascii="宋体" w:eastAsia="宋体"/>
    </w:rPr>
  </w:style>
  <w:style w:type="paragraph" w:customStyle="1" w:styleId="217">
    <w:name w:val="标准文件_引言一级无标题"/>
    <w:basedOn w:val="201"/>
    <w:next w:val="57"/>
    <w:autoRedefine/>
    <w:qFormat/>
    <w:uiPriority w:val="0"/>
    <w:pPr>
      <w:spacing w:before="0" w:beforeLines="0" w:after="0" w:afterLines="0" w:line="276" w:lineRule="auto"/>
    </w:pPr>
    <w:rPr>
      <w:rFonts w:ascii="宋体" w:eastAsia="宋体"/>
    </w:rPr>
  </w:style>
  <w:style w:type="paragraph" w:customStyle="1" w:styleId="218">
    <w:name w:val="标准文件_引言二级无标题"/>
    <w:basedOn w:val="202"/>
    <w:next w:val="57"/>
    <w:autoRedefine/>
    <w:qFormat/>
    <w:uiPriority w:val="0"/>
    <w:pPr>
      <w:spacing w:before="0" w:beforeLines="0" w:after="0" w:afterLines="0" w:line="276" w:lineRule="auto"/>
    </w:pPr>
    <w:rPr>
      <w:rFonts w:ascii="宋体" w:eastAsia="宋体"/>
    </w:rPr>
  </w:style>
  <w:style w:type="paragraph" w:customStyle="1" w:styleId="219">
    <w:name w:val="标准文件_引言三级无标题"/>
    <w:basedOn w:val="203"/>
    <w:autoRedefine/>
    <w:qFormat/>
    <w:uiPriority w:val="0"/>
    <w:pPr>
      <w:spacing w:before="0" w:beforeLines="0" w:after="0" w:afterLines="0" w:line="276" w:lineRule="auto"/>
    </w:pPr>
    <w:rPr>
      <w:rFonts w:ascii="宋体" w:eastAsia="宋体"/>
    </w:rPr>
  </w:style>
  <w:style w:type="paragraph" w:customStyle="1" w:styleId="220">
    <w:name w:val="标准文件_引言四级无标题"/>
    <w:basedOn w:val="204"/>
    <w:next w:val="57"/>
    <w:autoRedefine/>
    <w:qFormat/>
    <w:uiPriority w:val="0"/>
    <w:pPr>
      <w:spacing w:before="0" w:beforeLines="0" w:after="0" w:afterLines="0" w:line="276" w:lineRule="auto"/>
    </w:pPr>
    <w:rPr>
      <w:rFonts w:ascii="宋体" w:eastAsia="宋体"/>
    </w:rPr>
  </w:style>
  <w:style w:type="paragraph" w:customStyle="1" w:styleId="221">
    <w:name w:val="标准文件_引言五级无标题"/>
    <w:basedOn w:val="205"/>
    <w:next w:val="57"/>
    <w:autoRedefine/>
    <w:qFormat/>
    <w:uiPriority w:val="0"/>
    <w:pPr>
      <w:spacing w:before="0" w:beforeLines="0" w:after="0" w:afterLines="0" w:line="276" w:lineRule="auto"/>
    </w:pPr>
    <w:rPr>
      <w:rFonts w:ascii="宋体" w:eastAsia="宋体"/>
    </w:rPr>
  </w:style>
  <w:style w:type="paragraph" w:customStyle="1" w:styleId="222">
    <w:name w:val="标准文件_索引标题"/>
    <w:basedOn w:val="64"/>
    <w:next w:val="57"/>
    <w:autoRedefine/>
    <w:qFormat/>
    <w:uiPriority w:val="0"/>
    <w:rPr>
      <w:rFonts w:hAnsi="黑体"/>
    </w:rPr>
  </w:style>
  <w:style w:type="paragraph" w:customStyle="1" w:styleId="223">
    <w:name w:val="标准文件_脚注内容"/>
    <w:basedOn w:val="57"/>
    <w:autoRedefine/>
    <w:qFormat/>
    <w:uiPriority w:val="0"/>
    <w:pPr>
      <w:ind w:left="400" w:leftChars="200" w:hanging="200" w:hangingChars="200"/>
    </w:pPr>
    <w:rPr>
      <w:sz w:val="15"/>
    </w:rPr>
  </w:style>
  <w:style w:type="paragraph" w:customStyle="1" w:styleId="224">
    <w:name w:val="标准文件_术语条一"/>
    <w:basedOn w:val="163"/>
    <w:next w:val="57"/>
    <w:autoRedefine/>
    <w:qFormat/>
    <w:uiPriority w:val="0"/>
  </w:style>
  <w:style w:type="paragraph" w:customStyle="1" w:styleId="225">
    <w:name w:val="标准文件_术语条二"/>
    <w:basedOn w:val="166"/>
    <w:next w:val="57"/>
    <w:autoRedefine/>
    <w:qFormat/>
    <w:uiPriority w:val="0"/>
  </w:style>
  <w:style w:type="paragraph" w:customStyle="1" w:styleId="226">
    <w:name w:val="标准文件_术语条三"/>
    <w:basedOn w:val="165"/>
    <w:next w:val="57"/>
    <w:autoRedefine/>
    <w:qFormat/>
    <w:uiPriority w:val="0"/>
  </w:style>
  <w:style w:type="paragraph" w:customStyle="1" w:styleId="227">
    <w:name w:val="标准文件_术语条四"/>
    <w:basedOn w:val="168"/>
    <w:next w:val="57"/>
    <w:autoRedefine/>
    <w:qFormat/>
    <w:uiPriority w:val="0"/>
  </w:style>
  <w:style w:type="paragraph" w:customStyle="1" w:styleId="228">
    <w:name w:val="标准文件_术语条五"/>
    <w:basedOn w:val="164"/>
    <w:next w:val="57"/>
    <w:autoRedefine/>
    <w:qFormat/>
    <w:uiPriority w:val="0"/>
  </w:style>
  <w:style w:type="paragraph" w:customStyle="1" w:styleId="229">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0">
    <w:name w:val="发布"/>
    <w:basedOn w:val="29"/>
    <w:autoRedefine/>
    <w:qFormat/>
    <w:uiPriority w:val="0"/>
    <w:rPr>
      <w:rFonts w:ascii="黑体" w:eastAsia="黑体"/>
      <w:spacing w:val="85"/>
      <w:w w:val="100"/>
      <w:position w:val="3"/>
      <w:sz w:val="28"/>
      <w:szCs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pn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22242;&#20307;&#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F4CD9B740F34F3A8AFD8CAD36691A25"/>
        <w:style w:val=""/>
        <w:category>
          <w:name w:val="常规"/>
          <w:gallery w:val="placeholder"/>
        </w:category>
        <w:types>
          <w:type w:val="bbPlcHdr"/>
        </w:types>
        <w:behaviors>
          <w:behavior w:val="content"/>
        </w:behaviors>
        <w:description w:val=""/>
        <w:guid w:val="{13E17C5B-F40B-4FBB-8289-1D001D1B329E}"/>
      </w:docPartPr>
      <w:docPartBody>
        <w:p w14:paraId="1B39657C">
          <w:pPr>
            <w:pStyle w:val="5"/>
          </w:pPr>
          <w:r>
            <w:rPr>
              <w:rStyle w:val="4"/>
              <w:rFonts w:hint="eastAsia"/>
            </w:rPr>
            <w:t>单击或点击此处输入文字。</w:t>
          </w:r>
        </w:p>
      </w:docPartBody>
    </w:docPart>
    <w:docPart>
      <w:docPartPr>
        <w:name w:val="F6584DAB7A0A4A4987A0747E31DD06C1"/>
        <w:style w:val=""/>
        <w:category>
          <w:name w:val="常规"/>
          <w:gallery w:val="placeholder"/>
        </w:category>
        <w:types>
          <w:type w:val="bbPlcHdr"/>
        </w:types>
        <w:behaviors>
          <w:behavior w:val="content"/>
        </w:behaviors>
        <w:description w:val=""/>
        <w:guid w:val="{EF4DAAE7-4430-4463-84FF-CA27B3556161}"/>
      </w:docPartPr>
      <w:docPartBody>
        <w:p w14:paraId="30A1A0C2">
          <w:pPr>
            <w:pStyle w:val="6"/>
          </w:pPr>
          <w:r>
            <w:rPr>
              <w:rStyle w:val="4"/>
              <w:rFonts w:hint="eastAsia"/>
            </w:rPr>
            <w:t>选择一项。</w:t>
          </w:r>
        </w:p>
      </w:docPartBody>
    </w:docPart>
    <w:docPart>
      <w:docPartPr>
        <w:name w:val="2EE23CA96E8A48E3A87A4210FEEEE427"/>
        <w:style w:val=""/>
        <w:category>
          <w:name w:val="常规"/>
          <w:gallery w:val="placeholder"/>
        </w:category>
        <w:types>
          <w:type w:val="bbPlcHdr"/>
        </w:types>
        <w:behaviors>
          <w:behavior w:val="content"/>
        </w:behaviors>
        <w:description w:val=""/>
        <w:guid w:val="{D9A10CC1-4BD3-4747-82CB-08A68A079478}"/>
      </w:docPartPr>
      <w:docPartBody>
        <w:p w14:paraId="7CE3D1E0">
          <w:pPr>
            <w:pStyle w:val="7"/>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1A1"/>
    <w:rsid w:val="003635F9"/>
    <w:rsid w:val="004841F7"/>
    <w:rsid w:val="00495201"/>
    <w:rsid w:val="00633E44"/>
    <w:rsid w:val="00667276"/>
    <w:rsid w:val="00860B75"/>
    <w:rsid w:val="00916CC3"/>
    <w:rsid w:val="0095512B"/>
    <w:rsid w:val="00BA3C99"/>
    <w:rsid w:val="00BE11A1"/>
    <w:rsid w:val="00D37AAF"/>
    <w:rsid w:val="00FB41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character" w:styleId="4">
    <w:name w:val="Placeholder Text"/>
    <w:basedOn w:val="2"/>
    <w:autoRedefine/>
    <w:semiHidden/>
    <w:qFormat/>
    <w:uiPriority w:val="99"/>
    <w:rPr>
      <w:color w:val="808080"/>
    </w:rPr>
  </w:style>
  <w:style w:type="paragraph" w:customStyle="1" w:styleId="5">
    <w:name w:val="0F4CD9B740F34F3A8AFD8CAD36691A25"/>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F6584DAB7A0A4A4987A0747E31DD06C1"/>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2EE23CA96E8A48E3A87A4210FEEEE427"/>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团体标准.dotx</Template>
  <Company>PCMI</Company>
  <Pages>6</Pages>
  <Words>895</Words>
  <Characters>1097</Characters>
  <Lines>54</Lines>
  <Paragraphs>15</Paragraphs>
  <TotalTime>6</TotalTime>
  <ScaleCrop>false</ScaleCrop>
  <LinksUpToDate>false</LinksUpToDate>
  <CharactersWithSpaces>1353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2023-01-02T06:23:00Z</dcterms:created>
  <dc:creator>Administrator</dc:creator>
  <cp:lastModifiedBy>陈静</cp:lastModifiedBy>
  <cp:lastPrinted>2021-02-02T08:22:00Z</cp:lastPrinted>
  <dcterms:modified xsi:type="dcterms:W3CDTF">2025-05-19T08:12:58Z</dcterms:modified>
  <dc:title>团体标准</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团体标准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2052-12.1.0.20784</vt:lpwstr>
  </property>
  <property fmtid="{D5CDD505-2E9C-101B-9397-08002B2CF9AE}" pid="15" name="ICV">
    <vt:lpwstr>7551141B90F4403F9B298B188BEF2255_13</vt:lpwstr>
  </property>
  <property fmtid="{D5CDD505-2E9C-101B-9397-08002B2CF9AE}" pid="16" name="KSOTemplateDocerSaveRecord">
    <vt:lpwstr>eyJoZGlkIjoiMWU4NzMyOTM0MGYyYzM3NzJjM2IyYTA5ODFiMjMwMjEiLCJ1c2VySWQiOiI0MTcxMDI0OTMifQ==</vt:lpwstr>
  </property>
</Properties>
</file>