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70AA3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4FDFF01A">
            <w:pPr>
              <w:pStyle w:val="4"/>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42F605E7">
            <w:pPr>
              <w:pStyle w:val="4"/>
              <w:tabs>
                <w:tab w:val="clear" w:pos="4153"/>
                <w:tab w:val="clear" w:pos="8306"/>
              </w:tabs>
              <w:spacing w:line="240" w:lineRule="auto"/>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点击此处添加ICS号</w:t>
            </w:r>
            <w:r>
              <w:rPr>
                <w:rFonts w:ascii="黑体" w:hAnsi="黑体" w:eastAsia="黑体"/>
                <w:sz w:val="21"/>
                <w:szCs w:val="21"/>
              </w:rPr>
              <w:fldChar w:fldCharType="end"/>
            </w:r>
            <w:bookmarkEnd w:id="0"/>
          </w:p>
        </w:tc>
      </w:tr>
    </w:tbl>
    <w:p w14:paraId="410CB9FB">
      <w:pPr>
        <w:pStyle w:val="10"/>
        <w:framePr w:w="9639" w:h="1401" w:hRule="exact" w:hSpace="181" w:vSpace="181" w:wrap="around" w:vAnchor="page" w:hAnchor="page" w:x="1397" w:y="2722"/>
        <w:rPr>
          <w:rFonts w:ascii="黑体" w:hAnsi="黑体" w:eastAsia="黑体"/>
          <w:b w:val="0"/>
          <w:bCs w:val="0"/>
          <w:w w:val="100"/>
          <w:sz w:val="96"/>
          <w:szCs w:val="96"/>
        </w:rPr>
      </w:pPr>
      <w:bookmarkStart w:id="1" w:name="_Hlk26473981"/>
      <w:r>
        <w:rPr>
          <w:rFonts w:hint="eastAsia" w:ascii="黑体" w:eastAsia="黑体"/>
          <w:b w:val="0"/>
          <w:w w:val="100"/>
          <w:sz w:val="96"/>
          <w:szCs w:val="28"/>
        </w:rPr>
        <w:t>团体</w:t>
      </w:r>
      <w:r>
        <w:rPr>
          <w:rFonts w:hint="eastAsia" w:ascii="黑体" w:hAnsi="黑体" w:eastAsia="黑体"/>
          <w:b w:val="0"/>
          <w:bCs w:val="0"/>
          <w:w w:val="100"/>
          <w:sz w:val="96"/>
          <w:szCs w:val="96"/>
        </w:rPr>
        <w:t>标准</w:t>
      </w:r>
    </w:p>
    <w:bookmarkEnd w:id="1"/>
    <w:tbl>
      <w:tblPr>
        <w:tblStyle w:val="6"/>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35110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14EF46F6">
            <w:pPr>
              <w:pStyle w:val="4"/>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tbl>
            <w:tblPr>
              <w:tblStyle w:val="6"/>
              <w:tblpPr w:vertAnchor="page" w:horzAnchor="margin" w:tblpX="1" w:tblpY="341"/>
              <w:tblOverlap w:val="never"/>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113" w:type="dxa"/>
              </w:tblCellMar>
            </w:tblPr>
            <w:tblGrid>
              <w:gridCol w:w="9242"/>
            </w:tblGrid>
            <w:tr w14:paraId="25E69DB1">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113" w:type="dxa"/>
                </w:tblCellMar>
              </w:tblPrEx>
              <w:trPr>
                <w:trHeight w:val="299" w:hRule="exact"/>
              </w:trPr>
              <w:tc>
                <w:tcPr>
                  <w:tcW w:w="9242" w:type="dxa"/>
                  <w:vAlign w:val="center"/>
                </w:tcPr>
                <w:p w14:paraId="21BD3A37">
                  <w:pPr>
                    <w:pStyle w:val="11"/>
                    <w:ind w:left="420" w:right="624"/>
                    <w:rPr>
                      <w:rFonts w:ascii="宋体" w:hAnsi="宋体"/>
                      <w:sz w:val="28"/>
                      <w:szCs w:val="28"/>
                    </w:rPr>
                  </w:pPr>
                  <w:r>
                    <w:rPr>
                      <w:sz w:val="21"/>
                      <w:szCs w:val="21"/>
                    </w:rPr>
                    <w:t xml:space="preserve"> </w:t>
                  </w:r>
                </w:p>
              </w:tc>
            </w:tr>
          </w:tbl>
          <w:p w14:paraId="33711E5A">
            <w:pPr>
              <w:pStyle w:val="4"/>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2"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2"/>
          </w:p>
        </w:tc>
      </w:tr>
      <w:tr w14:paraId="4EF6B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509" w:type="dxa"/>
          </w:tcPr>
          <w:p w14:paraId="262091AD">
            <w:pPr>
              <w:spacing w:line="240" w:lineRule="auto"/>
              <w:jc w:val="left"/>
              <w:rPr>
                <w:rFonts w:ascii="黑体" w:hAnsi="黑体" w:eastAsia="黑体"/>
                <w:sz w:val="21"/>
                <w:szCs w:val="21"/>
              </w:rPr>
            </w:pPr>
          </w:p>
        </w:tc>
        <w:tc>
          <w:tcPr>
            <w:tcW w:w="8855" w:type="dxa"/>
          </w:tcPr>
          <w:p w14:paraId="498B8F53">
            <w:pPr>
              <w:spacing w:line="240" w:lineRule="auto"/>
              <w:jc w:val="both"/>
              <w:rPr>
                <w:rFonts w:ascii="黑体" w:hAnsi="黑体" w:eastAsia="黑体"/>
                <w:sz w:val="21"/>
                <w:szCs w:val="21"/>
              </w:rPr>
            </w:pPr>
          </w:p>
        </w:tc>
      </w:tr>
    </w:tbl>
    <w:p w14:paraId="0AF5F0F4">
      <w:pPr>
        <w:pStyle w:val="2"/>
        <w:spacing w:line="247" w:lineRule="auto"/>
      </w:pPr>
    </w:p>
    <w:p w14:paraId="0B0F40E3">
      <w:pPr>
        <w:pStyle w:val="2"/>
        <w:spacing w:line="248" w:lineRule="auto"/>
      </w:pPr>
    </w:p>
    <w:p w14:paraId="1A920E46">
      <w:pPr>
        <w:pStyle w:val="12"/>
        <w:framePr w:h="433" w:hRule="exact" w:x="1580" w:y="4416"/>
      </w:pPr>
      <w:r>
        <w:t>T/</w:t>
      </w:r>
      <w:r>
        <w:fldChar w:fldCharType="begin">
          <w:ffData>
            <w:name w:val="文字1"/>
            <w:enabled/>
            <w:calcOnExit w:val="0"/>
            <w:textInput>
              <w:default w:val="COSOCC"/>
            </w:textInput>
          </w:ffData>
        </w:fldChar>
      </w:r>
      <w:r>
        <w:instrText xml:space="preserve"> FORMTEXT </w:instrText>
      </w:r>
      <w:r>
        <w:fldChar w:fldCharType="separate"/>
      </w:r>
      <w:r>
        <w:t>COSOCC</w:t>
      </w:r>
      <w:r>
        <w:fldChar w:fldCharType="end"/>
      </w:r>
      <w:r>
        <w:t xml:space="preserve"> </w:t>
      </w:r>
      <w:r>
        <w:fldChar w:fldCharType="begin">
          <w:ffData>
            <w:name w:val="NSTD_CODE_F"/>
            <w:enabled/>
            <w:calcOnExit w:val="0"/>
            <w:textInput>
              <w:default w:val="XXXX"/>
            </w:textInput>
          </w:ffData>
        </w:fldChar>
      </w:r>
      <w:r>
        <w:instrText xml:space="preserve"> FORMTEXT </w:instrText>
      </w:r>
      <w:r>
        <w:fldChar w:fldCharType="separate"/>
      </w:r>
      <w:r>
        <w:t>XXXX</w:t>
      </w:r>
      <w:r>
        <w:fldChar w:fldCharType="end"/>
      </w:r>
      <w:r>
        <w:rPr>
          <w:rFonts w:hAnsi="黑体"/>
        </w:rPr>
        <w:t>—</w:t>
      </w:r>
      <w:r>
        <w:fldChar w:fldCharType="begin">
          <w:ffData>
            <w:name w:val="NSTD_CODE_B"/>
            <w:enabled/>
            <w:calcOnExit w:val="0"/>
            <w:textInput>
              <w:default w:val="XXXX"/>
            </w:textInput>
          </w:ffData>
        </w:fldChar>
      </w:r>
      <w:r>
        <w:instrText xml:space="preserve"> FORMTEXT </w:instrText>
      </w:r>
      <w:r>
        <w:fldChar w:fldCharType="separate"/>
      </w:r>
      <w:r>
        <w:t>XXXX</w:t>
      </w:r>
      <w:r>
        <w:fldChar w:fldCharType="end"/>
      </w:r>
    </w:p>
    <w:p w14:paraId="24558AC4">
      <w:pPr>
        <w:pStyle w:val="14"/>
        <w:framePr w:h="433" w:hRule="exact" w:x="1580" w:y="4416"/>
        <w:rPr>
          <w:rFonts w:hAnsi="黑体"/>
        </w:rPr>
      </w:pPr>
      <w:r>
        <mc:AlternateContent>
          <mc:Choice Requires="wps">
            <w:drawing>
              <wp:inline distT="0" distB="0" distL="114300" distR="114300">
                <wp:extent cx="5934075" cy="31750"/>
                <wp:effectExtent l="0" t="0" r="0" b="0"/>
                <wp:docPr id="3" name="任意多边形 5"/>
                <wp:cNvGraphicFramePr/>
                <a:graphic xmlns:a="http://schemas.openxmlformats.org/drawingml/2006/main">
                  <a:graphicData uri="http://schemas.microsoft.com/office/word/2010/wordprocessingShape">
                    <wps:wsp>
                      <wps:cNvSpPr/>
                      <wps:spPr>
                        <a:xfrm>
                          <a:off x="0" y="0"/>
                          <a:ext cx="5934075" cy="31750"/>
                        </a:xfrm>
                        <a:custGeom>
                          <a:avLst/>
                          <a:gdLst/>
                          <a:ahLst/>
                          <a:cxnLst/>
                          <a:pathLst>
                            <a:path w="9345" h="50">
                              <a:moveTo>
                                <a:pt x="0" y="15"/>
                              </a:moveTo>
                              <a:lnTo>
                                <a:pt x="9344" y="34"/>
                              </a:lnTo>
                            </a:path>
                          </a:pathLst>
                        </a:custGeom>
                        <a:noFill/>
                        <a:ln w="19050" cap="flat" cmpd="sng">
                          <a:solidFill>
                            <a:srgbClr val="000000"/>
                          </a:solidFill>
                          <a:prstDash val="solid"/>
                          <a:headEnd type="none" w="med" len="med"/>
                          <a:tailEnd type="none" w="med" len="med"/>
                        </a:ln>
                      </wps:spPr>
                      <wps:bodyPr upright="1"/>
                    </wps:wsp>
                  </a:graphicData>
                </a:graphic>
              </wp:inline>
            </w:drawing>
          </mc:Choice>
          <mc:Fallback>
            <w:pict>
              <v:shape id="任意多边形 5" o:spid="_x0000_s1026" o:spt="100" style="height:2.5pt;width:467.25pt;" filled="f" stroked="t" coordsize="9345,50" o:gfxdata="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lLy3k1QAAAAMBAAAPAAAAAAAAAAEAIAAAACIAAABkcnMvZG93bnJl&#10;di54bWxQSwECFAAUAAAACACHTuJAjfumQDkCAACQBAAADgAAAAAAAAABACAAAAAkAQAAZHJzL2Uy&#10;b0RvYy54bWxQSwUGAAAAAAYABgBZAQAAzwUAAAAA&#10;" path="m0,15l9344,34e">
                <v:fill on="f" focussize="0,0"/>
                <v:stroke weight="1.5pt" color="#000000" joinstyle="round"/>
                <v:imagedata o:title=""/>
                <o:lock v:ext="edit" aspectratio="f"/>
                <w10:wrap type="none"/>
                <w10:anchorlock/>
              </v:shape>
            </w:pict>
          </mc:Fallback>
        </mc:AlternateContent>
      </w:r>
      <w:r>
        <w:rPr>
          <w:rFonts w:hAnsi="黑体"/>
        </w:rPr>
        <w:fldChar w:fldCharType="begin">
          <w:ffData>
            <w:name w:val="OSTD_CODE"/>
            <w:enabled/>
            <w:calcOnExit w:val="0"/>
            <w:textInput/>
          </w:ffData>
        </w:fldChar>
      </w:r>
      <w:r>
        <w:rPr>
          <w:rFonts w:hAnsi="黑体"/>
        </w:rPr>
        <w:instrText xml:space="preserve"> FORMTEXT </w:instrText>
      </w:r>
      <w:r>
        <w:rPr>
          <w:rFonts w:hAnsi="黑体"/>
        </w:rPr>
        <w:fldChar w:fldCharType="separate"/>
      </w:r>
      <w:r>
        <w:rPr>
          <w:rFonts w:hAnsi="黑体"/>
        </w:rPr>
        <w:t>     </w:t>
      </w:r>
      <w:r>
        <w:rPr>
          <w:rFonts w:hAnsi="黑体"/>
        </w:rPr>
        <w:fldChar w:fldCharType="end"/>
      </w:r>
    </w:p>
    <w:p w14:paraId="05C35DA7">
      <w:pPr>
        <w:spacing w:line="49" w:lineRule="exact"/>
      </w:pPr>
    </w:p>
    <w:p w14:paraId="7E2D00C5">
      <w:pPr>
        <w:pStyle w:val="2"/>
        <w:spacing w:line="261" w:lineRule="auto"/>
      </w:pPr>
    </w:p>
    <w:p w14:paraId="4B01C264">
      <w:pPr>
        <w:pStyle w:val="2"/>
        <w:spacing w:line="261" w:lineRule="auto"/>
      </w:pPr>
    </w:p>
    <w:p w14:paraId="19F38346">
      <w:pPr>
        <w:pStyle w:val="2"/>
        <w:spacing w:line="261" w:lineRule="auto"/>
      </w:pPr>
    </w:p>
    <w:p w14:paraId="1FAB0D29">
      <w:pPr>
        <w:pStyle w:val="2"/>
        <w:spacing w:line="261" w:lineRule="auto"/>
      </w:pPr>
    </w:p>
    <w:p w14:paraId="1E141983">
      <w:pPr>
        <w:pStyle w:val="2"/>
        <w:spacing w:line="261" w:lineRule="auto"/>
      </w:pPr>
    </w:p>
    <w:p w14:paraId="6E094E5A">
      <w:pPr>
        <w:pStyle w:val="2"/>
        <w:spacing w:line="261" w:lineRule="auto"/>
      </w:pPr>
    </w:p>
    <w:p w14:paraId="23BD43DD">
      <w:pPr>
        <w:pStyle w:val="2"/>
        <w:spacing w:line="262" w:lineRule="auto"/>
      </w:pPr>
    </w:p>
    <w:p w14:paraId="64B77684">
      <w:pPr>
        <w:pStyle w:val="2"/>
        <w:spacing w:line="262" w:lineRule="auto"/>
      </w:pPr>
    </w:p>
    <w:p w14:paraId="1B01B370">
      <w:pPr>
        <w:pStyle w:val="2"/>
        <w:spacing w:line="262" w:lineRule="auto"/>
      </w:pPr>
    </w:p>
    <w:p w14:paraId="03F89FA3">
      <w:pPr>
        <w:framePr w:w="9366" w:h="6974" w:hRule="exact" w:wrap="around" w:vAnchor="page" w:hAnchor="page" w:x="1731" w:y="6408" w:anchorLock="1"/>
        <w:pBdr>
          <w:top w:val="none" w:color="auto" w:sz="0" w:space="0"/>
          <w:left w:val="none" w:color="auto" w:sz="0" w:space="0"/>
          <w:bottom w:val="none" w:color="auto" w:sz="0" w:space="0"/>
          <w:right w:val="none" w:color="auto" w:sz="0" w:space="0"/>
        </w:pBdr>
        <w:spacing w:before="166" w:line="225" w:lineRule="auto"/>
        <w:ind w:left="998"/>
        <w:jc w:val="left"/>
        <w:rPr>
          <w:rFonts w:ascii="黑体" w:hAnsi="黑体" w:eastAsia="黑体" w:cs="黑体"/>
          <w:sz w:val="51"/>
          <w:szCs w:val="51"/>
        </w:rPr>
      </w:pPr>
      <w:r>
        <w:rPr>
          <w:rFonts w:ascii="黑体" w:hAnsi="黑体" w:eastAsia="黑体" w:cs="黑体"/>
          <w:spacing w:val="8"/>
          <w:sz w:val="52"/>
          <w:szCs w:val="52"/>
        </w:rPr>
        <w:t>拱坝混凝土生产质量控制及检验</w:t>
      </w:r>
    </w:p>
    <w:p w14:paraId="75B079EF">
      <w:pPr>
        <w:pStyle w:val="2"/>
        <w:framePr w:w="9366" w:h="6974" w:hRule="exact" w:wrap="around" w:vAnchor="page" w:hAnchor="page" w:x="1731" w:y="6408" w:anchorLock="1"/>
        <w:pBdr>
          <w:top w:val="none" w:color="auto" w:sz="0" w:space="0"/>
          <w:left w:val="none" w:color="auto" w:sz="0" w:space="0"/>
          <w:bottom w:val="none" w:color="auto" w:sz="0" w:space="0"/>
          <w:right w:val="none" w:color="auto" w:sz="0" w:space="0"/>
        </w:pBdr>
        <w:spacing w:line="247" w:lineRule="auto"/>
        <w:jc w:val="center"/>
      </w:pPr>
    </w:p>
    <w:p w14:paraId="66860A71">
      <w:pPr>
        <w:pStyle w:val="2"/>
        <w:framePr w:w="9366" w:h="6974" w:hRule="exact" w:wrap="around" w:vAnchor="page" w:hAnchor="page" w:x="1731" w:y="6408" w:anchorLock="1"/>
        <w:pBdr>
          <w:top w:val="none" w:color="auto" w:sz="0" w:space="0"/>
          <w:left w:val="none" w:color="auto" w:sz="0" w:space="0"/>
          <w:bottom w:val="none" w:color="auto" w:sz="0" w:space="0"/>
          <w:right w:val="none" w:color="auto" w:sz="0" w:space="0"/>
        </w:pBdr>
        <w:spacing w:line="247" w:lineRule="auto"/>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Quality control and inspection of arch dam concrete production</w:t>
      </w:r>
    </w:p>
    <w:p w14:paraId="7AC58F2C">
      <w:pPr>
        <w:framePr w:w="9366" w:h="6974" w:hRule="exact" w:wrap="around" w:vAnchor="page" w:hAnchor="page" w:x="1731" w:y="6408" w:anchorLock="1"/>
        <w:spacing w:line="760" w:lineRule="exact"/>
        <w:ind w:left="-1418"/>
        <w:jc w:val="center"/>
      </w:pPr>
    </w:p>
    <w:p w14:paraId="4C227938">
      <w:pPr>
        <w:pStyle w:val="16"/>
        <w:framePr w:w="9366" w:h="6974" w:hRule="exact" w:wrap="around" w:vAnchor="page" w:hAnchor="page" w:x="1731" w:y="6408" w:anchorLock="1"/>
        <w:jc w:val="center"/>
        <w:textAlignment w:val="bottom"/>
        <w:rPr>
          <w:rFonts w:eastAsia="黑体"/>
          <w:szCs w:val="28"/>
        </w:rPr>
      </w:pPr>
    </w:p>
    <w:p w14:paraId="27AA68D2">
      <w:pPr>
        <w:pStyle w:val="16"/>
        <w:framePr w:w="9366" w:h="6974" w:hRule="exact" w:wrap="around" w:vAnchor="page" w:hAnchor="page" w:x="1731" w:y="6408" w:anchorLock="1"/>
        <w:spacing w:before="440" w:after="160"/>
        <w:jc w:val="center"/>
        <w:textAlignment w:val="bottom"/>
        <w:rPr>
          <w:sz w:val="24"/>
          <w:szCs w:val="28"/>
        </w:rPr>
      </w:pPr>
      <w:r>
        <w:rPr>
          <w:rFonts w:hint="eastAsia"/>
          <w:sz w:val="24"/>
          <w:szCs w:val="28"/>
        </w:rPr>
        <w:t>征求意见稿</w:t>
      </w:r>
    </w:p>
    <w:p w14:paraId="6F16D6BE">
      <w:pPr>
        <w:pStyle w:val="16"/>
        <w:framePr w:w="9366" w:h="6974" w:hRule="exact" w:wrap="around" w:vAnchor="page" w:hAnchor="page" w:x="1731" w:y="6408" w:anchorLock="1"/>
        <w:spacing w:before="180" w:line="240" w:lineRule="atLeast"/>
        <w:jc w:val="center"/>
        <w:textAlignment w:val="bottom"/>
        <w:rPr>
          <w:sz w:val="21"/>
          <w:szCs w:val="28"/>
        </w:rPr>
      </w:pPr>
      <w:r>
        <w:rPr>
          <w:sz w:val="21"/>
          <w:szCs w:val="28"/>
        </w:rPr>
        <w:fldChar w:fldCharType="begin">
          <w:ffData>
            <w:name w:val="CMPLSH_DATE"/>
            <w:enabled/>
            <w:calcOnExit w:val="0"/>
            <w:textInput>
              <w:default w:val="完成时间：2025.8.10"/>
            </w:textInput>
          </w:ffData>
        </w:fldChar>
      </w:r>
      <w:bookmarkStart w:id="3" w:name="CMPLSH_DATE"/>
      <w:r>
        <w:rPr>
          <w:sz w:val="21"/>
          <w:szCs w:val="28"/>
        </w:rPr>
        <w:instrText xml:space="preserve"> FORMTEXT </w:instrText>
      </w:r>
      <w:r>
        <w:rPr>
          <w:sz w:val="21"/>
          <w:szCs w:val="28"/>
        </w:rPr>
        <w:fldChar w:fldCharType="separate"/>
      </w:r>
      <w:r>
        <w:rPr>
          <w:rFonts w:hint="eastAsia"/>
          <w:sz w:val="21"/>
          <w:szCs w:val="28"/>
        </w:rPr>
        <w:t>完成时间：</w:t>
      </w:r>
      <w:r>
        <w:rPr>
          <w:rFonts w:hint="eastAsia"/>
          <w:sz w:val="21"/>
          <w:szCs w:val="28"/>
          <w:lang w:val="en-US" w:eastAsia="zh-CN"/>
        </w:rPr>
        <w:t>2025.9.15</w:t>
      </w:r>
      <w:r>
        <w:rPr>
          <w:sz w:val="21"/>
          <w:szCs w:val="28"/>
        </w:rPr>
        <w:fldChar w:fldCharType="end"/>
      </w:r>
      <w:bookmarkEnd w:id="3"/>
    </w:p>
    <w:p w14:paraId="563DA91F">
      <w:pPr>
        <w:pStyle w:val="16"/>
        <w:framePr w:w="9366" w:h="6974" w:hRule="exact" w:wrap="around" w:vAnchor="page" w:hAnchor="page" w:x="1731" w:y="6408" w:anchorLock="1"/>
        <w:spacing w:before="720" w:beforeLines="300" w:after="72" w:afterLines="30" w:line="240" w:lineRule="auto"/>
        <w:jc w:val="center"/>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4" w:name="下拉2"/>
      <w:r>
        <w:rPr>
          <w:b/>
          <w:sz w:val="21"/>
          <w:szCs w:val="28"/>
        </w:rPr>
        <w:instrText xml:space="preserve"> FORMDROPDOWN </w:instrText>
      </w:r>
      <w:r>
        <w:rPr>
          <w:b/>
          <w:sz w:val="21"/>
          <w:szCs w:val="28"/>
        </w:rPr>
        <w:fldChar w:fldCharType="separate"/>
      </w:r>
      <w:r>
        <w:rPr>
          <w:b/>
          <w:sz w:val="21"/>
          <w:szCs w:val="28"/>
        </w:rPr>
        <w:fldChar w:fldCharType="end"/>
      </w:r>
      <w:bookmarkEnd w:id="4"/>
    </w:p>
    <w:p w14:paraId="69792C9B">
      <w:pPr>
        <w:pStyle w:val="2"/>
        <w:spacing w:line="248" w:lineRule="auto"/>
      </w:pPr>
    </w:p>
    <w:p w14:paraId="218EB221">
      <w:pPr>
        <w:pStyle w:val="2"/>
        <w:spacing w:line="248" w:lineRule="auto"/>
      </w:pPr>
    </w:p>
    <w:p w14:paraId="1D14FACD">
      <w:pPr>
        <w:spacing w:before="98" w:line="215" w:lineRule="auto"/>
        <w:ind w:left="54"/>
        <w:rPr>
          <w:rFonts w:ascii="黑体" w:hAnsi="黑体" w:eastAsia="黑体" w:cs="黑体"/>
          <w:sz w:val="30"/>
          <w:szCs w:val="30"/>
        </w:rPr>
      </w:pPr>
      <w:r>
        <w:rPr>
          <w:rFonts w:hint="eastAsia" w:ascii="黑体" w:hAnsi="黑体" w:eastAsia="黑体" w:cs="黑体"/>
          <w:sz w:val="30"/>
          <w:szCs w:val="30"/>
          <w:lang w:val="en-US" w:eastAsia="zh-CN"/>
        </w:rPr>
        <w:t>XXXX</w:t>
      </w:r>
      <w:r>
        <w:rPr>
          <w:rFonts w:ascii="黑体" w:hAnsi="黑体" w:eastAsia="黑体" w:cs="黑体"/>
          <w:sz w:val="30"/>
          <w:szCs w:val="30"/>
        </w:rPr>
        <w:t>-</w:t>
      </w:r>
      <w:r>
        <w:rPr>
          <w:rFonts w:hint="eastAsia" w:ascii="黑体" w:hAnsi="黑体" w:eastAsia="黑体" w:cs="黑体"/>
          <w:sz w:val="30"/>
          <w:szCs w:val="30"/>
          <w:lang w:val="en-US" w:eastAsia="zh-CN"/>
        </w:rPr>
        <w:t>XX</w:t>
      </w:r>
      <w:r>
        <w:rPr>
          <w:rFonts w:ascii="黑体" w:hAnsi="黑体" w:eastAsia="黑体" w:cs="黑体"/>
          <w:sz w:val="30"/>
          <w:szCs w:val="30"/>
        </w:rPr>
        <w:t>-</w:t>
      </w:r>
      <w:r>
        <w:rPr>
          <w:rFonts w:hint="eastAsia" w:ascii="黑体" w:hAnsi="黑体" w:eastAsia="黑体" w:cs="黑体"/>
          <w:sz w:val="30"/>
          <w:szCs w:val="30"/>
          <w:lang w:val="en-US" w:eastAsia="zh-CN"/>
        </w:rPr>
        <w:t>XX</w:t>
      </w:r>
      <w:r>
        <w:rPr>
          <w:rFonts w:ascii="黑体" w:hAnsi="黑体" w:eastAsia="黑体" w:cs="黑体"/>
          <w:sz w:val="30"/>
          <w:szCs w:val="30"/>
        </w:rPr>
        <w:t xml:space="preserve"> 发布                      </w:t>
      </w:r>
      <w:r>
        <w:rPr>
          <w:rFonts w:ascii="黑体" w:hAnsi="黑体" w:eastAsia="黑体" w:cs="黑体"/>
          <w:spacing w:val="-1"/>
          <w:sz w:val="30"/>
          <w:szCs w:val="30"/>
        </w:rPr>
        <w:t xml:space="preserve">         </w:t>
      </w:r>
      <w:r>
        <w:rPr>
          <w:rFonts w:hint="eastAsia" w:ascii="黑体" w:hAnsi="黑体" w:eastAsia="黑体" w:cs="黑体"/>
          <w:spacing w:val="-1"/>
          <w:sz w:val="30"/>
          <w:szCs w:val="30"/>
          <w:lang w:val="en-US" w:eastAsia="zh-CN"/>
        </w:rPr>
        <w:t>XXXX</w:t>
      </w:r>
      <w:r>
        <w:rPr>
          <w:rFonts w:ascii="黑体" w:hAnsi="黑体" w:eastAsia="黑体" w:cs="黑体"/>
          <w:spacing w:val="-1"/>
          <w:sz w:val="30"/>
          <w:szCs w:val="30"/>
        </w:rPr>
        <w:t>-</w:t>
      </w:r>
      <w:r>
        <w:rPr>
          <w:rFonts w:hint="eastAsia" w:ascii="黑体" w:hAnsi="黑体" w:eastAsia="黑体" w:cs="黑体"/>
          <w:spacing w:val="-1"/>
          <w:sz w:val="30"/>
          <w:szCs w:val="30"/>
          <w:lang w:val="en-US" w:eastAsia="zh-CN"/>
        </w:rPr>
        <w:t>XX</w:t>
      </w:r>
      <w:r>
        <w:rPr>
          <w:rFonts w:ascii="黑体" w:hAnsi="黑体" w:eastAsia="黑体" w:cs="黑体"/>
          <w:spacing w:val="-1"/>
          <w:sz w:val="30"/>
          <w:szCs w:val="30"/>
        </w:rPr>
        <w:t>-</w:t>
      </w:r>
      <w:r>
        <w:rPr>
          <w:rFonts w:hint="eastAsia" w:ascii="黑体" w:hAnsi="黑体" w:eastAsia="黑体" w:cs="黑体"/>
          <w:spacing w:val="-1"/>
          <w:sz w:val="30"/>
          <w:szCs w:val="30"/>
          <w:lang w:val="en-US" w:eastAsia="zh-CN"/>
        </w:rPr>
        <w:t>XX</w:t>
      </w:r>
      <w:r>
        <w:rPr>
          <w:rFonts w:ascii="黑体" w:hAnsi="黑体" w:eastAsia="黑体" w:cs="黑体"/>
          <w:spacing w:val="20"/>
          <w:sz w:val="30"/>
          <w:szCs w:val="30"/>
        </w:rPr>
        <w:t xml:space="preserve"> </w:t>
      </w:r>
      <w:r>
        <w:rPr>
          <w:rFonts w:ascii="黑体" w:hAnsi="黑体" w:eastAsia="黑体" w:cs="黑体"/>
          <w:spacing w:val="-1"/>
          <w:sz w:val="30"/>
          <w:szCs w:val="30"/>
        </w:rPr>
        <w:t>实施</w:t>
      </w:r>
    </w:p>
    <w:p w14:paraId="620708BD">
      <w:pPr>
        <w:spacing w:line="49" w:lineRule="exact"/>
      </w:pPr>
      <w:r>
        <w:pict>
          <v:shape id="_x0000_s1027" o:spid="_x0000_s1027" style="height:2.5pt;width:467.25pt;" filled="f" stroked="t" coordsize="9345,50" path="m0,15l9344,34e">
            <v:fill on="f" focussize="0,0"/>
            <v:stroke weight="1.5pt" color="#000000" miterlimit="10"/>
            <v:imagedata o:title=""/>
            <o:lock v:ext="edit"/>
            <w10:wrap type="none"/>
            <w10:anchorlock/>
          </v:shape>
        </w:pict>
      </w:r>
    </w:p>
    <w:p w14:paraId="47245297">
      <w:pPr>
        <w:pStyle w:val="2"/>
        <w:spacing w:line="368" w:lineRule="auto"/>
      </w:pPr>
    </w:p>
    <w:p w14:paraId="01A3C8B8">
      <w:pPr>
        <w:pStyle w:val="17"/>
        <w:framePr w:h="584" w:hRule="exact" w:hSpace="181" w:vSpace="181" w:wrap="around" w:y="14800"/>
        <w:rPr>
          <w:rFonts w:hAnsi="黑体"/>
        </w:rPr>
      </w:pPr>
      <w:r>
        <w:rPr>
          <w:rFonts w:hint="eastAsia" w:hAnsi="黑体"/>
          <w:w w:val="100"/>
          <w:sz w:val="28"/>
        </w:rPr>
        <w:fldChar w:fldCharType="begin">
          <w:ffData>
            <w:name w:val="fm"/>
            <w:enabled/>
            <w:calcOnExit w:val="0"/>
            <w:textInput>
              <w:default w:val="中国基本建设优化研究会"/>
            </w:textInput>
          </w:ffData>
        </w:fldChar>
      </w:r>
      <w:bookmarkStart w:id="5" w:name="fm"/>
      <w:r>
        <w:rPr>
          <w:rFonts w:hint="eastAsia" w:hAnsi="黑体"/>
          <w:w w:val="100"/>
          <w:sz w:val="28"/>
        </w:rPr>
        <w:instrText xml:space="preserve"> </w:instrText>
      </w:r>
      <w:r>
        <w:rPr>
          <w:rFonts w:hAnsi="黑体"/>
          <w:w w:val="100"/>
          <w:sz w:val="28"/>
        </w:rPr>
        <w:instrText xml:space="preserve">FORMTEXT</w:instrText>
      </w:r>
      <w:r>
        <w:rPr>
          <w:rFonts w:hint="eastAsia" w:hAnsi="黑体"/>
          <w:w w:val="100"/>
          <w:sz w:val="28"/>
        </w:rPr>
        <w:instrText xml:space="preserve"> </w:instrText>
      </w:r>
      <w:r>
        <w:rPr>
          <w:rFonts w:hint="eastAsia" w:hAnsi="黑体"/>
          <w:w w:val="100"/>
          <w:sz w:val="28"/>
        </w:rPr>
        <w:fldChar w:fldCharType="separate"/>
      </w:r>
      <w:r>
        <w:rPr>
          <w:rFonts w:hint="eastAsia" w:hAnsi="黑体"/>
          <w:w w:val="100"/>
          <w:sz w:val="28"/>
        </w:rPr>
        <w:t>中国基本建设优化研究会</w:t>
      </w:r>
      <w:r>
        <w:rPr>
          <w:rFonts w:hint="eastAsia" w:hAnsi="黑体"/>
          <w:w w:val="100"/>
          <w:sz w:val="28"/>
        </w:rPr>
        <w:fldChar w:fldCharType="end"/>
      </w:r>
      <w:bookmarkEnd w:id="5"/>
      <w:r>
        <w:rPr>
          <w:rFonts w:ascii="Times New Roman"/>
          <w:w w:val="100"/>
          <w:sz w:val="28"/>
        </w:rPr>
        <w:t>  </w:t>
      </w:r>
      <w:r>
        <w:rPr>
          <w:rStyle w:val="19"/>
          <w:rFonts w:hint="eastAsia" w:hAnsi="黑体"/>
          <w:position w:val="0"/>
        </w:rPr>
        <w:t>发</w:t>
      </w:r>
      <w:r>
        <w:rPr>
          <w:rStyle w:val="19"/>
          <w:rFonts w:hint="eastAsia" w:hAnsi="黑体"/>
          <w:spacing w:val="0"/>
          <w:position w:val="0"/>
        </w:rPr>
        <w:t>布</w:t>
      </w:r>
    </w:p>
    <w:p w14:paraId="3D74D343">
      <w:pPr>
        <w:spacing w:line="218" w:lineRule="auto"/>
        <w:rPr>
          <w:rFonts w:ascii="宋体" w:hAnsi="宋体" w:eastAsia="宋体" w:cs="宋体"/>
          <w:sz w:val="30"/>
          <w:szCs w:val="30"/>
        </w:rPr>
        <w:sectPr>
          <w:pgSz w:w="11905" w:h="16840"/>
          <w:pgMar w:top="827" w:right="1141" w:bottom="0" w:left="1418" w:header="0" w:footer="0" w:gutter="0"/>
          <w:pgNumType w:fmt="decimal"/>
          <w:cols w:space="720" w:num="1"/>
        </w:sectPr>
      </w:pPr>
    </w:p>
    <w:p w14:paraId="657D57F7">
      <w:pPr>
        <w:pStyle w:val="2"/>
        <w:spacing w:line="244" w:lineRule="auto"/>
      </w:pPr>
    </w:p>
    <w:p w14:paraId="64198032">
      <w:pPr>
        <w:spacing w:before="68" w:line="235" w:lineRule="auto"/>
        <w:jc w:val="right"/>
        <w:rPr>
          <w:rFonts w:ascii="黑体" w:hAnsi="黑体" w:eastAsia="黑体" w:cs="黑体"/>
          <w:sz w:val="21"/>
          <w:szCs w:val="21"/>
        </w:rPr>
      </w:pPr>
      <w:r>
        <w:fldChar w:fldCharType="begin"/>
      </w:r>
      <w:r>
        <w:instrText xml:space="preserve"> STYLEREF  标准文件_文件编号  \* MERGEFORMAT </w:instrText>
      </w:r>
      <w:r>
        <w:fldChar w:fldCharType="separate"/>
      </w:r>
      <w:r>
        <w:t>T/COSOCC XXXX—XXXX</w:t>
      </w:r>
      <w:r>
        <w:fldChar w:fldCharType="end"/>
      </w:r>
    </w:p>
    <w:p w14:paraId="23964FC4">
      <w:pPr>
        <w:pStyle w:val="2"/>
        <w:spacing w:line="272" w:lineRule="auto"/>
      </w:pPr>
    </w:p>
    <w:p w14:paraId="77B77622">
      <w:pPr>
        <w:pStyle w:val="2"/>
        <w:spacing w:line="272" w:lineRule="auto"/>
      </w:pPr>
    </w:p>
    <w:p w14:paraId="6FD0565E">
      <w:pPr>
        <w:pStyle w:val="2"/>
        <w:spacing w:line="272" w:lineRule="auto"/>
      </w:pPr>
    </w:p>
    <w:p w14:paraId="03749C81">
      <w:pPr>
        <w:spacing w:before="104" w:line="223" w:lineRule="auto"/>
        <w:ind w:left="4082"/>
        <w:rPr>
          <w:rFonts w:ascii="黑体" w:hAnsi="黑体" w:eastAsia="黑体" w:cs="黑体"/>
          <w:sz w:val="32"/>
          <w:szCs w:val="32"/>
        </w:rPr>
      </w:pPr>
      <w:bookmarkStart w:id="6" w:name="bookmark1"/>
      <w:bookmarkEnd w:id="6"/>
      <w:r>
        <w:rPr>
          <w:rFonts w:ascii="黑体" w:hAnsi="黑体" w:eastAsia="黑体" w:cs="黑体"/>
          <w:spacing w:val="-27"/>
          <w:sz w:val="32"/>
          <w:szCs w:val="32"/>
        </w:rPr>
        <w:t>目</w:t>
      </w:r>
      <w:r>
        <w:rPr>
          <w:rFonts w:ascii="黑体" w:hAnsi="黑体" w:eastAsia="黑体" w:cs="黑体"/>
          <w:spacing w:val="3"/>
          <w:sz w:val="32"/>
          <w:szCs w:val="32"/>
        </w:rPr>
        <w:t xml:space="preserve">    </w:t>
      </w:r>
      <w:r>
        <w:rPr>
          <w:rFonts w:ascii="黑体" w:hAnsi="黑体" w:eastAsia="黑体" w:cs="黑体"/>
          <w:spacing w:val="-27"/>
          <w:sz w:val="32"/>
          <w:szCs w:val="32"/>
        </w:rPr>
        <w:t>次</w:t>
      </w:r>
    </w:p>
    <w:p w14:paraId="7621912D">
      <w:pPr>
        <w:pStyle w:val="2"/>
        <w:spacing w:line="259" w:lineRule="auto"/>
      </w:pPr>
    </w:p>
    <w:p w14:paraId="3AC969AC">
      <w:pPr>
        <w:pStyle w:val="2"/>
        <w:spacing w:line="260" w:lineRule="auto"/>
      </w:pPr>
    </w:p>
    <w:sdt>
      <w:sdtPr>
        <w:rPr>
          <w:rFonts w:ascii="宋体" w:hAnsi="宋体" w:eastAsia="宋体" w:cs="宋体"/>
          <w:sz w:val="21"/>
          <w:szCs w:val="21"/>
        </w:rPr>
        <w:id w:val="147452512"/>
        <w:docPartObj>
          <w:docPartGallery w:val="Table of Contents"/>
          <w:docPartUnique/>
        </w:docPartObj>
      </w:sdtPr>
      <w:sdtEndPr>
        <w:rPr>
          <w:rFonts w:ascii="宋体" w:hAnsi="宋体" w:eastAsia="宋体" w:cs="宋体"/>
          <w:sz w:val="21"/>
          <w:szCs w:val="21"/>
        </w:rPr>
      </w:sdtEndPr>
      <w:sdtContent>
        <w:p w14:paraId="31678590">
          <w:pPr>
            <w:tabs>
              <w:tab w:val="right" w:leader="dot" w:pos="9234"/>
            </w:tabs>
            <w:spacing w:before="68" w:line="222" w:lineRule="auto"/>
            <w:ind w:left="4"/>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6"/>
              <w:sz w:val="21"/>
              <w:szCs w:val="21"/>
            </w:rPr>
            <w:t>前言</w:t>
          </w:r>
          <w:r>
            <w:rPr>
              <w:rFonts w:hint="eastAsia" w:asciiTheme="minorEastAsia" w:hAnsiTheme="minorEastAsia" w:eastAsiaTheme="minorEastAsia" w:cstheme="minorEastAsia"/>
              <w:spacing w:val="-28"/>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5"/>
              <w:sz w:val="21"/>
              <w:szCs w:val="21"/>
            </w:rPr>
            <w:t xml:space="preserve"> </w:t>
          </w:r>
          <w:r>
            <w:rPr>
              <w:rFonts w:hint="eastAsia" w:asciiTheme="minorEastAsia" w:hAnsiTheme="minorEastAsia" w:eastAsiaTheme="minorEastAsia" w:cstheme="minorEastAsia"/>
              <w:spacing w:val="-5"/>
              <w:sz w:val="21"/>
              <w:szCs w:val="21"/>
            </w:rPr>
            <w:t>II</w:t>
          </w:r>
          <w:r>
            <w:rPr>
              <w:rFonts w:hint="eastAsia" w:asciiTheme="minorEastAsia" w:hAnsiTheme="minorEastAsia" w:eastAsiaTheme="minorEastAsia" w:cstheme="minorEastAsia"/>
              <w:spacing w:val="-5"/>
              <w:sz w:val="21"/>
              <w:szCs w:val="21"/>
            </w:rPr>
            <w:fldChar w:fldCharType="end"/>
          </w:r>
        </w:p>
        <w:p w14:paraId="2A6E40EA">
          <w:pPr>
            <w:tabs>
              <w:tab w:val="right" w:leader="dot" w:pos="9234"/>
            </w:tabs>
            <w:spacing w:before="137" w:line="221" w:lineRule="auto"/>
            <w:ind w:left="16"/>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3"/>
              <w:sz w:val="21"/>
              <w:szCs w:val="21"/>
            </w:rPr>
            <w:t>1</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13"/>
              <w:sz w:val="21"/>
              <w:szCs w:val="21"/>
            </w:rPr>
            <w:t>范围</w:t>
          </w:r>
          <w:r>
            <w:rPr>
              <w:rFonts w:hint="eastAsia" w:asciiTheme="minorEastAsia" w:hAnsiTheme="minorEastAsia" w:eastAsiaTheme="minorEastAsia" w:cstheme="minorEastAsia"/>
              <w:spacing w:val="-25"/>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p>
        <w:p w14:paraId="49B3431F">
          <w:pPr>
            <w:tabs>
              <w:tab w:val="right" w:leader="dot" w:pos="9234"/>
            </w:tabs>
            <w:spacing w:before="139" w:line="220" w:lineRule="auto"/>
            <w:ind w:left="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2  规范性引用文件</w:t>
          </w:r>
          <w:r>
            <w:rPr>
              <w:rFonts w:hint="eastAsia" w:asciiTheme="minorEastAsia" w:hAnsiTheme="minorEastAsia" w:eastAsiaTheme="minorEastAsia" w:cstheme="minorEastAsia"/>
              <w:spacing w:val="-11"/>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p>
        <w:p w14:paraId="0ED194BA">
          <w:pPr>
            <w:tabs>
              <w:tab w:val="right" w:leader="dot" w:pos="9234"/>
            </w:tabs>
            <w:spacing w:before="140" w:line="220" w:lineRule="auto"/>
            <w:ind w:left="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3</w:t>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pacing w:val="-4"/>
              <w:sz w:val="21"/>
              <w:szCs w:val="21"/>
            </w:rPr>
            <w:t>工序质量检验</w:t>
          </w:r>
          <w:r>
            <w:rPr>
              <w:rFonts w:hint="eastAsia" w:asciiTheme="minorEastAsia" w:hAnsiTheme="minorEastAsia" w:eastAsiaTheme="minorEastAsia" w:cstheme="minorEastAsia"/>
              <w:spacing w:val="-20"/>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19"/>
              <w:sz w:val="21"/>
              <w:szCs w:val="21"/>
            </w:rPr>
            <w:t xml:space="preserve"> </w:t>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p>
        <w:p w14:paraId="2A04CD16">
          <w:pPr>
            <w:tabs>
              <w:tab w:val="right" w:leader="dot" w:pos="9234"/>
            </w:tabs>
            <w:spacing w:before="139" w:line="22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4</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3"/>
              <w:sz w:val="21"/>
              <w:szCs w:val="21"/>
            </w:rPr>
            <w:t>质量要求</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fldChar w:fldCharType="end"/>
          </w:r>
        </w:p>
        <w:p w14:paraId="0A5F38B3">
          <w:pPr>
            <w:tabs>
              <w:tab w:val="right" w:leader="dot" w:pos="9234"/>
            </w:tabs>
            <w:spacing w:before="139" w:line="220" w:lineRule="auto"/>
            <w:ind w:left="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4"/>
              <w:sz w:val="21"/>
              <w:szCs w:val="21"/>
            </w:rPr>
            <w:t>5</w:t>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pacing w:val="-4"/>
              <w:sz w:val="21"/>
              <w:szCs w:val="21"/>
            </w:rPr>
            <w:t>质量管理</w:t>
          </w:r>
          <w:r>
            <w:rPr>
              <w:rFonts w:hint="eastAsia" w:asciiTheme="minorEastAsia" w:hAnsiTheme="minorEastAsia" w:eastAsiaTheme="minorEastAsia" w:cstheme="minorEastAsia"/>
              <w:spacing w:val="-24"/>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7"/>
              <w:sz w:val="21"/>
              <w:szCs w:val="21"/>
            </w:rPr>
            <w:t xml:space="preserve"> </w:t>
          </w: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fldChar w:fldCharType="end"/>
          </w:r>
        </w:p>
        <w:p w14:paraId="070EBF4F">
          <w:pPr>
            <w:tabs>
              <w:tab w:val="right" w:leader="dot" w:pos="9234"/>
            </w:tabs>
            <w:spacing w:before="140" w:line="220" w:lineRule="auto"/>
            <w:ind w:left="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2"/>
              <w:sz w:val="21"/>
              <w:szCs w:val="21"/>
            </w:rPr>
            <w:t xml:space="preserve">6  混凝土拌和物的不合格料处理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5"/>
              <w:sz w:val="21"/>
              <w:szCs w:val="21"/>
            </w:rPr>
            <w:t xml:space="preserve"> </w:t>
          </w: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fldChar w:fldCharType="end"/>
          </w:r>
        </w:p>
        <w:p w14:paraId="0D7E6F80">
          <w:pPr>
            <w:tabs>
              <w:tab w:val="right" w:leader="dot" w:pos="9234"/>
            </w:tabs>
            <w:spacing w:before="139" w:line="220" w:lineRule="auto"/>
            <w:ind w:left="2"/>
            <w:rPr>
              <w:rFonts w:ascii="宋体" w:hAnsi="宋体" w:eastAsia="宋体" w:cs="宋体"/>
              <w:sz w:val="21"/>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sz w:val="21"/>
              <w:szCs w:val="21"/>
            </w:rPr>
            <w:t>条文说明</w:t>
          </w:r>
          <w:r>
            <w:rPr>
              <w:rFonts w:hint="eastAsia" w:asciiTheme="minorEastAsia" w:hAnsiTheme="minorEastAsia" w:eastAsiaTheme="minorEastAsia" w:cstheme="minorEastAsia"/>
              <w:spacing w:val="-23"/>
              <w:sz w:val="21"/>
              <w:szCs w:val="21"/>
            </w:rPr>
            <w:t xml:space="preserve"> </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pacing w:val="4"/>
              <w:sz w:val="21"/>
              <w:szCs w:val="21"/>
            </w:rPr>
            <w:t xml:space="preserve"> </w:t>
          </w:r>
          <w:r>
            <w:rPr>
              <w:rFonts w:hint="eastAsia" w:asciiTheme="minorEastAsia" w:hAnsiTheme="minorEastAsia" w:eastAsiaTheme="minorEastAsia" w:cstheme="minorEastAsia"/>
              <w:sz w:val="21"/>
              <w:szCs w:val="21"/>
            </w:rPr>
            <w:t>9</w:t>
          </w:r>
          <w:r>
            <w:rPr>
              <w:rFonts w:hint="eastAsia" w:asciiTheme="minorEastAsia" w:hAnsiTheme="minorEastAsia" w:eastAsiaTheme="minorEastAsia" w:cstheme="minorEastAsia"/>
              <w:sz w:val="21"/>
              <w:szCs w:val="21"/>
            </w:rPr>
            <w:fldChar w:fldCharType="end"/>
          </w:r>
        </w:p>
      </w:sdtContent>
    </w:sdt>
    <w:p w14:paraId="2CC83B98">
      <w:pPr>
        <w:spacing w:line="220" w:lineRule="auto"/>
        <w:rPr>
          <w:rFonts w:ascii="宋体" w:hAnsi="宋体" w:eastAsia="宋体" w:cs="宋体"/>
          <w:sz w:val="21"/>
          <w:szCs w:val="21"/>
        </w:rPr>
        <w:sectPr>
          <w:headerReference r:id="rId5" w:type="default"/>
          <w:footerReference r:id="rId6" w:type="default"/>
          <w:pgSz w:w="11905" w:h="16840"/>
          <w:pgMar w:top="400" w:right="1132" w:bottom="1344" w:left="1424" w:header="0" w:footer="1108" w:gutter="0"/>
          <w:pgNumType w:fmt="decimal"/>
          <w:cols w:space="720" w:num="1"/>
        </w:sectPr>
      </w:pPr>
    </w:p>
    <w:p w14:paraId="28A63FBE">
      <w:pPr>
        <w:pStyle w:val="2"/>
        <w:spacing w:line="243" w:lineRule="auto"/>
      </w:pPr>
    </w:p>
    <w:p w14:paraId="29B5E093">
      <w:pPr>
        <w:pStyle w:val="2"/>
        <w:spacing w:line="244" w:lineRule="auto"/>
      </w:pPr>
    </w:p>
    <w:p w14:paraId="00CFD53E">
      <w:pPr>
        <w:pStyle w:val="2"/>
        <w:spacing w:line="244" w:lineRule="auto"/>
      </w:pPr>
    </w:p>
    <w:p w14:paraId="657AFBB0">
      <w:pPr>
        <w:pStyle w:val="2"/>
        <w:spacing w:line="244" w:lineRule="auto"/>
      </w:pPr>
    </w:p>
    <w:p w14:paraId="4C87C6F2">
      <w:pPr>
        <w:pStyle w:val="2"/>
        <w:spacing w:line="291" w:lineRule="auto"/>
        <w:jc w:val="right"/>
      </w:pPr>
      <w:r>
        <w:fldChar w:fldCharType="begin"/>
      </w:r>
      <w:r>
        <w:instrText xml:space="preserve"> STYLEREF  标准文件_文件编号  \* MERGEFORMAT </w:instrText>
      </w:r>
      <w:r>
        <w:fldChar w:fldCharType="separate"/>
      </w:r>
      <w:r>
        <w:t>T/COSOCC XXXX—XXXX</w:t>
      </w:r>
      <w:r>
        <w:fldChar w:fldCharType="end"/>
      </w:r>
    </w:p>
    <w:p w14:paraId="3885C305">
      <w:pPr>
        <w:pStyle w:val="2"/>
        <w:spacing w:line="291" w:lineRule="auto"/>
      </w:pPr>
    </w:p>
    <w:p w14:paraId="4297A28E">
      <w:pPr>
        <w:pStyle w:val="2"/>
        <w:spacing w:line="291" w:lineRule="auto"/>
      </w:pPr>
    </w:p>
    <w:p w14:paraId="4EB3FF18">
      <w:pPr>
        <w:spacing w:before="104" w:line="223" w:lineRule="auto"/>
        <w:ind w:left="4043"/>
        <w:outlineLvl w:val="0"/>
        <w:rPr>
          <w:rFonts w:ascii="黑体" w:hAnsi="黑体" w:eastAsia="黑体" w:cs="黑体"/>
          <w:sz w:val="32"/>
          <w:szCs w:val="32"/>
        </w:rPr>
      </w:pPr>
      <w:bookmarkStart w:id="7" w:name="bookmark2"/>
      <w:bookmarkEnd w:id="7"/>
      <w:r>
        <w:rPr>
          <w:rFonts w:ascii="黑体" w:hAnsi="黑体" w:eastAsia="黑体" w:cs="黑体"/>
          <w:spacing w:val="-7"/>
          <w:sz w:val="32"/>
          <w:szCs w:val="32"/>
        </w:rPr>
        <w:t>前</w:t>
      </w:r>
      <w:r>
        <w:rPr>
          <w:rFonts w:ascii="黑体" w:hAnsi="黑体" w:eastAsia="黑体" w:cs="黑体"/>
          <w:spacing w:val="6"/>
          <w:sz w:val="32"/>
          <w:szCs w:val="32"/>
        </w:rPr>
        <w:t xml:space="preserve">    </w:t>
      </w:r>
      <w:r>
        <w:rPr>
          <w:rFonts w:ascii="黑体" w:hAnsi="黑体" w:eastAsia="黑体" w:cs="黑体"/>
          <w:spacing w:val="-7"/>
          <w:sz w:val="32"/>
          <w:szCs w:val="32"/>
        </w:rPr>
        <w:t>言</w:t>
      </w:r>
    </w:p>
    <w:p w14:paraId="760FBA74">
      <w:pPr>
        <w:pStyle w:val="2"/>
        <w:spacing w:line="312" w:lineRule="auto"/>
      </w:pPr>
    </w:p>
    <w:p w14:paraId="0660670E">
      <w:pPr>
        <w:pStyle w:val="2"/>
        <w:spacing w:line="313" w:lineRule="auto"/>
      </w:pPr>
    </w:p>
    <w:p w14:paraId="39ED7216">
      <w:pPr>
        <w:spacing w:before="68" w:line="220" w:lineRule="auto"/>
        <w:ind w:left="423"/>
        <w:rPr>
          <w:rFonts w:ascii="宋体" w:hAnsi="宋体" w:eastAsia="宋体" w:cs="宋体"/>
          <w:sz w:val="21"/>
          <w:szCs w:val="21"/>
        </w:rPr>
      </w:pPr>
      <w:r>
        <w:rPr>
          <w:rFonts w:ascii="宋体" w:hAnsi="宋体" w:eastAsia="宋体" w:cs="宋体"/>
          <w:spacing w:val="-2"/>
          <w:sz w:val="21"/>
          <w:szCs w:val="21"/>
        </w:rPr>
        <w:t>本标准按照</w:t>
      </w:r>
      <w:r>
        <w:rPr>
          <w:rFonts w:ascii="宋体" w:hAnsi="宋体" w:eastAsia="宋体" w:cs="宋体"/>
          <w:spacing w:val="-43"/>
          <w:sz w:val="21"/>
          <w:szCs w:val="21"/>
        </w:rPr>
        <w:t xml:space="preserve"> </w:t>
      </w:r>
      <w:r>
        <w:rPr>
          <w:rFonts w:hint="eastAsia"/>
        </w:rPr>
        <w:t>GB/T 1.1—2020《标准化工作导则  第1部分：标准化文件的结构和起草规则》</w:t>
      </w:r>
      <w:r>
        <w:rPr>
          <w:rFonts w:ascii="宋体" w:hAnsi="宋体" w:eastAsia="宋体" w:cs="宋体"/>
          <w:spacing w:val="-43"/>
          <w:sz w:val="21"/>
          <w:szCs w:val="21"/>
        </w:rPr>
        <w:t xml:space="preserve"> </w:t>
      </w:r>
      <w:r>
        <w:rPr>
          <w:rFonts w:ascii="宋体" w:hAnsi="宋体" w:eastAsia="宋体" w:cs="宋体"/>
          <w:spacing w:val="-2"/>
          <w:sz w:val="21"/>
          <w:szCs w:val="21"/>
        </w:rPr>
        <w:t>给出的规则起草。</w:t>
      </w:r>
    </w:p>
    <w:p w14:paraId="0F3D6F0B">
      <w:pPr>
        <w:pStyle w:val="13"/>
        <w:ind w:firstLine="420"/>
      </w:pPr>
      <w:r>
        <w:rPr>
          <w:rFonts w:hint="eastAsia"/>
        </w:rPr>
        <w:t>请注意本文件的某些内容可能涉及专利，本文件的发布机构不承担识别这些专利的责任。</w:t>
      </w:r>
    </w:p>
    <w:p w14:paraId="64C6C842">
      <w:pPr>
        <w:pStyle w:val="13"/>
        <w:ind w:firstLine="420"/>
      </w:pPr>
      <w:r>
        <w:rPr>
          <w:rFonts w:hint="eastAsia"/>
        </w:rPr>
        <w:t>本文件由中国基本建设优化研究会提出并归口。</w:t>
      </w:r>
    </w:p>
    <w:p w14:paraId="656F0653">
      <w:pPr>
        <w:pStyle w:val="13"/>
        <w:ind w:firstLine="420"/>
      </w:pPr>
      <w:r>
        <w:rPr>
          <w:rFonts w:hint="eastAsia"/>
        </w:rPr>
        <w:t>本文件起草单位：</w:t>
      </w:r>
    </w:p>
    <w:p w14:paraId="103D8E66">
      <w:pPr>
        <w:spacing w:line="276" w:lineRule="auto"/>
        <w:ind w:firstLine="420" w:firstLineChars="200"/>
        <w:rPr>
          <w:rFonts w:ascii="宋体" w:hAnsi="宋体" w:eastAsia="宋体" w:cs="宋体"/>
          <w:sz w:val="21"/>
          <w:szCs w:val="21"/>
        </w:rPr>
        <w:sectPr>
          <w:footerReference r:id="rId7" w:type="default"/>
          <w:pgSz w:w="11905" w:h="16840"/>
          <w:pgMar w:top="400" w:right="1341" w:bottom="1344" w:left="1139" w:header="0" w:footer="1108" w:gutter="0"/>
          <w:pgNumType w:fmt="decimal"/>
          <w:cols w:space="720" w:num="1"/>
        </w:sectPr>
      </w:pPr>
      <w:r>
        <w:rPr>
          <w:rFonts w:hint="eastAsia"/>
        </w:rPr>
        <w:t>本文件主要起草</w:t>
      </w:r>
    </w:p>
    <w:p w14:paraId="5A2D14AB">
      <w:pPr>
        <w:pStyle w:val="2"/>
        <w:spacing w:line="272" w:lineRule="auto"/>
      </w:pPr>
    </w:p>
    <w:p w14:paraId="281B6519">
      <w:pPr>
        <w:pStyle w:val="2"/>
        <w:spacing w:line="272" w:lineRule="auto"/>
      </w:pPr>
    </w:p>
    <w:p w14:paraId="4BDB27BA">
      <w:pPr>
        <w:spacing w:before="104" w:line="222" w:lineRule="auto"/>
        <w:ind w:left="2486"/>
        <w:rPr>
          <w:rFonts w:ascii="黑体" w:hAnsi="黑体" w:eastAsia="黑体" w:cs="黑体"/>
          <w:sz w:val="32"/>
          <w:szCs w:val="32"/>
        </w:rPr>
      </w:pPr>
      <w:bookmarkStart w:id="8" w:name="bookmark9"/>
      <w:bookmarkEnd w:id="8"/>
      <w:r>
        <w:rPr>
          <w:rFonts w:ascii="黑体" w:hAnsi="黑体" w:eastAsia="黑体" w:cs="黑体"/>
          <w:spacing w:val="-1"/>
          <w:sz w:val="32"/>
          <w:szCs w:val="32"/>
        </w:rPr>
        <w:t>拱坝混凝土生产质量控制及检验</w:t>
      </w:r>
    </w:p>
    <w:p w14:paraId="7677A432">
      <w:pPr>
        <w:pStyle w:val="2"/>
        <w:spacing w:line="260" w:lineRule="auto"/>
      </w:pPr>
    </w:p>
    <w:p w14:paraId="2D34B9B4">
      <w:pPr>
        <w:pStyle w:val="2"/>
        <w:spacing w:line="260" w:lineRule="auto"/>
      </w:pPr>
    </w:p>
    <w:p w14:paraId="1B158691">
      <w:pPr>
        <w:spacing w:before="69" w:line="223" w:lineRule="auto"/>
        <w:ind w:left="56"/>
        <w:outlineLvl w:val="0"/>
        <w:rPr>
          <w:rFonts w:ascii="黑体" w:hAnsi="黑体" w:eastAsia="黑体" w:cs="黑体"/>
          <w:sz w:val="21"/>
          <w:szCs w:val="21"/>
        </w:rPr>
      </w:pPr>
      <w:bookmarkStart w:id="9" w:name="bookmark3"/>
      <w:bookmarkEnd w:id="9"/>
      <w:r>
        <w:rPr>
          <w:rFonts w:ascii="黑体" w:hAnsi="黑体" w:eastAsia="黑体" w:cs="黑体"/>
          <w:spacing w:val="-9"/>
          <w:sz w:val="21"/>
          <w:szCs w:val="21"/>
        </w:rPr>
        <w:t>1</w:t>
      </w:r>
      <w:r>
        <w:rPr>
          <w:rFonts w:ascii="黑体" w:hAnsi="黑体" w:eastAsia="黑体" w:cs="黑体"/>
          <w:spacing w:val="6"/>
          <w:sz w:val="21"/>
          <w:szCs w:val="21"/>
        </w:rPr>
        <w:t xml:space="preserve">  </w:t>
      </w:r>
      <w:r>
        <w:rPr>
          <w:rFonts w:ascii="黑体" w:hAnsi="黑体" w:eastAsia="黑体" w:cs="黑体"/>
          <w:spacing w:val="-9"/>
          <w:sz w:val="21"/>
          <w:szCs w:val="21"/>
        </w:rPr>
        <w:t>范围</w:t>
      </w:r>
    </w:p>
    <w:p w14:paraId="42A6860F">
      <w:pPr>
        <w:pStyle w:val="2"/>
        <w:spacing w:line="299" w:lineRule="auto"/>
      </w:pPr>
    </w:p>
    <w:p w14:paraId="5427D55B">
      <w:pPr>
        <w:spacing w:before="68" w:line="220" w:lineRule="auto"/>
        <w:ind w:right="9"/>
        <w:jc w:val="right"/>
        <w:rPr>
          <w:rFonts w:ascii="宋体" w:hAnsi="宋体" w:eastAsia="宋体" w:cs="宋体"/>
          <w:sz w:val="21"/>
          <w:szCs w:val="21"/>
        </w:rPr>
      </w:pPr>
      <w:r>
        <w:rPr>
          <w:rFonts w:ascii="宋体" w:hAnsi="宋体" w:eastAsia="宋体" w:cs="宋体"/>
          <w:spacing w:val="-1"/>
          <w:sz w:val="21"/>
          <w:szCs w:val="21"/>
        </w:rPr>
        <w:t>本标准规定了拱坝混凝土工序质量检验、质量要求、质量管理、混凝土拌和物的不合格料处理等。</w:t>
      </w:r>
    </w:p>
    <w:p w14:paraId="3B338736">
      <w:pPr>
        <w:spacing w:before="62" w:line="276" w:lineRule="auto"/>
        <w:ind w:left="46" w:right="77" w:firstLine="420"/>
        <w:rPr>
          <w:rFonts w:ascii="宋体" w:hAnsi="宋体" w:eastAsia="宋体" w:cs="宋体"/>
          <w:sz w:val="21"/>
          <w:szCs w:val="21"/>
        </w:rPr>
      </w:pPr>
      <w:r>
        <w:rPr>
          <w:rFonts w:ascii="宋体" w:hAnsi="宋体" w:eastAsia="宋体" w:cs="宋体"/>
          <w:spacing w:val="-2"/>
          <w:sz w:val="21"/>
          <w:szCs w:val="21"/>
        </w:rPr>
        <w:t>本标准适用于拱坝混凝土，也适用于指定采用本标</w:t>
      </w:r>
      <w:r>
        <w:rPr>
          <w:rFonts w:ascii="宋体" w:hAnsi="宋体" w:eastAsia="宋体" w:cs="宋体"/>
          <w:spacing w:val="-3"/>
          <w:sz w:val="21"/>
          <w:szCs w:val="21"/>
        </w:rPr>
        <w:t>准的其它部位混凝土。拱坝混凝土的生产质量控</w:t>
      </w:r>
      <w:r>
        <w:rPr>
          <w:rFonts w:ascii="宋体" w:hAnsi="宋体" w:eastAsia="宋体" w:cs="宋体"/>
          <w:sz w:val="21"/>
          <w:szCs w:val="21"/>
        </w:rPr>
        <w:t xml:space="preserve"> </w:t>
      </w:r>
      <w:r>
        <w:rPr>
          <w:rFonts w:ascii="宋体" w:hAnsi="宋体" w:eastAsia="宋体" w:cs="宋体"/>
          <w:spacing w:val="-1"/>
          <w:sz w:val="21"/>
          <w:szCs w:val="21"/>
        </w:rPr>
        <w:t>制及检验，除应满足本标准规定外，尚应符合国家现行有</w:t>
      </w:r>
      <w:r>
        <w:rPr>
          <w:rFonts w:ascii="宋体" w:hAnsi="宋体" w:eastAsia="宋体" w:cs="宋体"/>
          <w:spacing w:val="-2"/>
          <w:sz w:val="21"/>
          <w:szCs w:val="21"/>
        </w:rPr>
        <w:t>关标准的规定。</w:t>
      </w:r>
    </w:p>
    <w:p w14:paraId="093BD007">
      <w:pPr>
        <w:spacing w:before="308" w:line="222" w:lineRule="auto"/>
        <w:ind w:left="43"/>
        <w:outlineLvl w:val="0"/>
        <w:rPr>
          <w:rFonts w:ascii="黑体" w:hAnsi="黑体" w:eastAsia="黑体" w:cs="黑体"/>
          <w:sz w:val="21"/>
          <w:szCs w:val="21"/>
        </w:rPr>
      </w:pPr>
      <w:bookmarkStart w:id="10" w:name="bookmark4"/>
      <w:bookmarkEnd w:id="10"/>
      <w:r>
        <w:rPr>
          <w:rFonts w:ascii="黑体" w:hAnsi="黑体" w:eastAsia="黑体" w:cs="黑体"/>
          <w:spacing w:val="-1"/>
          <w:sz w:val="21"/>
          <w:szCs w:val="21"/>
        </w:rPr>
        <w:t>2  规范性引用文件</w:t>
      </w:r>
    </w:p>
    <w:p w14:paraId="1E6C5AF0">
      <w:pPr>
        <w:pStyle w:val="2"/>
        <w:spacing w:line="301" w:lineRule="auto"/>
      </w:pPr>
    </w:p>
    <w:p w14:paraId="2CEB7758">
      <w:pPr>
        <w:spacing w:before="69" w:line="274" w:lineRule="auto"/>
        <w:ind w:left="49" w:firstLine="422"/>
        <w:rPr>
          <w:rFonts w:ascii="宋体" w:hAnsi="宋体" w:eastAsia="宋体" w:cs="宋体"/>
          <w:sz w:val="21"/>
          <w:szCs w:val="21"/>
        </w:rPr>
      </w:pPr>
      <w:r>
        <w:rPr>
          <w:rFonts w:ascii="宋体" w:hAnsi="宋体" w:eastAsia="宋体" w:cs="宋体"/>
          <w:spacing w:val="-5"/>
          <w:sz w:val="21"/>
          <w:szCs w:val="21"/>
        </w:rPr>
        <w:t>下列文件对于本文件的应用是必不可少的。</w:t>
      </w:r>
      <w:r>
        <w:rPr>
          <w:rFonts w:ascii="宋体" w:hAnsi="宋体" w:eastAsia="宋体" w:cs="宋体"/>
          <w:spacing w:val="-6"/>
          <w:sz w:val="21"/>
          <w:szCs w:val="21"/>
        </w:rPr>
        <w:t>凡是注日期的引用文件，仅注日期的版本适用于本文件。</w:t>
      </w:r>
      <w:r>
        <w:rPr>
          <w:rFonts w:ascii="宋体" w:hAnsi="宋体" w:eastAsia="宋体" w:cs="宋体"/>
          <w:sz w:val="21"/>
          <w:szCs w:val="21"/>
        </w:rPr>
        <w:t xml:space="preserve"> </w:t>
      </w:r>
      <w:r>
        <w:rPr>
          <w:rFonts w:ascii="宋体" w:hAnsi="宋体" w:eastAsia="宋体" w:cs="宋体"/>
          <w:spacing w:val="-1"/>
          <w:sz w:val="21"/>
          <w:szCs w:val="21"/>
        </w:rPr>
        <w:t>凡是不注日期的引用文件，其最新版本（包括所有的修改单</w:t>
      </w:r>
      <w:r>
        <w:rPr>
          <w:rFonts w:ascii="宋体" w:hAnsi="宋体" w:eastAsia="宋体" w:cs="宋体"/>
          <w:spacing w:val="-2"/>
          <w:sz w:val="21"/>
          <w:szCs w:val="21"/>
        </w:rPr>
        <w:t>）适用于本文件。</w:t>
      </w:r>
    </w:p>
    <w:p w14:paraId="7E3D3935">
      <w:pPr>
        <w:spacing w:line="220" w:lineRule="auto"/>
        <w:ind w:left="461"/>
        <w:rPr>
          <w:rFonts w:ascii="宋体" w:hAnsi="宋体" w:eastAsia="宋体" w:cs="宋体"/>
          <w:sz w:val="21"/>
          <w:szCs w:val="21"/>
        </w:rPr>
      </w:pPr>
      <w:r>
        <w:rPr>
          <w:rFonts w:ascii="宋体" w:hAnsi="宋体" w:eastAsia="宋体" w:cs="宋体"/>
          <w:spacing w:val="-1"/>
          <w:sz w:val="21"/>
          <w:szCs w:val="21"/>
        </w:rPr>
        <w:t>DL/T 5144  水工混凝土施工规范</w:t>
      </w:r>
    </w:p>
    <w:p w14:paraId="4C6ED558">
      <w:pPr>
        <w:spacing w:before="62" w:line="220" w:lineRule="auto"/>
        <w:ind w:left="461"/>
        <w:rPr>
          <w:rFonts w:ascii="宋体" w:hAnsi="宋体" w:eastAsia="宋体" w:cs="宋体"/>
          <w:sz w:val="21"/>
          <w:szCs w:val="21"/>
        </w:rPr>
      </w:pPr>
      <w:r>
        <w:rPr>
          <w:rFonts w:ascii="宋体" w:hAnsi="宋体" w:eastAsia="宋体" w:cs="宋体"/>
          <w:spacing w:val="-1"/>
          <w:sz w:val="21"/>
          <w:szCs w:val="21"/>
        </w:rPr>
        <w:t>DL/T 5150  水工混凝土试验规程</w:t>
      </w:r>
    </w:p>
    <w:p w14:paraId="54FFCB94">
      <w:pPr>
        <w:pStyle w:val="2"/>
        <w:spacing w:line="304" w:lineRule="auto"/>
      </w:pPr>
    </w:p>
    <w:p w14:paraId="117B24FA">
      <w:pPr>
        <w:spacing w:before="68" w:line="222" w:lineRule="auto"/>
        <w:ind w:left="45"/>
        <w:outlineLvl w:val="0"/>
        <w:rPr>
          <w:rFonts w:ascii="黑体" w:hAnsi="黑体" w:eastAsia="黑体" w:cs="黑体"/>
          <w:sz w:val="21"/>
          <w:szCs w:val="21"/>
        </w:rPr>
      </w:pPr>
      <w:bookmarkStart w:id="11" w:name="bookmark5"/>
      <w:bookmarkEnd w:id="11"/>
      <w:r>
        <w:rPr>
          <w:rFonts w:ascii="黑体" w:hAnsi="黑体" w:eastAsia="黑体" w:cs="黑体"/>
          <w:spacing w:val="-1"/>
          <w:sz w:val="21"/>
          <w:szCs w:val="21"/>
        </w:rPr>
        <w:t>3  工序质量检验</w:t>
      </w:r>
    </w:p>
    <w:p w14:paraId="034DBD33">
      <w:pPr>
        <w:pStyle w:val="2"/>
        <w:spacing w:line="300" w:lineRule="auto"/>
      </w:pPr>
    </w:p>
    <w:p w14:paraId="38C1FD6A">
      <w:pPr>
        <w:spacing w:before="69" w:line="222" w:lineRule="auto"/>
        <w:ind w:left="45"/>
        <w:rPr>
          <w:rFonts w:ascii="宋体" w:hAnsi="宋体" w:eastAsia="宋体" w:cs="宋体"/>
          <w:sz w:val="21"/>
          <w:szCs w:val="21"/>
        </w:rPr>
      </w:pPr>
      <w:r>
        <w:rPr>
          <w:rFonts w:ascii="黑体" w:hAnsi="黑体" w:eastAsia="黑体" w:cs="黑体"/>
          <w:spacing w:val="-2"/>
          <w:sz w:val="21"/>
          <w:szCs w:val="21"/>
        </w:rPr>
        <w:t xml:space="preserve">3.1  </w:t>
      </w:r>
      <w:r>
        <w:rPr>
          <w:rFonts w:ascii="宋体" w:hAnsi="宋体" w:eastAsia="宋体" w:cs="宋体"/>
          <w:spacing w:val="-2"/>
          <w:sz w:val="21"/>
          <w:szCs w:val="21"/>
        </w:rPr>
        <w:t>混凝土生产过程的质量控制，按工序划分的控制网点及内容应符合表</w:t>
      </w:r>
      <w:r>
        <w:rPr>
          <w:rFonts w:ascii="宋体" w:hAnsi="宋体" w:eastAsia="宋体" w:cs="宋体"/>
          <w:spacing w:val="-14"/>
          <w:sz w:val="21"/>
          <w:szCs w:val="21"/>
        </w:rPr>
        <w:t xml:space="preserve"> </w:t>
      </w:r>
      <w:r>
        <w:rPr>
          <w:rFonts w:ascii="宋体" w:hAnsi="宋体" w:eastAsia="宋体" w:cs="宋体"/>
          <w:spacing w:val="-2"/>
          <w:sz w:val="21"/>
          <w:szCs w:val="21"/>
        </w:rPr>
        <w:t>1、表</w:t>
      </w:r>
      <w:r>
        <w:rPr>
          <w:rFonts w:ascii="宋体" w:hAnsi="宋体" w:eastAsia="宋体" w:cs="宋体"/>
          <w:spacing w:val="-43"/>
          <w:sz w:val="21"/>
          <w:szCs w:val="21"/>
        </w:rPr>
        <w:t xml:space="preserve"> </w:t>
      </w:r>
      <w:r>
        <w:rPr>
          <w:rFonts w:ascii="宋体" w:hAnsi="宋体" w:eastAsia="宋体" w:cs="宋体"/>
          <w:spacing w:val="-2"/>
          <w:sz w:val="21"/>
          <w:szCs w:val="21"/>
        </w:rPr>
        <w:t>2</w:t>
      </w:r>
      <w:r>
        <w:rPr>
          <w:rFonts w:ascii="宋体" w:hAnsi="宋体" w:eastAsia="宋体" w:cs="宋体"/>
          <w:spacing w:val="-44"/>
          <w:sz w:val="21"/>
          <w:szCs w:val="21"/>
        </w:rPr>
        <w:t xml:space="preserve"> </w:t>
      </w:r>
      <w:r>
        <w:rPr>
          <w:rFonts w:ascii="宋体" w:hAnsi="宋体" w:eastAsia="宋体" w:cs="宋体"/>
          <w:spacing w:val="-2"/>
          <w:sz w:val="21"/>
          <w:szCs w:val="21"/>
        </w:rPr>
        <w:t>规定。</w:t>
      </w:r>
    </w:p>
    <w:p w14:paraId="70E0A3C0">
      <w:pPr>
        <w:spacing w:before="215" w:line="222" w:lineRule="auto"/>
        <w:ind w:left="2547"/>
        <w:rPr>
          <w:rFonts w:ascii="黑体" w:hAnsi="黑体" w:eastAsia="黑体" w:cs="黑体"/>
          <w:sz w:val="21"/>
          <w:szCs w:val="21"/>
        </w:rPr>
      </w:pPr>
      <w:r>
        <w:rPr>
          <w:rFonts w:ascii="黑体" w:hAnsi="黑体" w:eastAsia="黑体" w:cs="黑体"/>
          <w:spacing w:val="-2"/>
          <w:sz w:val="21"/>
          <w:szCs w:val="21"/>
        </w:rPr>
        <w:t>表</w:t>
      </w:r>
      <w:r>
        <w:rPr>
          <w:rFonts w:ascii="黑体" w:hAnsi="黑体" w:eastAsia="黑体" w:cs="黑体"/>
          <w:spacing w:val="-21"/>
          <w:sz w:val="21"/>
          <w:szCs w:val="21"/>
        </w:rPr>
        <w:t xml:space="preserve"> </w:t>
      </w:r>
      <w:r>
        <w:rPr>
          <w:rFonts w:ascii="黑体" w:hAnsi="黑体" w:eastAsia="黑体" w:cs="黑体"/>
          <w:spacing w:val="-2"/>
          <w:sz w:val="21"/>
          <w:szCs w:val="21"/>
        </w:rPr>
        <w:t>1  混凝土拌制生产质量控制网点检验及要求</w:t>
      </w:r>
    </w:p>
    <w:p w14:paraId="34B904B9">
      <w:pPr>
        <w:spacing w:line="166" w:lineRule="exact"/>
      </w:pPr>
    </w:p>
    <w:tbl>
      <w:tblPr>
        <w:tblStyle w:val="8"/>
        <w:tblW w:w="941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2"/>
        <w:gridCol w:w="453"/>
        <w:gridCol w:w="1215"/>
        <w:gridCol w:w="3393"/>
        <w:gridCol w:w="1453"/>
        <w:gridCol w:w="2258"/>
      </w:tblGrid>
      <w:tr w14:paraId="012D4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642" w:type="dxa"/>
            <w:vMerge w:val="restart"/>
            <w:tcBorders>
              <w:top w:val="single" w:color="000000" w:sz="6" w:space="0"/>
              <w:left w:val="single" w:color="000000" w:sz="6" w:space="0"/>
              <w:bottom w:val="nil"/>
            </w:tcBorders>
            <w:vAlign w:val="top"/>
          </w:tcPr>
          <w:p w14:paraId="7EF3112B">
            <w:pPr>
              <w:pStyle w:val="9"/>
              <w:spacing w:before="221" w:line="222" w:lineRule="auto"/>
              <w:ind w:left="140"/>
            </w:pPr>
            <w:r>
              <w:rPr>
                <w:spacing w:val="-3"/>
              </w:rPr>
              <w:t>工序</w:t>
            </w:r>
          </w:p>
        </w:tc>
        <w:tc>
          <w:tcPr>
            <w:tcW w:w="1668" w:type="dxa"/>
            <w:gridSpan w:val="2"/>
            <w:tcBorders>
              <w:top w:val="single" w:color="000000" w:sz="6" w:space="0"/>
            </w:tcBorders>
            <w:vAlign w:val="top"/>
          </w:tcPr>
          <w:p w14:paraId="19C2DFC6">
            <w:pPr>
              <w:pStyle w:val="9"/>
              <w:spacing w:before="71" w:line="221" w:lineRule="auto"/>
              <w:ind w:left="561"/>
            </w:pPr>
            <w:r>
              <w:rPr>
                <w:spacing w:val="-2"/>
              </w:rPr>
              <w:t>控制点</w:t>
            </w:r>
          </w:p>
        </w:tc>
        <w:tc>
          <w:tcPr>
            <w:tcW w:w="3393" w:type="dxa"/>
            <w:vMerge w:val="restart"/>
            <w:tcBorders>
              <w:top w:val="single" w:color="000000" w:sz="6" w:space="0"/>
              <w:bottom w:val="nil"/>
            </w:tcBorders>
            <w:vAlign w:val="top"/>
          </w:tcPr>
          <w:p w14:paraId="3FBED053">
            <w:pPr>
              <w:pStyle w:val="9"/>
              <w:spacing w:before="221" w:line="220" w:lineRule="auto"/>
              <w:ind w:left="1339"/>
            </w:pPr>
            <w:r>
              <w:rPr>
                <w:spacing w:val="-2"/>
              </w:rPr>
              <w:t>检验内容</w:t>
            </w:r>
          </w:p>
        </w:tc>
        <w:tc>
          <w:tcPr>
            <w:tcW w:w="1453" w:type="dxa"/>
            <w:vMerge w:val="restart"/>
            <w:tcBorders>
              <w:top w:val="single" w:color="000000" w:sz="6" w:space="0"/>
              <w:bottom w:val="nil"/>
            </w:tcBorders>
            <w:vAlign w:val="top"/>
          </w:tcPr>
          <w:p w14:paraId="6C83495B">
            <w:pPr>
              <w:pStyle w:val="9"/>
              <w:spacing w:before="221" w:line="220" w:lineRule="auto"/>
              <w:ind w:left="374"/>
            </w:pPr>
            <w:r>
              <w:rPr>
                <w:spacing w:val="-2"/>
              </w:rPr>
              <w:t>检测频率</w:t>
            </w:r>
          </w:p>
        </w:tc>
        <w:tc>
          <w:tcPr>
            <w:tcW w:w="2258" w:type="dxa"/>
            <w:vMerge w:val="restart"/>
            <w:tcBorders>
              <w:top w:val="single" w:color="000000" w:sz="6" w:space="0"/>
              <w:bottom w:val="nil"/>
              <w:right w:val="single" w:color="000000" w:sz="6" w:space="0"/>
            </w:tcBorders>
            <w:vAlign w:val="top"/>
          </w:tcPr>
          <w:p w14:paraId="1D3F5FAB">
            <w:pPr>
              <w:pStyle w:val="9"/>
              <w:spacing w:before="221" w:line="220" w:lineRule="auto"/>
              <w:ind w:left="774"/>
            </w:pPr>
            <w:r>
              <w:rPr>
                <w:spacing w:val="-2"/>
              </w:rPr>
              <w:t>检测要求</w:t>
            </w:r>
          </w:p>
        </w:tc>
      </w:tr>
      <w:tr w14:paraId="34FBB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642" w:type="dxa"/>
            <w:vMerge w:val="continue"/>
            <w:tcBorders>
              <w:top w:val="nil"/>
              <w:left w:val="single" w:color="000000" w:sz="6" w:space="0"/>
              <w:bottom w:val="single" w:color="000000" w:sz="6" w:space="0"/>
            </w:tcBorders>
            <w:vAlign w:val="top"/>
          </w:tcPr>
          <w:p w14:paraId="60E08521">
            <w:pPr>
              <w:rPr>
                <w:rFonts w:ascii="Arial"/>
                <w:sz w:val="21"/>
              </w:rPr>
            </w:pPr>
          </w:p>
        </w:tc>
        <w:tc>
          <w:tcPr>
            <w:tcW w:w="453" w:type="dxa"/>
            <w:tcBorders>
              <w:bottom w:val="single" w:color="000000" w:sz="6" w:space="0"/>
            </w:tcBorders>
            <w:vAlign w:val="top"/>
          </w:tcPr>
          <w:p w14:paraId="0B30B5BE">
            <w:pPr>
              <w:pStyle w:val="9"/>
              <w:spacing w:before="66" w:line="222" w:lineRule="auto"/>
              <w:ind w:left="44"/>
            </w:pPr>
            <w:r>
              <w:rPr>
                <w:spacing w:val="-2"/>
              </w:rPr>
              <w:t>序号</w:t>
            </w:r>
          </w:p>
        </w:tc>
        <w:tc>
          <w:tcPr>
            <w:tcW w:w="1215" w:type="dxa"/>
            <w:tcBorders>
              <w:bottom w:val="single" w:color="000000" w:sz="6" w:space="0"/>
            </w:tcBorders>
            <w:vAlign w:val="top"/>
          </w:tcPr>
          <w:p w14:paraId="60B6116C">
            <w:pPr>
              <w:pStyle w:val="9"/>
              <w:spacing w:before="67" w:line="222" w:lineRule="auto"/>
              <w:ind w:left="429"/>
            </w:pPr>
            <w:r>
              <w:rPr>
                <w:spacing w:val="-3"/>
              </w:rPr>
              <w:t>名称</w:t>
            </w:r>
          </w:p>
        </w:tc>
        <w:tc>
          <w:tcPr>
            <w:tcW w:w="3393" w:type="dxa"/>
            <w:vMerge w:val="continue"/>
            <w:tcBorders>
              <w:top w:val="nil"/>
              <w:bottom w:val="single" w:color="000000" w:sz="6" w:space="0"/>
            </w:tcBorders>
            <w:vAlign w:val="top"/>
          </w:tcPr>
          <w:p w14:paraId="0160C407">
            <w:pPr>
              <w:rPr>
                <w:rFonts w:ascii="Arial"/>
                <w:sz w:val="21"/>
              </w:rPr>
            </w:pPr>
          </w:p>
        </w:tc>
        <w:tc>
          <w:tcPr>
            <w:tcW w:w="1453" w:type="dxa"/>
            <w:vMerge w:val="continue"/>
            <w:tcBorders>
              <w:top w:val="nil"/>
              <w:bottom w:val="single" w:color="000000" w:sz="6" w:space="0"/>
            </w:tcBorders>
            <w:vAlign w:val="top"/>
          </w:tcPr>
          <w:p w14:paraId="3F82ABBE">
            <w:pPr>
              <w:rPr>
                <w:rFonts w:ascii="Arial"/>
                <w:sz w:val="21"/>
              </w:rPr>
            </w:pPr>
          </w:p>
        </w:tc>
        <w:tc>
          <w:tcPr>
            <w:tcW w:w="2258" w:type="dxa"/>
            <w:vMerge w:val="continue"/>
            <w:tcBorders>
              <w:top w:val="nil"/>
              <w:bottom w:val="single" w:color="000000" w:sz="6" w:space="0"/>
              <w:right w:val="single" w:color="000000" w:sz="6" w:space="0"/>
            </w:tcBorders>
            <w:vAlign w:val="top"/>
          </w:tcPr>
          <w:p w14:paraId="3015D37E">
            <w:pPr>
              <w:rPr>
                <w:rFonts w:ascii="Arial"/>
                <w:sz w:val="21"/>
              </w:rPr>
            </w:pPr>
          </w:p>
        </w:tc>
      </w:tr>
      <w:tr w14:paraId="44AD2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642" w:type="dxa"/>
            <w:vMerge w:val="restart"/>
            <w:tcBorders>
              <w:top w:val="single" w:color="000000" w:sz="6" w:space="0"/>
              <w:left w:val="single" w:color="000000" w:sz="6" w:space="0"/>
              <w:bottom w:val="nil"/>
            </w:tcBorders>
            <w:vAlign w:val="top"/>
          </w:tcPr>
          <w:p w14:paraId="5A887704">
            <w:pPr>
              <w:spacing w:line="273" w:lineRule="auto"/>
              <w:rPr>
                <w:rFonts w:ascii="Arial"/>
                <w:sz w:val="21"/>
              </w:rPr>
            </w:pPr>
          </w:p>
          <w:p w14:paraId="2B366C6F">
            <w:pPr>
              <w:spacing w:line="273" w:lineRule="auto"/>
              <w:rPr>
                <w:rFonts w:ascii="Arial"/>
                <w:sz w:val="21"/>
              </w:rPr>
            </w:pPr>
          </w:p>
          <w:p w14:paraId="02292167">
            <w:pPr>
              <w:spacing w:line="273" w:lineRule="auto"/>
              <w:rPr>
                <w:rFonts w:ascii="Arial"/>
                <w:sz w:val="21"/>
              </w:rPr>
            </w:pPr>
          </w:p>
          <w:p w14:paraId="3A4E4C93">
            <w:pPr>
              <w:spacing w:line="274" w:lineRule="auto"/>
              <w:rPr>
                <w:rFonts w:ascii="Arial"/>
                <w:sz w:val="21"/>
              </w:rPr>
            </w:pPr>
          </w:p>
          <w:p w14:paraId="1043A8DE">
            <w:pPr>
              <w:spacing w:line="274" w:lineRule="auto"/>
              <w:rPr>
                <w:rFonts w:ascii="Arial"/>
                <w:sz w:val="21"/>
              </w:rPr>
            </w:pPr>
          </w:p>
          <w:p w14:paraId="3E5B10BA">
            <w:pPr>
              <w:spacing w:line="274" w:lineRule="auto"/>
              <w:rPr>
                <w:rFonts w:ascii="Arial"/>
                <w:sz w:val="21"/>
              </w:rPr>
            </w:pPr>
          </w:p>
          <w:p w14:paraId="3531CA07">
            <w:pPr>
              <w:spacing w:line="274" w:lineRule="auto"/>
              <w:rPr>
                <w:rFonts w:ascii="Arial"/>
                <w:sz w:val="21"/>
              </w:rPr>
            </w:pPr>
          </w:p>
          <w:p w14:paraId="4E54D743">
            <w:pPr>
              <w:pStyle w:val="9"/>
              <w:spacing w:before="58" w:line="220" w:lineRule="auto"/>
              <w:ind w:left="52"/>
            </w:pPr>
            <w:r>
              <w:rPr>
                <w:spacing w:val="-3"/>
              </w:rPr>
              <w:t>原材料</w:t>
            </w:r>
          </w:p>
          <w:p w14:paraId="404FDBA4">
            <w:pPr>
              <w:pStyle w:val="9"/>
              <w:spacing w:before="97" w:line="221" w:lineRule="auto"/>
              <w:ind w:left="49"/>
            </w:pPr>
            <w:r>
              <w:rPr>
                <w:spacing w:val="-2"/>
              </w:rPr>
              <w:t>质量控</w:t>
            </w:r>
          </w:p>
          <w:p w14:paraId="06EAC6E0">
            <w:pPr>
              <w:pStyle w:val="9"/>
              <w:spacing w:before="96" w:line="220" w:lineRule="auto"/>
              <w:ind w:left="49"/>
            </w:pPr>
            <w:r>
              <w:rPr>
                <w:spacing w:val="-2"/>
              </w:rPr>
              <w:t>制检验</w:t>
            </w:r>
          </w:p>
        </w:tc>
        <w:tc>
          <w:tcPr>
            <w:tcW w:w="453" w:type="dxa"/>
            <w:vMerge w:val="restart"/>
            <w:tcBorders>
              <w:top w:val="single" w:color="000000" w:sz="6" w:space="0"/>
              <w:bottom w:val="nil"/>
            </w:tcBorders>
            <w:vAlign w:val="top"/>
          </w:tcPr>
          <w:p w14:paraId="2F2CDAD1">
            <w:pPr>
              <w:spacing w:line="471" w:lineRule="auto"/>
              <w:rPr>
                <w:rFonts w:ascii="Arial"/>
                <w:sz w:val="21"/>
              </w:rPr>
            </w:pPr>
          </w:p>
          <w:p w14:paraId="70825FEA">
            <w:pPr>
              <w:pStyle w:val="9"/>
              <w:spacing w:before="58" w:line="242" w:lineRule="auto"/>
              <w:ind w:left="192"/>
            </w:pPr>
            <w:r>
              <w:t>1</w:t>
            </w:r>
          </w:p>
        </w:tc>
        <w:tc>
          <w:tcPr>
            <w:tcW w:w="1215" w:type="dxa"/>
            <w:vMerge w:val="restart"/>
            <w:tcBorders>
              <w:top w:val="single" w:color="000000" w:sz="6" w:space="0"/>
              <w:bottom w:val="nil"/>
            </w:tcBorders>
            <w:vAlign w:val="top"/>
          </w:tcPr>
          <w:p w14:paraId="60E088A8">
            <w:pPr>
              <w:spacing w:line="471" w:lineRule="auto"/>
              <w:rPr>
                <w:rFonts w:ascii="Arial"/>
                <w:sz w:val="21"/>
              </w:rPr>
            </w:pPr>
          </w:p>
          <w:p w14:paraId="4DDE3B1F">
            <w:pPr>
              <w:pStyle w:val="9"/>
              <w:spacing w:before="58" w:line="220" w:lineRule="auto"/>
              <w:ind w:left="429"/>
            </w:pPr>
            <w:r>
              <w:rPr>
                <w:spacing w:val="-3"/>
              </w:rPr>
              <w:t>水泥</w:t>
            </w:r>
          </w:p>
        </w:tc>
        <w:tc>
          <w:tcPr>
            <w:tcW w:w="3393" w:type="dxa"/>
            <w:tcBorders>
              <w:top w:val="single" w:color="000000" w:sz="6" w:space="0"/>
            </w:tcBorders>
            <w:vAlign w:val="top"/>
          </w:tcPr>
          <w:p w14:paraId="7A492D5D">
            <w:pPr>
              <w:pStyle w:val="9"/>
              <w:spacing w:before="64" w:line="221" w:lineRule="auto"/>
              <w:ind w:left="227"/>
            </w:pPr>
            <w:r>
              <w:rPr>
                <w:spacing w:val="-2"/>
              </w:rPr>
              <w:t>比表面积、安定性、强度、凝结时间</w:t>
            </w:r>
          </w:p>
        </w:tc>
        <w:tc>
          <w:tcPr>
            <w:tcW w:w="1453" w:type="dxa"/>
            <w:vMerge w:val="restart"/>
            <w:tcBorders>
              <w:top w:val="single" w:color="000000" w:sz="6" w:space="0"/>
              <w:bottom w:val="nil"/>
            </w:tcBorders>
            <w:vAlign w:val="top"/>
          </w:tcPr>
          <w:p w14:paraId="64DFAD62">
            <w:pPr>
              <w:spacing w:line="318" w:lineRule="auto"/>
              <w:rPr>
                <w:rFonts w:ascii="Arial"/>
                <w:sz w:val="21"/>
              </w:rPr>
            </w:pPr>
          </w:p>
          <w:p w14:paraId="01A21C20">
            <w:pPr>
              <w:spacing w:line="318" w:lineRule="auto"/>
              <w:rPr>
                <w:rFonts w:ascii="Arial"/>
                <w:sz w:val="21"/>
              </w:rPr>
            </w:pPr>
          </w:p>
          <w:p w14:paraId="654586E6">
            <w:pPr>
              <w:pStyle w:val="9"/>
              <w:spacing w:before="58" w:line="225" w:lineRule="auto"/>
              <w:ind w:left="778"/>
            </w:pPr>
            <w:r>
              <w:t>/</w:t>
            </w:r>
          </w:p>
        </w:tc>
        <w:tc>
          <w:tcPr>
            <w:tcW w:w="2258" w:type="dxa"/>
            <w:vMerge w:val="restart"/>
            <w:tcBorders>
              <w:top w:val="single" w:color="000000" w:sz="6" w:space="0"/>
              <w:bottom w:val="nil"/>
              <w:right w:val="single" w:color="000000" w:sz="6" w:space="0"/>
            </w:tcBorders>
            <w:vAlign w:val="top"/>
          </w:tcPr>
          <w:p w14:paraId="09F8BE76">
            <w:pPr>
              <w:spacing w:line="318" w:lineRule="auto"/>
              <w:rPr>
                <w:rFonts w:ascii="Arial"/>
                <w:sz w:val="21"/>
              </w:rPr>
            </w:pPr>
          </w:p>
          <w:p w14:paraId="70EF79BA">
            <w:pPr>
              <w:spacing w:line="318" w:lineRule="auto"/>
              <w:rPr>
                <w:rFonts w:ascii="Arial"/>
                <w:sz w:val="21"/>
              </w:rPr>
            </w:pPr>
          </w:p>
          <w:p w14:paraId="116E00B1">
            <w:pPr>
              <w:pStyle w:val="9"/>
              <w:spacing w:before="58" w:line="220" w:lineRule="auto"/>
              <w:ind w:left="147"/>
            </w:pPr>
            <w:r>
              <w:rPr>
                <w:spacing w:val="-1"/>
              </w:rPr>
              <w:t>必要时在拌和楼抽样检验</w:t>
            </w:r>
          </w:p>
        </w:tc>
      </w:tr>
      <w:tr w14:paraId="53B8B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9" w:hRule="atLeast"/>
        </w:trPr>
        <w:tc>
          <w:tcPr>
            <w:tcW w:w="642" w:type="dxa"/>
            <w:vMerge w:val="continue"/>
            <w:tcBorders>
              <w:top w:val="nil"/>
              <w:left w:val="single" w:color="000000" w:sz="6" w:space="0"/>
              <w:bottom w:val="nil"/>
            </w:tcBorders>
            <w:vAlign w:val="top"/>
          </w:tcPr>
          <w:p w14:paraId="02ED526D">
            <w:pPr>
              <w:rPr>
                <w:rFonts w:ascii="Arial"/>
                <w:sz w:val="21"/>
              </w:rPr>
            </w:pPr>
          </w:p>
        </w:tc>
        <w:tc>
          <w:tcPr>
            <w:tcW w:w="453" w:type="dxa"/>
            <w:vMerge w:val="continue"/>
            <w:tcBorders>
              <w:top w:val="nil"/>
            </w:tcBorders>
            <w:vAlign w:val="top"/>
          </w:tcPr>
          <w:p w14:paraId="6C44A89D">
            <w:pPr>
              <w:rPr>
                <w:rFonts w:ascii="Arial"/>
                <w:sz w:val="21"/>
              </w:rPr>
            </w:pPr>
          </w:p>
        </w:tc>
        <w:tc>
          <w:tcPr>
            <w:tcW w:w="1215" w:type="dxa"/>
            <w:vMerge w:val="continue"/>
            <w:tcBorders>
              <w:top w:val="nil"/>
            </w:tcBorders>
            <w:vAlign w:val="top"/>
          </w:tcPr>
          <w:p w14:paraId="795D4CD7">
            <w:pPr>
              <w:rPr>
                <w:rFonts w:ascii="Arial"/>
                <w:sz w:val="21"/>
              </w:rPr>
            </w:pPr>
          </w:p>
        </w:tc>
        <w:tc>
          <w:tcPr>
            <w:tcW w:w="3393" w:type="dxa"/>
            <w:vAlign w:val="top"/>
          </w:tcPr>
          <w:p w14:paraId="13E42043">
            <w:pPr>
              <w:pStyle w:val="9"/>
              <w:spacing w:before="79" w:line="294" w:lineRule="auto"/>
              <w:ind w:left="27" w:firstLine="179"/>
              <w:jc w:val="both"/>
            </w:pPr>
            <w:r>
              <w:rPr>
                <w:spacing w:val="-4"/>
              </w:rPr>
              <w:t>全面检验（标准稠度、凝结时间、密度、</w:t>
            </w:r>
            <w:r>
              <w:rPr>
                <w:spacing w:val="12"/>
              </w:rPr>
              <w:t xml:space="preserve"> </w:t>
            </w:r>
            <w:r>
              <w:rPr>
                <w:spacing w:val="-6"/>
              </w:rPr>
              <w:t>比表面积、安定性、强度、氧化镁、三氧化</w:t>
            </w:r>
            <w:r>
              <w:rPr>
                <w:spacing w:val="3"/>
              </w:rPr>
              <w:t xml:space="preserve"> </w:t>
            </w:r>
            <w:r>
              <w:rPr>
                <w:spacing w:val="-3"/>
              </w:rPr>
              <w:t>硫、碱含量、烧失量）</w:t>
            </w:r>
          </w:p>
        </w:tc>
        <w:tc>
          <w:tcPr>
            <w:tcW w:w="1453" w:type="dxa"/>
            <w:vMerge w:val="continue"/>
            <w:tcBorders>
              <w:top w:val="nil"/>
              <w:bottom w:val="nil"/>
            </w:tcBorders>
            <w:vAlign w:val="top"/>
          </w:tcPr>
          <w:p w14:paraId="6A92CE5F">
            <w:pPr>
              <w:rPr>
                <w:rFonts w:ascii="Arial"/>
                <w:sz w:val="21"/>
              </w:rPr>
            </w:pPr>
          </w:p>
        </w:tc>
        <w:tc>
          <w:tcPr>
            <w:tcW w:w="2258" w:type="dxa"/>
            <w:vMerge w:val="continue"/>
            <w:tcBorders>
              <w:top w:val="nil"/>
              <w:bottom w:val="nil"/>
              <w:right w:val="single" w:color="000000" w:sz="6" w:space="0"/>
            </w:tcBorders>
            <w:vAlign w:val="top"/>
          </w:tcPr>
          <w:p w14:paraId="796AE63F">
            <w:pPr>
              <w:rPr>
                <w:rFonts w:ascii="Arial"/>
                <w:sz w:val="21"/>
              </w:rPr>
            </w:pPr>
          </w:p>
        </w:tc>
      </w:tr>
      <w:tr w14:paraId="537FF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42" w:type="dxa"/>
            <w:vMerge w:val="continue"/>
            <w:tcBorders>
              <w:top w:val="nil"/>
              <w:left w:val="single" w:color="000000" w:sz="6" w:space="0"/>
              <w:bottom w:val="nil"/>
            </w:tcBorders>
            <w:vAlign w:val="top"/>
          </w:tcPr>
          <w:p w14:paraId="5878B554">
            <w:pPr>
              <w:rPr>
                <w:rFonts w:ascii="Arial"/>
                <w:sz w:val="21"/>
              </w:rPr>
            </w:pPr>
          </w:p>
        </w:tc>
        <w:tc>
          <w:tcPr>
            <w:tcW w:w="453" w:type="dxa"/>
            <w:vAlign w:val="top"/>
          </w:tcPr>
          <w:p w14:paraId="68FC1E3D">
            <w:pPr>
              <w:pStyle w:val="9"/>
              <w:spacing w:before="81" w:line="239" w:lineRule="auto"/>
              <w:ind w:left="181"/>
            </w:pPr>
            <w:r>
              <w:t>2</w:t>
            </w:r>
          </w:p>
        </w:tc>
        <w:tc>
          <w:tcPr>
            <w:tcW w:w="1215" w:type="dxa"/>
            <w:vAlign w:val="top"/>
          </w:tcPr>
          <w:p w14:paraId="19B058E7">
            <w:pPr>
              <w:pStyle w:val="9"/>
              <w:spacing w:before="82" w:line="220" w:lineRule="auto"/>
              <w:ind w:left="336"/>
            </w:pPr>
            <w:r>
              <w:rPr>
                <w:spacing w:val="-2"/>
              </w:rPr>
              <w:t>粉煤灰</w:t>
            </w:r>
          </w:p>
        </w:tc>
        <w:tc>
          <w:tcPr>
            <w:tcW w:w="3393" w:type="dxa"/>
            <w:vAlign w:val="top"/>
          </w:tcPr>
          <w:p w14:paraId="72CB04B2">
            <w:pPr>
              <w:pStyle w:val="9"/>
              <w:spacing w:before="81" w:line="220" w:lineRule="auto"/>
              <w:ind w:left="216"/>
            </w:pPr>
            <w:r>
              <w:rPr>
                <w:spacing w:val="-2"/>
              </w:rPr>
              <w:t>需水量比、细度、烧失量</w:t>
            </w:r>
          </w:p>
        </w:tc>
        <w:tc>
          <w:tcPr>
            <w:tcW w:w="1453" w:type="dxa"/>
            <w:vMerge w:val="continue"/>
            <w:tcBorders>
              <w:top w:val="nil"/>
            </w:tcBorders>
            <w:vAlign w:val="top"/>
          </w:tcPr>
          <w:p w14:paraId="16058DB0">
            <w:pPr>
              <w:rPr>
                <w:rFonts w:ascii="Arial"/>
                <w:sz w:val="21"/>
              </w:rPr>
            </w:pPr>
          </w:p>
        </w:tc>
        <w:tc>
          <w:tcPr>
            <w:tcW w:w="2258" w:type="dxa"/>
            <w:vMerge w:val="continue"/>
            <w:tcBorders>
              <w:top w:val="nil"/>
              <w:right w:val="single" w:color="000000" w:sz="6" w:space="0"/>
            </w:tcBorders>
            <w:vAlign w:val="top"/>
          </w:tcPr>
          <w:p w14:paraId="7EEAE8D9">
            <w:pPr>
              <w:rPr>
                <w:rFonts w:ascii="Arial"/>
                <w:sz w:val="21"/>
              </w:rPr>
            </w:pPr>
          </w:p>
        </w:tc>
      </w:tr>
      <w:tr w14:paraId="49220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42" w:type="dxa"/>
            <w:vMerge w:val="continue"/>
            <w:tcBorders>
              <w:top w:val="nil"/>
              <w:left w:val="single" w:color="000000" w:sz="6" w:space="0"/>
              <w:bottom w:val="nil"/>
            </w:tcBorders>
            <w:vAlign w:val="top"/>
          </w:tcPr>
          <w:p w14:paraId="61039783">
            <w:pPr>
              <w:rPr>
                <w:rFonts w:ascii="Arial"/>
                <w:sz w:val="21"/>
              </w:rPr>
            </w:pPr>
          </w:p>
        </w:tc>
        <w:tc>
          <w:tcPr>
            <w:tcW w:w="453" w:type="dxa"/>
            <w:vMerge w:val="restart"/>
            <w:tcBorders>
              <w:bottom w:val="nil"/>
            </w:tcBorders>
            <w:vAlign w:val="top"/>
          </w:tcPr>
          <w:p w14:paraId="0C4FA820">
            <w:pPr>
              <w:spacing w:line="327" w:lineRule="auto"/>
              <w:rPr>
                <w:rFonts w:ascii="Arial"/>
                <w:sz w:val="21"/>
              </w:rPr>
            </w:pPr>
          </w:p>
          <w:p w14:paraId="1266F023">
            <w:pPr>
              <w:spacing w:line="328" w:lineRule="auto"/>
              <w:rPr>
                <w:rFonts w:ascii="Arial"/>
                <w:sz w:val="21"/>
              </w:rPr>
            </w:pPr>
          </w:p>
          <w:p w14:paraId="3DA8F3A8">
            <w:pPr>
              <w:pStyle w:val="9"/>
              <w:spacing w:before="58"/>
              <w:ind w:left="183"/>
            </w:pPr>
            <w:r>
              <w:t>3</w:t>
            </w:r>
          </w:p>
        </w:tc>
        <w:tc>
          <w:tcPr>
            <w:tcW w:w="1215" w:type="dxa"/>
            <w:vMerge w:val="restart"/>
            <w:tcBorders>
              <w:bottom w:val="nil"/>
            </w:tcBorders>
            <w:vAlign w:val="top"/>
          </w:tcPr>
          <w:p w14:paraId="610F437C">
            <w:pPr>
              <w:spacing w:line="327" w:lineRule="auto"/>
              <w:rPr>
                <w:rFonts w:ascii="Arial"/>
                <w:sz w:val="21"/>
              </w:rPr>
            </w:pPr>
          </w:p>
          <w:p w14:paraId="693AEA00">
            <w:pPr>
              <w:spacing w:line="327" w:lineRule="auto"/>
              <w:rPr>
                <w:rFonts w:ascii="Arial"/>
                <w:sz w:val="21"/>
              </w:rPr>
            </w:pPr>
          </w:p>
          <w:p w14:paraId="52C731B5">
            <w:pPr>
              <w:pStyle w:val="9"/>
              <w:spacing w:before="59" w:line="220" w:lineRule="auto"/>
              <w:ind w:left="337"/>
            </w:pPr>
            <w:r>
              <w:rPr>
                <w:spacing w:val="-2"/>
              </w:rPr>
              <w:t>细骨料</w:t>
            </w:r>
          </w:p>
        </w:tc>
        <w:tc>
          <w:tcPr>
            <w:tcW w:w="3393" w:type="dxa"/>
            <w:vAlign w:val="top"/>
          </w:tcPr>
          <w:p w14:paraId="027820E4">
            <w:pPr>
              <w:pStyle w:val="9"/>
              <w:spacing w:before="83" w:line="220" w:lineRule="auto"/>
              <w:ind w:left="208"/>
            </w:pPr>
            <w:r>
              <w:rPr>
                <w:spacing w:val="-2"/>
              </w:rPr>
              <w:t>含水率</w:t>
            </w:r>
          </w:p>
        </w:tc>
        <w:tc>
          <w:tcPr>
            <w:tcW w:w="1453" w:type="dxa"/>
            <w:vAlign w:val="top"/>
          </w:tcPr>
          <w:p w14:paraId="5B58B7EF">
            <w:pPr>
              <w:pStyle w:val="9"/>
              <w:spacing w:before="83" w:line="220" w:lineRule="auto"/>
              <w:ind w:left="214"/>
            </w:pPr>
            <w:r>
              <w:rPr>
                <w:spacing w:val="-8"/>
              </w:rPr>
              <w:t>每</w:t>
            </w:r>
            <w:r>
              <w:rPr>
                <w:spacing w:val="-38"/>
              </w:rPr>
              <w:t xml:space="preserve"> </w:t>
            </w:r>
            <w:r>
              <w:rPr>
                <w:spacing w:val="-8"/>
              </w:rPr>
              <w:t>4</w:t>
            </w:r>
            <w:r>
              <w:rPr>
                <w:spacing w:val="-34"/>
              </w:rPr>
              <w:t xml:space="preserve"> </w:t>
            </w:r>
            <w:r>
              <w:rPr>
                <w:spacing w:val="-8"/>
              </w:rPr>
              <w:t>小时</w:t>
            </w:r>
            <w:r>
              <w:rPr>
                <w:spacing w:val="-24"/>
              </w:rPr>
              <w:t xml:space="preserve"> </w:t>
            </w:r>
            <w:r>
              <w:rPr>
                <w:spacing w:val="-8"/>
              </w:rPr>
              <w:t>1</w:t>
            </w:r>
            <w:r>
              <w:rPr>
                <w:spacing w:val="-34"/>
              </w:rPr>
              <w:t xml:space="preserve"> </w:t>
            </w:r>
            <w:r>
              <w:rPr>
                <w:spacing w:val="-8"/>
              </w:rPr>
              <w:t>次</w:t>
            </w:r>
          </w:p>
        </w:tc>
        <w:tc>
          <w:tcPr>
            <w:tcW w:w="2258" w:type="dxa"/>
            <w:vMerge w:val="restart"/>
            <w:tcBorders>
              <w:bottom w:val="nil"/>
              <w:right w:val="single" w:color="000000" w:sz="6" w:space="0"/>
            </w:tcBorders>
            <w:vAlign w:val="top"/>
          </w:tcPr>
          <w:p w14:paraId="587AEA23">
            <w:pPr>
              <w:spacing w:line="344" w:lineRule="auto"/>
              <w:rPr>
                <w:rFonts w:ascii="Arial"/>
                <w:sz w:val="21"/>
              </w:rPr>
            </w:pPr>
          </w:p>
          <w:p w14:paraId="23BD60A0">
            <w:pPr>
              <w:pStyle w:val="9"/>
              <w:spacing w:before="59" w:line="220" w:lineRule="auto"/>
              <w:ind w:left="216"/>
            </w:pPr>
            <w:r>
              <w:rPr>
                <w:spacing w:val="-5"/>
              </w:rPr>
              <w:t>a）在拌和楼抽样；</w:t>
            </w:r>
          </w:p>
          <w:p w14:paraId="69F70760">
            <w:pPr>
              <w:pStyle w:val="9"/>
              <w:spacing w:before="97" w:line="270" w:lineRule="auto"/>
              <w:ind w:left="36" w:right="21" w:firstLine="177"/>
            </w:pPr>
            <w:r>
              <w:rPr>
                <w:spacing w:val="-5"/>
              </w:rPr>
              <w:t>b）含水率在必要时应加密</w:t>
            </w:r>
            <w:r>
              <w:rPr>
                <w:spacing w:val="2"/>
              </w:rPr>
              <w:t xml:space="preserve"> </w:t>
            </w:r>
            <w:r>
              <w:rPr>
                <w:spacing w:val="-2"/>
              </w:rPr>
              <w:t>检测</w:t>
            </w:r>
          </w:p>
        </w:tc>
      </w:tr>
      <w:tr w14:paraId="3E314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42" w:type="dxa"/>
            <w:vMerge w:val="continue"/>
            <w:tcBorders>
              <w:top w:val="nil"/>
              <w:left w:val="single" w:color="000000" w:sz="6" w:space="0"/>
              <w:bottom w:val="nil"/>
            </w:tcBorders>
            <w:vAlign w:val="top"/>
          </w:tcPr>
          <w:p w14:paraId="1361CA89">
            <w:pPr>
              <w:rPr>
                <w:rFonts w:ascii="Arial"/>
                <w:sz w:val="21"/>
              </w:rPr>
            </w:pPr>
          </w:p>
        </w:tc>
        <w:tc>
          <w:tcPr>
            <w:tcW w:w="453" w:type="dxa"/>
            <w:vMerge w:val="continue"/>
            <w:tcBorders>
              <w:top w:val="nil"/>
              <w:bottom w:val="nil"/>
            </w:tcBorders>
            <w:vAlign w:val="top"/>
          </w:tcPr>
          <w:p w14:paraId="2C9DBEE9">
            <w:pPr>
              <w:rPr>
                <w:rFonts w:ascii="Arial"/>
                <w:sz w:val="21"/>
              </w:rPr>
            </w:pPr>
          </w:p>
        </w:tc>
        <w:tc>
          <w:tcPr>
            <w:tcW w:w="1215" w:type="dxa"/>
            <w:vMerge w:val="continue"/>
            <w:tcBorders>
              <w:top w:val="nil"/>
              <w:bottom w:val="nil"/>
            </w:tcBorders>
            <w:vAlign w:val="top"/>
          </w:tcPr>
          <w:p w14:paraId="5C9D6566">
            <w:pPr>
              <w:rPr>
                <w:rFonts w:ascii="Arial"/>
                <w:sz w:val="21"/>
              </w:rPr>
            </w:pPr>
          </w:p>
        </w:tc>
        <w:tc>
          <w:tcPr>
            <w:tcW w:w="3393" w:type="dxa"/>
            <w:vAlign w:val="top"/>
          </w:tcPr>
          <w:p w14:paraId="0612DF31">
            <w:pPr>
              <w:pStyle w:val="9"/>
              <w:spacing w:before="85" w:line="220" w:lineRule="auto"/>
              <w:ind w:left="208"/>
            </w:pPr>
            <w:r>
              <w:rPr>
                <w:spacing w:val="-1"/>
              </w:rPr>
              <w:t>细度模数、石粉含量、含泥量</w:t>
            </w:r>
          </w:p>
        </w:tc>
        <w:tc>
          <w:tcPr>
            <w:tcW w:w="1453" w:type="dxa"/>
            <w:vAlign w:val="top"/>
          </w:tcPr>
          <w:p w14:paraId="255C4AA0">
            <w:pPr>
              <w:pStyle w:val="9"/>
              <w:spacing w:before="85" w:line="220" w:lineRule="auto"/>
              <w:ind w:left="214"/>
            </w:pPr>
            <w:r>
              <w:rPr>
                <w:spacing w:val="-7"/>
              </w:rPr>
              <w:t>每天</w:t>
            </w:r>
            <w:r>
              <w:rPr>
                <w:spacing w:val="-26"/>
              </w:rPr>
              <w:t xml:space="preserve"> </w:t>
            </w:r>
            <w:r>
              <w:rPr>
                <w:spacing w:val="-7"/>
              </w:rPr>
              <w:t>1</w:t>
            </w:r>
            <w:r>
              <w:rPr>
                <w:spacing w:val="-34"/>
              </w:rPr>
              <w:t xml:space="preserve"> </w:t>
            </w:r>
            <w:r>
              <w:rPr>
                <w:spacing w:val="-7"/>
              </w:rPr>
              <w:t>次</w:t>
            </w:r>
          </w:p>
        </w:tc>
        <w:tc>
          <w:tcPr>
            <w:tcW w:w="2258" w:type="dxa"/>
            <w:vMerge w:val="continue"/>
            <w:tcBorders>
              <w:top w:val="nil"/>
              <w:bottom w:val="nil"/>
              <w:right w:val="single" w:color="000000" w:sz="6" w:space="0"/>
            </w:tcBorders>
            <w:vAlign w:val="top"/>
          </w:tcPr>
          <w:p w14:paraId="44D971FB">
            <w:pPr>
              <w:rPr>
                <w:rFonts w:ascii="Arial"/>
                <w:sz w:val="21"/>
              </w:rPr>
            </w:pPr>
          </w:p>
        </w:tc>
      </w:tr>
      <w:tr w14:paraId="579BD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8" w:hRule="atLeast"/>
        </w:trPr>
        <w:tc>
          <w:tcPr>
            <w:tcW w:w="642" w:type="dxa"/>
            <w:vMerge w:val="continue"/>
            <w:tcBorders>
              <w:top w:val="nil"/>
              <w:left w:val="single" w:color="000000" w:sz="6" w:space="0"/>
              <w:bottom w:val="nil"/>
            </w:tcBorders>
            <w:vAlign w:val="top"/>
          </w:tcPr>
          <w:p w14:paraId="70717112">
            <w:pPr>
              <w:rPr>
                <w:rFonts w:ascii="Arial"/>
                <w:sz w:val="21"/>
              </w:rPr>
            </w:pPr>
          </w:p>
        </w:tc>
        <w:tc>
          <w:tcPr>
            <w:tcW w:w="453" w:type="dxa"/>
            <w:vMerge w:val="continue"/>
            <w:tcBorders>
              <w:top w:val="nil"/>
            </w:tcBorders>
            <w:vAlign w:val="top"/>
          </w:tcPr>
          <w:p w14:paraId="47B91FA1">
            <w:pPr>
              <w:rPr>
                <w:rFonts w:ascii="Arial"/>
                <w:sz w:val="21"/>
              </w:rPr>
            </w:pPr>
          </w:p>
        </w:tc>
        <w:tc>
          <w:tcPr>
            <w:tcW w:w="1215" w:type="dxa"/>
            <w:vMerge w:val="continue"/>
            <w:tcBorders>
              <w:top w:val="nil"/>
            </w:tcBorders>
            <w:vAlign w:val="top"/>
          </w:tcPr>
          <w:p w14:paraId="7CB9CC0B">
            <w:pPr>
              <w:rPr>
                <w:rFonts w:ascii="Arial"/>
                <w:sz w:val="21"/>
              </w:rPr>
            </w:pPr>
          </w:p>
        </w:tc>
        <w:tc>
          <w:tcPr>
            <w:tcW w:w="3393" w:type="dxa"/>
            <w:vAlign w:val="top"/>
          </w:tcPr>
          <w:p w14:paraId="215D4327">
            <w:pPr>
              <w:pStyle w:val="9"/>
              <w:spacing w:before="86" w:line="291" w:lineRule="auto"/>
              <w:ind w:left="27" w:firstLine="179"/>
              <w:jc w:val="both"/>
            </w:pPr>
            <w:r>
              <w:rPr>
                <w:spacing w:val="-13"/>
              </w:rPr>
              <w:t>细度模数、石粉含量、含泥量、泥块含量、</w:t>
            </w:r>
            <w:r>
              <w:rPr>
                <w:spacing w:val="7"/>
              </w:rPr>
              <w:t xml:space="preserve"> </w:t>
            </w:r>
            <w:r>
              <w:rPr>
                <w:spacing w:val="-12"/>
              </w:rPr>
              <w:t>云母含量、表观密度、有机质含量、坚固性、</w:t>
            </w:r>
            <w:r>
              <w:t xml:space="preserve"> </w:t>
            </w:r>
            <w:r>
              <w:rPr>
                <w:spacing w:val="-3"/>
              </w:rPr>
              <w:t>硫化物及硫酸盐含量、轻物质含量</w:t>
            </w:r>
          </w:p>
        </w:tc>
        <w:tc>
          <w:tcPr>
            <w:tcW w:w="1453" w:type="dxa"/>
            <w:vAlign w:val="top"/>
          </w:tcPr>
          <w:p w14:paraId="7522970A">
            <w:pPr>
              <w:spacing w:line="338" w:lineRule="auto"/>
              <w:rPr>
                <w:rFonts w:ascii="Arial"/>
                <w:sz w:val="21"/>
              </w:rPr>
            </w:pPr>
          </w:p>
          <w:p w14:paraId="3573760D">
            <w:pPr>
              <w:pStyle w:val="9"/>
              <w:spacing w:before="58" w:line="220" w:lineRule="auto"/>
              <w:ind w:left="214"/>
            </w:pPr>
            <w:r>
              <w:rPr>
                <w:spacing w:val="-7"/>
              </w:rPr>
              <w:t>每月</w:t>
            </w:r>
            <w:r>
              <w:rPr>
                <w:spacing w:val="-26"/>
              </w:rPr>
              <w:t xml:space="preserve"> </w:t>
            </w:r>
            <w:r>
              <w:rPr>
                <w:spacing w:val="-7"/>
              </w:rPr>
              <w:t>1</w:t>
            </w:r>
            <w:r>
              <w:rPr>
                <w:spacing w:val="-34"/>
              </w:rPr>
              <w:t xml:space="preserve"> </w:t>
            </w:r>
            <w:r>
              <w:rPr>
                <w:spacing w:val="-7"/>
              </w:rPr>
              <w:t>次</w:t>
            </w:r>
          </w:p>
        </w:tc>
        <w:tc>
          <w:tcPr>
            <w:tcW w:w="2258" w:type="dxa"/>
            <w:vMerge w:val="continue"/>
            <w:tcBorders>
              <w:top w:val="nil"/>
              <w:right w:val="single" w:color="000000" w:sz="6" w:space="0"/>
            </w:tcBorders>
            <w:vAlign w:val="top"/>
          </w:tcPr>
          <w:p w14:paraId="7C86BD41">
            <w:pPr>
              <w:rPr>
                <w:rFonts w:ascii="Arial"/>
                <w:sz w:val="21"/>
              </w:rPr>
            </w:pPr>
          </w:p>
        </w:tc>
      </w:tr>
      <w:tr w14:paraId="765F7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42" w:type="dxa"/>
            <w:vMerge w:val="continue"/>
            <w:tcBorders>
              <w:top w:val="nil"/>
              <w:left w:val="single" w:color="000000" w:sz="6" w:space="0"/>
              <w:bottom w:val="nil"/>
            </w:tcBorders>
            <w:vAlign w:val="top"/>
          </w:tcPr>
          <w:p w14:paraId="7B460DF4">
            <w:pPr>
              <w:rPr>
                <w:rFonts w:ascii="Arial"/>
                <w:sz w:val="21"/>
              </w:rPr>
            </w:pPr>
          </w:p>
        </w:tc>
        <w:tc>
          <w:tcPr>
            <w:tcW w:w="453" w:type="dxa"/>
            <w:vMerge w:val="restart"/>
            <w:tcBorders>
              <w:bottom w:val="nil"/>
            </w:tcBorders>
            <w:vAlign w:val="top"/>
          </w:tcPr>
          <w:p w14:paraId="1B1B52B9">
            <w:pPr>
              <w:spacing w:line="319" w:lineRule="auto"/>
              <w:rPr>
                <w:rFonts w:ascii="Arial"/>
                <w:sz w:val="21"/>
              </w:rPr>
            </w:pPr>
          </w:p>
          <w:p w14:paraId="5C8D19DD">
            <w:pPr>
              <w:spacing w:line="320" w:lineRule="auto"/>
              <w:rPr>
                <w:rFonts w:ascii="Arial"/>
                <w:sz w:val="21"/>
              </w:rPr>
            </w:pPr>
          </w:p>
          <w:p w14:paraId="1937DB46">
            <w:pPr>
              <w:pStyle w:val="9"/>
              <w:spacing w:before="58" w:line="242" w:lineRule="auto"/>
              <w:ind w:left="178"/>
            </w:pPr>
            <w:r>
              <w:t>4</w:t>
            </w:r>
          </w:p>
        </w:tc>
        <w:tc>
          <w:tcPr>
            <w:tcW w:w="1215" w:type="dxa"/>
            <w:vMerge w:val="restart"/>
            <w:tcBorders>
              <w:bottom w:val="nil"/>
            </w:tcBorders>
            <w:vAlign w:val="top"/>
          </w:tcPr>
          <w:p w14:paraId="3A083895">
            <w:pPr>
              <w:spacing w:line="319" w:lineRule="auto"/>
              <w:rPr>
                <w:rFonts w:ascii="Arial"/>
                <w:sz w:val="21"/>
              </w:rPr>
            </w:pPr>
          </w:p>
          <w:p w14:paraId="1C69EC46">
            <w:pPr>
              <w:spacing w:line="320" w:lineRule="auto"/>
              <w:rPr>
                <w:rFonts w:ascii="Arial"/>
                <w:sz w:val="21"/>
              </w:rPr>
            </w:pPr>
          </w:p>
          <w:p w14:paraId="3343734F">
            <w:pPr>
              <w:pStyle w:val="9"/>
              <w:spacing w:before="59" w:line="220" w:lineRule="auto"/>
              <w:ind w:left="337"/>
            </w:pPr>
            <w:r>
              <w:rPr>
                <w:spacing w:val="-2"/>
              </w:rPr>
              <w:t>粗骨料</w:t>
            </w:r>
          </w:p>
        </w:tc>
        <w:tc>
          <w:tcPr>
            <w:tcW w:w="3393" w:type="dxa"/>
            <w:vAlign w:val="top"/>
          </w:tcPr>
          <w:p w14:paraId="1E5364C3">
            <w:pPr>
              <w:pStyle w:val="9"/>
              <w:spacing w:before="134" w:line="220" w:lineRule="auto"/>
              <w:ind w:left="213"/>
            </w:pPr>
            <w:r>
              <w:rPr>
                <w:spacing w:val="-2"/>
              </w:rPr>
              <w:t>小石含水率</w:t>
            </w:r>
          </w:p>
        </w:tc>
        <w:tc>
          <w:tcPr>
            <w:tcW w:w="1453" w:type="dxa"/>
            <w:vAlign w:val="top"/>
          </w:tcPr>
          <w:p w14:paraId="7719BD1D">
            <w:pPr>
              <w:pStyle w:val="9"/>
              <w:spacing w:before="134" w:line="220" w:lineRule="auto"/>
              <w:ind w:left="214"/>
            </w:pPr>
            <w:r>
              <w:rPr>
                <w:spacing w:val="-8"/>
              </w:rPr>
              <w:t>每</w:t>
            </w:r>
            <w:r>
              <w:rPr>
                <w:spacing w:val="-38"/>
              </w:rPr>
              <w:t xml:space="preserve"> </w:t>
            </w:r>
            <w:r>
              <w:rPr>
                <w:spacing w:val="-8"/>
              </w:rPr>
              <w:t>4</w:t>
            </w:r>
            <w:r>
              <w:rPr>
                <w:spacing w:val="-34"/>
              </w:rPr>
              <w:t xml:space="preserve"> </w:t>
            </w:r>
            <w:r>
              <w:rPr>
                <w:spacing w:val="-8"/>
              </w:rPr>
              <w:t>小时</w:t>
            </w:r>
            <w:r>
              <w:rPr>
                <w:spacing w:val="-24"/>
              </w:rPr>
              <w:t xml:space="preserve"> </w:t>
            </w:r>
            <w:r>
              <w:rPr>
                <w:spacing w:val="-8"/>
              </w:rPr>
              <w:t>1</w:t>
            </w:r>
            <w:r>
              <w:rPr>
                <w:spacing w:val="-34"/>
              </w:rPr>
              <w:t xml:space="preserve"> </w:t>
            </w:r>
            <w:r>
              <w:rPr>
                <w:spacing w:val="-8"/>
              </w:rPr>
              <w:t>次</w:t>
            </w:r>
          </w:p>
        </w:tc>
        <w:tc>
          <w:tcPr>
            <w:tcW w:w="2258" w:type="dxa"/>
            <w:vMerge w:val="restart"/>
            <w:tcBorders>
              <w:bottom w:val="nil"/>
              <w:right w:val="single" w:color="000000" w:sz="6" w:space="0"/>
            </w:tcBorders>
            <w:vAlign w:val="top"/>
          </w:tcPr>
          <w:p w14:paraId="0D4EADB5">
            <w:pPr>
              <w:pStyle w:val="9"/>
              <w:spacing w:before="88" w:line="220" w:lineRule="auto"/>
              <w:ind w:left="216"/>
            </w:pPr>
            <w:r>
              <w:rPr>
                <w:spacing w:val="-1"/>
              </w:rPr>
              <w:t>a）在拌和楼抽样</w:t>
            </w:r>
          </w:p>
          <w:p w14:paraId="3228A9E7">
            <w:pPr>
              <w:pStyle w:val="9"/>
              <w:spacing w:before="97" w:line="295" w:lineRule="auto"/>
              <w:ind w:left="36" w:right="20" w:firstLine="176"/>
            </w:pPr>
            <w:r>
              <w:rPr>
                <w:spacing w:val="-5"/>
              </w:rPr>
              <w:t>b）拌和楼有二次筛分装置</w:t>
            </w:r>
            <w:r>
              <w:rPr>
                <w:spacing w:val="2"/>
              </w:rPr>
              <w:t xml:space="preserve"> 的应在二次筛分后抽样。小</w:t>
            </w:r>
            <w:r>
              <w:rPr>
                <w:spacing w:val="5"/>
              </w:rPr>
              <w:t xml:space="preserve"> </w:t>
            </w:r>
            <w:r>
              <w:rPr>
                <w:spacing w:val="2"/>
              </w:rPr>
              <w:t>石含水率在雨雪后等特殊情</w:t>
            </w:r>
            <w:r>
              <w:rPr>
                <w:spacing w:val="5"/>
              </w:rPr>
              <w:t xml:space="preserve"> </w:t>
            </w:r>
            <w:r>
              <w:rPr>
                <w:spacing w:val="-2"/>
              </w:rPr>
              <w:t>况应加密检测</w:t>
            </w:r>
          </w:p>
        </w:tc>
      </w:tr>
      <w:tr w14:paraId="43A27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3" w:hRule="atLeast"/>
        </w:trPr>
        <w:tc>
          <w:tcPr>
            <w:tcW w:w="642" w:type="dxa"/>
            <w:vMerge w:val="continue"/>
            <w:tcBorders>
              <w:top w:val="nil"/>
              <w:left w:val="single" w:color="000000" w:sz="6" w:space="0"/>
              <w:bottom w:val="single" w:color="000000" w:sz="6" w:space="0"/>
            </w:tcBorders>
            <w:vAlign w:val="top"/>
          </w:tcPr>
          <w:p w14:paraId="6010BA88">
            <w:pPr>
              <w:rPr>
                <w:rFonts w:ascii="Arial"/>
                <w:sz w:val="21"/>
              </w:rPr>
            </w:pPr>
          </w:p>
        </w:tc>
        <w:tc>
          <w:tcPr>
            <w:tcW w:w="453" w:type="dxa"/>
            <w:vMerge w:val="continue"/>
            <w:tcBorders>
              <w:top w:val="nil"/>
              <w:bottom w:val="single" w:color="000000" w:sz="6" w:space="0"/>
            </w:tcBorders>
            <w:vAlign w:val="top"/>
          </w:tcPr>
          <w:p w14:paraId="347D2E3B">
            <w:pPr>
              <w:rPr>
                <w:rFonts w:ascii="Arial"/>
                <w:sz w:val="21"/>
              </w:rPr>
            </w:pPr>
          </w:p>
        </w:tc>
        <w:tc>
          <w:tcPr>
            <w:tcW w:w="1215" w:type="dxa"/>
            <w:vMerge w:val="continue"/>
            <w:tcBorders>
              <w:top w:val="nil"/>
              <w:bottom w:val="single" w:color="000000" w:sz="6" w:space="0"/>
            </w:tcBorders>
            <w:vAlign w:val="top"/>
          </w:tcPr>
          <w:p w14:paraId="55374603">
            <w:pPr>
              <w:rPr>
                <w:rFonts w:ascii="Arial"/>
                <w:sz w:val="21"/>
              </w:rPr>
            </w:pPr>
          </w:p>
        </w:tc>
        <w:tc>
          <w:tcPr>
            <w:tcW w:w="3393" w:type="dxa"/>
            <w:tcBorders>
              <w:bottom w:val="single" w:color="000000" w:sz="6" w:space="0"/>
            </w:tcBorders>
            <w:vAlign w:val="top"/>
          </w:tcPr>
          <w:p w14:paraId="70EA5612">
            <w:pPr>
              <w:spacing w:line="284" w:lineRule="auto"/>
              <w:rPr>
                <w:rFonts w:ascii="Arial"/>
                <w:sz w:val="21"/>
              </w:rPr>
            </w:pPr>
          </w:p>
          <w:p w14:paraId="229A875E">
            <w:pPr>
              <w:pStyle w:val="9"/>
              <w:spacing w:before="59" w:line="323" w:lineRule="auto"/>
              <w:ind w:left="29" w:right="22" w:firstLine="177"/>
            </w:pPr>
            <w:r>
              <w:rPr>
                <w:spacing w:val="-5"/>
              </w:rPr>
              <w:t>超径含量、逊径含量、中径筛筛余量、含</w:t>
            </w:r>
            <w:r>
              <w:rPr>
                <w:spacing w:val="7"/>
              </w:rPr>
              <w:t xml:space="preserve"> </w:t>
            </w:r>
            <w:r>
              <w:rPr>
                <w:spacing w:val="-3"/>
              </w:rPr>
              <w:t>泥量</w:t>
            </w:r>
          </w:p>
        </w:tc>
        <w:tc>
          <w:tcPr>
            <w:tcW w:w="1453" w:type="dxa"/>
            <w:tcBorders>
              <w:bottom w:val="single" w:color="000000" w:sz="6" w:space="0"/>
            </w:tcBorders>
            <w:vAlign w:val="top"/>
          </w:tcPr>
          <w:p w14:paraId="2D4B3063">
            <w:pPr>
              <w:spacing w:line="439" w:lineRule="auto"/>
              <w:rPr>
                <w:rFonts w:ascii="Arial"/>
                <w:sz w:val="21"/>
              </w:rPr>
            </w:pPr>
          </w:p>
          <w:p w14:paraId="72C85A11">
            <w:pPr>
              <w:pStyle w:val="9"/>
              <w:spacing w:before="59" w:line="220" w:lineRule="auto"/>
              <w:ind w:left="214"/>
            </w:pPr>
            <w:r>
              <w:rPr>
                <w:spacing w:val="-8"/>
              </w:rPr>
              <w:t>每</w:t>
            </w:r>
            <w:r>
              <w:rPr>
                <w:spacing w:val="-38"/>
              </w:rPr>
              <w:t xml:space="preserve"> </w:t>
            </w:r>
            <w:r>
              <w:rPr>
                <w:spacing w:val="-8"/>
              </w:rPr>
              <w:t>8</w:t>
            </w:r>
            <w:r>
              <w:rPr>
                <w:spacing w:val="-34"/>
              </w:rPr>
              <w:t xml:space="preserve"> </w:t>
            </w:r>
            <w:r>
              <w:rPr>
                <w:spacing w:val="-8"/>
              </w:rPr>
              <w:t>小时</w:t>
            </w:r>
            <w:r>
              <w:rPr>
                <w:spacing w:val="-24"/>
              </w:rPr>
              <w:t xml:space="preserve"> </w:t>
            </w:r>
            <w:r>
              <w:rPr>
                <w:spacing w:val="-8"/>
              </w:rPr>
              <w:t>1</w:t>
            </w:r>
            <w:r>
              <w:rPr>
                <w:spacing w:val="-34"/>
              </w:rPr>
              <w:t xml:space="preserve"> </w:t>
            </w:r>
            <w:r>
              <w:rPr>
                <w:spacing w:val="-8"/>
              </w:rPr>
              <w:t>次</w:t>
            </w:r>
          </w:p>
        </w:tc>
        <w:tc>
          <w:tcPr>
            <w:tcW w:w="2258" w:type="dxa"/>
            <w:vMerge w:val="continue"/>
            <w:tcBorders>
              <w:top w:val="nil"/>
              <w:bottom w:val="single" w:color="000000" w:sz="6" w:space="0"/>
              <w:right w:val="single" w:color="000000" w:sz="6" w:space="0"/>
            </w:tcBorders>
            <w:vAlign w:val="top"/>
          </w:tcPr>
          <w:p w14:paraId="19A429F9">
            <w:pPr>
              <w:rPr>
                <w:rFonts w:ascii="Arial"/>
                <w:sz w:val="21"/>
              </w:rPr>
            </w:pPr>
          </w:p>
        </w:tc>
      </w:tr>
    </w:tbl>
    <w:p w14:paraId="6D6E5DD8">
      <w:pPr>
        <w:pStyle w:val="2"/>
      </w:pPr>
    </w:p>
    <w:p w14:paraId="3A886EEB">
      <w:pPr>
        <w:sectPr>
          <w:headerReference r:id="rId8" w:type="default"/>
          <w:footerReference r:id="rId9" w:type="default"/>
          <w:pgSz w:w="11905" w:h="16840"/>
          <w:pgMar w:top="1717" w:right="1056" w:bottom="1344" w:left="1380" w:header="1394" w:footer="1108" w:gutter="0"/>
          <w:pgNumType w:fmt="decimal"/>
          <w:cols w:space="720" w:num="1"/>
        </w:sectPr>
      </w:pPr>
    </w:p>
    <w:p w14:paraId="63DD5ECC">
      <w:pPr>
        <w:spacing w:before="243" w:line="223" w:lineRule="auto"/>
        <w:ind w:left="4307"/>
        <w:rPr>
          <w:rFonts w:ascii="宋体" w:hAnsi="宋体" w:eastAsia="宋体" w:cs="宋体"/>
          <w:sz w:val="21"/>
          <w:szCs w:val="21"/>
        </w:rPr>
      </w:pPr>
      <w:bookmarkStart w:id="12" w:name="bookmark10"/>
      <w:bookmarkEnd w:id="12"/>
      <w:r>
        <w:rPr>
          <w:rFonts w:ascii="黑体" w:hAnsi="黑体" w:eastAsia="黑体" w:cs="黑体"/>
          <w:spacing w:val="-8"/>
          <w:sz w:val="21"/>
          <w:szCs w:val="21"/>
        </w:rPr>
        <w:t>表</w:t>
      </w:r>
      <w:r>
        <w:rPr>
          <w:rFonts w:ascii="黑体" w:hAnsi="黑体" w:eastAsia="黑体" w:cs="黑体"/>
          <w:spacing w:val="-34"/>
          <w:sz w:val="21"/>
          <w:szCs w:val="21"/>
        </w:rPr>
        <w:t xml:space="preserve"> </w:t>
      </w:r>
      <w:r>
        <w:rPr>
          <w:rFonts w:ascii="黑体" w:hAnsi="黑体" w:eastAsia="黑体" w:cs="黑体"/>
          <w:spacing w:val="-8"/>
          <w:sz w:val="21"/>
          <w:szCs w:val="21"/>
        </w:rPr>
        <w:t>1</w:t>
      </w:r>
      <w:r>
        <w:rPr>
          <w:rFonts w:ascii="宋体" w:hAnsi="宋体" w:eastAsia="宋体" w:cs="宋体"/>
          <w:spacing w:val="-8"/>
          <w:sz w:val="21"/>
          <w:szCs w:val="21"/>
        </w:rPr>
        <w:t>（续）</w:t>
      </w:r>
    </w:p>
    <w:p w14:paraId="7D1D5E93">
      <w:pPr>
        <w:spacing w:line="164" w:lineRule="exact"/>
      </w:pPr>
    </w:p>
    <w:tbl>
      <w:tblPr>
        <w:tblStyle w:val="8"/>
        <w:tblW w:w="9414" w:type="dxa"/>
        <w:tblInd w:w="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2"/>
        <w:gridCol w:w="453"/>
        <w:gridCol w:w="1215"/>
        <w:gridCol w:w="3393"/>
        <w:gridCol w:w="1270"/>
        <w:gridCol w:w="2441"/>
      </w:tblGrid>
      <w:tr w14:paraId="72CC1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642" w:type="dxa"/>
            <w:vMerge w:val="restart"/>
            <w:tcBorders>
              <w:top w:val="single" w:color="000000" w:sz="6" w:space="0"/>
              <w:left w:val="single" w:color="000000" w:sz="6" w:space="0"/>
              <w:bottom w:val="nil"/>
            </w:tcBorders>
            <w:vAlign w:val="top"/>
          </w:tcPr>
          <w:p w14:paraId="2F00F5C5">
            <w:pPr>
              <w:spacing w:line="246" w:lineRule="auto"/>
              <w:rPr>
                <w:rFonts w:ascii="Arial"/>
                <w:sz w:val="21"/>
              </w:rPr>
            </w:pPr>
          </w:p>
          <w:p w14:paraId="6214ABA6">
            <w:pPr>
              <w:pStyle w:val="9"/>
              <w:spacing w:before="58" w:line="222" w:lineRule="auto"/>
              <w:ind w:left="140"/>
            </w:pPr>
            <w:r>
              <w:rPr>
                <w:spacing w:val="-3"/>
              </w:rPr>
              <w:t>工序</w:t>
            </w:r>
          </w:p>
        </w:tc>
        <w:tc>
          <w:tcPr>
            <w:tcW w:w="1668" w:type="dxa"/>
            <w:gridSpan w:val="2"/>
            <w:tcBorders>
              <w:top w:val="single" w:color="000000" w:sz="6" w:space="0"/>
            </w:tcBorders>
            <w:vAlign w:val="top"/>
          </w:tcPr>
          <w:p w14:paraId="0E538689">
            <w:pPr>
              <w:pStyle w:val="9"/>
              <w:spacing w:before="113" w:line="221" w:lineRule="auto"/>
              <w:ind w:left="561"/>
            </w:pPr>
            <w:r>
              <w:rPr>
                <w:spacing w:val="-2"/>
              </w:rPr>
              <w:t>控制点</w:t>
            </w:r>
          </w:p>
        </w:tc>
        <w:tc>
          <w:tcPr>
            <w:tcW w:w="3393" w:type="dxa"/>
            <w:vMerge w:val="restart"/>
            <w:tcBorders>
              <w:top w:val="single" w:color="000000" w:sz="6" w:space="0"/>
              <w:bottom w:val="nil"/>
            </w:tcBorders>
            <w:vAlign w:val="top"/>
          </w:tcPr>
          <w:p w14:paraId="588F5EE8">
            <w:pPr>
              <w:spacing w:line="247" w:lineRule="auto"/>
              <w:rPr>
                <w:rFonts w:ascii="Arial"/>
                <w:sz w:val="21"/>
              </w:rPr>
            </w:pPr>
          </w:p>
          <w:p w14:paraId="6BCE51CB">
            <w:pPr>
              <w:pStyle w:val="9"/>
              <w:spacing w:before="58" w:line="220" w:lineRule="auto"/>
              <w:ind w:left="1339"/>
            </w:pPr>
            <w:r>
              <w:rPr>
                <w:spacing w:val="-2"/>
              </w:rPr>
              <w:t>检验内容</w:t>
            </w:r>
          </w:p>
        </w:tc>
        <w:tc>
          <w:tcPr>
            <w:tcW w:w="1270" w:type="dxa"/>
            <w:vMerge w:val="restart"/>
            <w:tcBorders>
              <w:top w:val="single" w:color="000000" w:sz="6" w:space="0"/>
              <w:bottom w:val="nil"/>
            </w:tcBorders>
            <w:vAlign w:val="top"/>
          </w:tcPr>
          <w:p w14:paraId="207DC245">
            <w:pPr>
              <w:spacing w:line="247" w:lineRule="auto"/>
              <w:rPr>
                <w:rFonts w:ascii="Arial"/>
                <w:sz w:val="21"/>
              </w:rPr>
            </w:pPr>
          </w:p>
          <w:p w14:paraId="1FF45FA5">
            <w:pPr>
              <w:pStyle w:val="9"/>
              <w:spacing w:before="58" w:line="220" w:lineRule="auto"/>
              <w:ind w:left="282"/>
            </w:pPr>
            <w:r>
              <w:rPr>
                <w:spacing w:val="-2"/>
              </w:rPr>
              <w:t>检测频率</w:t>
            </w:r>
          </w:p>
        </w:tc>
        <w:tc>
          <w:tcPr>
            <w:tcW w:w="2441" w:type="dxa"/>
            <w:vMerge w:val="restart"/>
            <w:tcBorders>
              <w:top w:val="single" w:color="000000" w:sz="6" w:space="0"/>
              <w:bottom w:val="nil"/>
              <w:right w:val="single" w:color="000000" w:sz="6" w:space="0"/>
            </w:tcBorders>
            <w:vAlign w:val="top"/>
          </w:tcPr>
          <w:p w14:paraId="470F731F">
            <w:pPr>
              <w:spacing w:line="247" w:lineRule="auto"/>
              <w:rPr>
                <w:rFonts w:ascii="Arial"/>
                <w:sz w:val="21"/>
              </w:rPr>
            </w:pPr>
          </w:p>
          <w:p w14:paraId="480DF92B">
            <w:pPr>
              <w:pStyle w:val="9"/>
              <w:spacing w:before="58" w:line="220" w:lineRule="auto"/>
              <w:ind w:left="956"/>
            </w:pPr>
            <w:r>
              <w:rPr>
                <w:spacing w:val="-2"/>
              </w:rPr>
              <w:t>检测要求</w:t>
            </w:r>
          </w:p>
        </w:tc>
      </w:tr>
      <w:tr w14:paraId="0DA24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642" w:type="dxa"/>
            <w:vMerge w:val="continue"/>
            <w:tcBorders>
              <w:top w:val="nil"/>
              <w:left w:val="single" w:color="000000" w:sz="6" w:space="0"/>
              <w:bottom w:val="single" w:color="000000" w:sz="6" w:space="0"/>
            </w:tcBorders>
            <w:vAlign w:val="top"/>
          </w:tcPr>
          <w:p w14:paraId="17F7ACB3">
            <w:pPr>
              <w:rPr>
                <w:rFonts w:ascii="Arial"/>
                <w:sz w:val="21"/>
              </w:rPr>
            </w:pPr>
          </w:p>
        </w:tc>
        <w:tc>
          <w:tcPr>
            <w:tcW w:w="453" w:type="dxa"/>
            <w:tcBorders>
              <w:bottom w:val="single" w:color="000000" w:sz="6" w:space="0"/>
            </w:tcBorders>
            <w:vAlign w:val="top"/>
          </w:tcPr>
          <w:p w14:paraId="19F8AE43">
            <w:pPr>
              <w:pStyle w:val="9"/>
              <w:spacing w:before="66" w:line="222" w:lineRule="auto"/>
              <w:ind w:left="44"/>
            </w:pPr>
            <w:r>
              <w:rPr>
                <w:spacing w:val="-2"/>
              </w:rPr>
              <w:t>序号</w:t>
            </w:r>
          </w:p>
        </w:tc>
        <w:tc>
          <w:tcPr>
            <w:tcW w:w="1215" w:type="dxa"/>
            <w:tcBorders>
              <w:bottom w:val="single" w:color="000000" w:sz="6" w:space="0"/>
            </w:tcBorders>
            <w:vAlign w:val="top"/>
          </w:tcPr>
          <w:p w14:paraId="07FF95F3">
            <w:pPr>
              <w:pStyle w:val="9"/>
              <w:spacing w:before="67" w:line="222" w:lineRule="auto"/>
              <w:ind w:left="429"/>
            </w:pPr>
            <w:r>
              <w:rPr>
                <w:spacing w:val="-3"/>
              </w:rPr>
              <w:t>名称</w:t>
            </w:r>
          </w:p>
        </w:tc>
        <w:tc>
          <w:tcPr>
            <w:tcW w:w="3393" w:type="dxa"/>
            <w:vMerge w:val="continue"/>
            <w:tcBorders>
              <w:top w:val="nil"/>
              <w:bottom w:val="single" w:color="000000" w:sz="6" w:space="0"/>
            </w:tcBorders>
            <w:vAlign w:val="top"/>
          </w:tcPr>
          <w:p w14:paraId="0F9F5A0A">
            <w:pPr>
              <w:rPr>
                <w:rFonts w:ascii="Arial"/>
                <w:sz w:val="21"/>
              </w:rPr>
            </w:pPr>
          </w:p>
        </w:tc>
        <w:tc>
          <w:tcPr>
            <w:tcW w:w="1270" w:type="dxa"/>
            <w:vMerge w:val="continue"/>
            <w:tcBorders>
              <w:top w:val="nil"/>
              <w:bottom w:val="single" w:color="000000" w:sz="6" w:space="0"/>
            </w:tcBorders>
            <w:vAlign w:val="top"/>
          </w:tcPr>
          <w:p w14:paraId="10717403">
            <w:pPr>
              <w:rPr>
                <w:rFonts w:ascii="Arial"/>
                <w:sz w:val="21"/>
              </w:rPr>
            </w:pPr>
          </w:p>
        </w:tc>
        <w:tc>
          <w:tcPr>
            <w:tcW w:w="2441" w:type="dxa"/>
            <w:vMerge w:val="continue"/>
            <w:tcBorders>
              <w:top w:val="nil"/>
              <w:bottom w:val="single" w:color="000000" w:sz="6" w:space="0"/>
              <w:right w:val="single" w:color="000000" w:sz="6" w:space="0"/>
            </w:tcBorders>
            <w:vAlign w:val="top"/>
          </w:tcPr>
          <w:p w14:paraId="6ACAAF43">
            <w:pPr>
              <w:rPr>
                <w:rFonts w:ascii="Arial"/>
                <w:sz w:val="21"/>
              </w:rPr>
            </w:pPr>
          </w:p>
        </w:tc>
      </w:tr>
      <w:tr w14:paraId="1F1FA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642" w:type="dxa"/>
            <w:vMerge w:val="restart"/>
            <w:tcBorders>
              <w:top w:val="single" w:color="000000" w:sz="6" w:space="0"/>
              <w:left w:val="single" w:color="000000" w:sz="6" w:space="0"/>
              <w:bottom w:val="nil"/>
            </w:tcBorders>
            <w:vAlign w:val="top"/>
          </w:tcPr>
          <w:p w14:paraId="6AECDEC7">
            <w:pPr>
              <w:spacing w:line="333" w:lineRule="auto"/>
              <w:rPr>
                <w:rFonts w:ascii="Arial"/>
                <w:sz w:val="21"/>
              </w:rPr>
            </w:pPr>
          </w:p>
          <w:p w14:paraId="6A6521EB">
            <w:pPr>
              <w:pStyle w:val="9"/>
              <w:spacing w:before="59" w:line="220" w:lineRule="auto"/>
              <w:ind w:left="33"/>
            </w:pPr>
            <w:r>
              <w:rPr>
                <w:spacing w:val="9"/>
              </w:rPr>
              <w:t>原材料</w:t>
            </w:r>
          </w:p>
          <w:p w14:paraId="07A2DEE9">
            <w:pPr>
              <w:pStyle w:val="9"/>
              <w:spacing w:before="97" w:line="221" w:lineRule="auto"/>
              <w:ind w:left="29"/>
            </w:pPr>
            <w:r>
              <w:rPr>
                <w:spacing w:val="10"/>
              </w:rPr>
              <w:t>质量控</w:t>
            </w:r>
          </w:p>
          <w:p w14:paraId="412AE60F">
            <w:pPr>
              <w:pStyle w:val="9"/>
              <w:spacing w:before="96" w:line="220" w:lineRule="auto"/>
              <w:ind w:left="29"/>
            </w:pPr>
            <w:r>
              <w:rPr>
                <w:spacing w:val="-2"/>
              </w:rPr>
              <w:t>制检验</w:t>
            </w:r>
          </w:p>
        </w:tc>
        <w:tc>
          <w:tcPr>
            <w:tcW w:w="453" w:type="dxa"/>
            <w:vMerge w:val="restart"/>
            <w:tcBorders>
              <w:top w:val="single" w:color="000000" w:sz="6" w:space="0"/>
              <w:bottom w:val="nil"/>
            </w:tcBorders>
            <w:vAlign w:val="top"/>
          </w:tcPr>
          <w:p w14:paraId="69CD6E37">
            <w:pPr>
              <w:rPr>
                <w:rFonts w:ascii="Arial"/>
                <w:sz w:val="21"/>
              </w:rPr>
            </w:pPr>
          </w:p>
          <w:p w14:paraId="0DED9393">
            <w:pPr>
              <w:pStyle w:val="9"/>
              <w:spacing w:before="59"/>
              <w:ind w:left="183"/>
            </w:pPr>
            <w:r>
              <w:t>5</w:t>
            </w:r>
          </w:p>
        </w:tc>
        <w:tc>
          <w:tcPr>
            <w:tcW w:w="1215" w:type="dxa"/>
            <w:vMerge w:val="restart"/>
            <w:tcBorders>
              <w:top w:val="single" w:color="000000" w:sz="6" w:space="0"/>
              <w:bottom w:val="nil"/>
            </w:tcBorders>
            <w:vAlign w:val="top"/>
          </w:tcPr>
          <w:p w14:paraId="47EE4EDE">
            <w:pPr>
              <w:pStyle w:val="9"/>
              <w:spacing w:before="299" w:line="220" w:lineRule="auto"/>
              <w:ind w:left="337"/>
            </w:pPr>
            <w:r>
              <w:rPr>
                <w:spacing w:val="-2"/>
              </w:rPr>
              <w:t>减水剂</w:t>
            </w:r>
          </w:p>
        </w:tc>
        <w:tc>
          <w:tcPr>
            <w:tcW w:w="3393" w:type="dxa"/>
            <w:tcBorders>
              <w:top w:val="single" w:color="000000" w:sz="6" w:space="0"/>
            </w:tcBorders>
            <w:vAlign w:val="top"/>
          </w:tcPr>
          <w:p w14:paraId="20B5CF7E">
            <w:pPr>
              <w:pStyle w:val="9"/>
              <w:spacing w:before="106" w:line="221" w:lineRule="auto"/>
              <w:ind w:left="208"/>
            </w:pPr>
            <w:r>
              <w:rPr>
                <w:spacing w:val="-1"/>
              </w:rPr>
              <w:t>配制溶液浓度</w:t>
            </w:r>
          </w:p>
        </w:tc>
        <w:tc>
          <w:tcPr>
            <w:tcW w:w="1270" w:type="dxa"/>
            <w:tcBorders>
              <w:top w:val="single" w:color="000000" w:sz="6" w:space="0"/>
            </w:tcBorders>
            <w:vAlign w:val="top"/>
          </w:tcPr>
          <w:p w14:paraId="40D4C3BE">
            <w:pPr>
              <w:pStyle w:val="9"/>
              <w:spacing w:before="107" w:line="220" w:lineRule="auto"/>
              <w:ind w:left="34"/>
            </w:pPr>
            <w:r>
              <w:rPr>
                <w:spacing w:val="-6"/>
              </w:rPr>
              <w:t>每池</w:t>
            </w:r>
            <w:r>
              <w:rPr>
                <w:spacing w:val="-24"/>
              </w:rPr>
              <w:t xml:space="preserve"> </w:t>
            </w:r>
            <w:r>
              <w:rPr>
                <w:spacing w:val="-6"/>
              </w:rPr>
              <w:t>1</w:t>
            </w:r>
            <w:r>
              <w:rPr>
                <w:spacing w:val="-34"/>
              </w:rPr>
              <w:t xml:space="preserve"> </w:t>
            </w:r>
            <w:r>
              <w:rPr>
                <w:spacing w:val="-6"/>
              </w:rPr>
              <w:t>次～2</w:t>
            </w:r>
            <w:r>
              <w:rPr>
                <w:spacing w:val="-33"/>
              </w:rPr>
              <w:t xml:space="preserve"> </w:t>
            </w:r>
            <w:r>
              <w:rPr>
                <w:spacing w:val="-6"/>
              </w:rPr>
              <w:t>次</w:t>
            </w:r>
          </w:p>
        </w:tc>
        <w:tc>
          <w:tcPr>
            <w:tcW w:w="2441" w:type="dxa"/>
            <w:tcBorders>
              <w:top w:val="single" w:color="000000" w:sz="6" w:space="0"/>
              <w:right w:val="single" w:color="000000" w:sz="6" w:space="0"/>
            </w:tcBorders>
            <w:vAlign w:val="top"/>
          </w:tcPr>
          <w:p w14:paraId="7D3A50DF">
            <w:pPr>
              <w:pStyle w:val="9"/>
              <w:spacing w:before="107" w:line="220" w:lineRule="auto"/>
              <w:ind w:left="216"/>
            </w:pPr>
            <w:r>
              <w:rPr>
                <w:spacing w:val="-1"/>
              </w:rPr>
              <w:t>在配制池抽样</w:t>
            </w:r>
          </w:p>
        </w:tc>
      </w:tr>
      <w:tr w14:paraId="31341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642" w:type="dxa"/>
            <w:vMerge w:val="continue"/>
            <w:tcBorders>
              <w:top w:val="nil"/>
              <w:left w:val="single" w:color="000000" w:sz="6" w:space="0"/>
              <w:bottom w:val="nil"/>
            </w:tcBorders>
            <w:vAlign w:val="top"/>
          </w:tcPr>
          <w:p w14:paraId="2A3A16B0">
            <w:pPr>
              <w:rPr>
                <w:rFonts w:ascii="Arial"/>
                <w:sz w:val="21"/>
              </w:rPr>
            </w:pPr>
          </w:p>
        </w:tc>
        <w:tc>
          <w:tcPr>
            <w:tcW w:w="453" w:type="dxa"/>
            <w:vMerge w:val="continue"/>
            <w:tcBorders>
              <w:top w:val="nil"/>
            </w:tcBorders>
            <w:vAlign w:val="top"/>
          </w:tcPr>
          <w:p w14:paraId="7D03745D">
            <w:pPr>
              <w:rPr>
                <w:rFonts w:ascii="Arial"/>
                <w:sz w:val="21"/>
              </w:rPr>
            </w:pPr>
          </w:p>
        </w:tc>
        <w:tc>
          <w:tcPr>
            <w:tcW w:w="1215" w:type="dxa"/>
            <w:vMerge w:val="continue"/>
            <w:tcBorders>
              <w:top w:val="nil"/>
            </w:tcBorders>
            <w:vAlign w:val="top"/>
          </w:tcPr>
          <w:p w14:paraId="28264D54">
            <w:pPr>
              <w:rPr>
                <w:rFonts w:ascii="Arial"/>
                <w:sz w:val="21"/>
              </w:rPr>
            </w:pPr>
          </w:p>
        </w:tc>
        <w:tc>
          <w:tcPr>
            <w:tcW w:w="3393" w:type="dxa"/>
            <w:vAlign w:val="top"/>
          </w:tcPr>
          <w:p w14:paraId="1F2AD5AC">
            <w:pPr>
              <w:pStyle w:val="9"/>
              <w:spacing w:before="112" w:line="220" w:lineRule="auto"/>
              <w:ind w:left="208"/>
            </w:pPr>
            <w:r>
              <w:rPr>
                <w:spacing w:val="-2"/>
              </w:rPr>
              <w:t>使用溶液浓度</w:t>
            </w:r>
          </w:p>
        </w:tc>
        <w:tc>
          <w:tcPr>
            <w:tcW w:w="1270" w:type="dxa"/>
            <w:vAlign w:val="top"/>
          </w:tcPr>
          <w:p w14:paraId="07117B9B">
            <w:pPr>
              <w:pStyle w:val="9"/>
              <w:spacing w:before="112" w:line="220" w:lineRule="auto"/>
              <w:ind w:left="283"/>
            </w:pPr>
            <w:r>
              <w:rPr>
                <w:spacing w:val="-5"/>
              </w:rPr>
              <w:t>每天</w:t>
            </w:r>
            <w:r>
              <w:rPr>
                <w:spacing w:val="-34"/>
              </w:rPr>
              <w:t xml:space="preserve"> </w:t>
            </w:r>
            <w:r>
              <w:rPr>
                <w:spacing w:val="-5"/>
              </w:rPr>
              <w:t>2</w:t>
            </w:r>
            <w:r>
              <w:rPr>
                <w:spacing w:val="-34"/>
              </w:rPr>
              <w:t xml:space="preserve"> </w:t>
            </w:r>
            <w:r>
              <w:rPr>
                <w:spacing w:val="-5"/>
              </w:rPr>
              <w:t>次</w:t>
            </w:r>
          </w:p>
        </w:tc>
        <w:tc>
          <w:tcPr>
            <w:tcW w:w="2441" w:type="dxa"/>
            <w:tcBorders>
              <w:right w:val="single" w:color="000000" w:sz="6" w:space="0"/>
            </w:tcBorders>
            <w:vAlign w:val="top"/>
          </w:tcPr>
          <w:p w14:paraId="48BDD6BE">
            <w:pPr>
              <w:pStyle w:val="9"/>
              <w:spacing w:before="112" w:line="220" w:lineRule="auto"/>
              <w:ind w:left="217"/>
            </w:pPr>
            <w:r>
              <w:rPr>
                <w:spacing w:val="-1"/>
              </w:rPr>
              <w:t>使用池或拌和楼抽样</w:t>
            </w:r>
          </w:p>
        </w:tc>
      </w:tr>
      <w:tr w14:paraId="354B4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642" w:type="dxa"/>
            <w:vMerge w:val="continue"/>
            <w:tcBorders>
              <w:top w:val="nil"/>
              <w:left w:val="single" w:color="000000" w:sz="6" w:space="0"/>
              <w:bottom w:val="nil"/>
            </w:tcBorders>
            <w:vAlign w:val="top"/>
          </w:tcPr>
          <w:p w14:paraId="6C140D90">
            <w:pPr>
              <w:rPr>
                <w:rFonts w:ascii="Arial"/>
                <w:sz w:val="21"/>
              </w:rPr>
            </w:pPr>
          </w:p>
        </w:tc>
        <w:tc>
          <w:tcPr>
            <w:tcW w:w="453" w:type="dxa"/>
            <w:vMerge w:val="restart"/>
            <w:tcBorders>
              <w:bottom w:val="nil"/>
            </w:tcBorders>
            <w:vAlign w:val="top"/>
          </w:tcPr>
          <w:p w14:paraId="66877A58">
            <w:pPr>
              <w:spacing w:line="253" w:lineRule="auto"/>
              <w:rPr>
                <w:rFonts w:ascii="Arial"/>
                <w:sz w:val="21"/>
              </w:rPr>
            </w:pPr>
          </w:p>
          <w:p w14:paraId="5D791241">
            <w:pPr>
              <w:pStyle w:val="9"/>
              <w:spacing w:before="59"/>
              <w:ind w:left="180"/>
            </w:pPr>
            <w:r>
              <w:t>6</w:t>
            </w:r>
          </w:p>
        </w:tc>
        <w:tc>
          <w:tcPr>
            <w:tcW w:w="1215" w:type="dxa"/>
            <w:vMerge w:val="restart"/>
            <w:tcBorders>
              <w:bottom w:val="nil"/>
            </w:tcBorders>
            <w:vAlign w:val="top"/>
          </w:tcPr>
          <w:p w14:paraId="6D204906">
            <w:pPr>
              <w:spacing w:line="253" w:lineRule="auto"/>
              <w:rPr>
                <w:rFonts w:ascii="Arial"/>
                <w:sz w:val="21"/>
              </w:rPr>
            </w:pPr>
          </w:p>
          <w:p w14:paraId="622EA859">
            <w:pPr>
              <w:pStyle w:val="9"/>
              <w:spacing w:before="58" w:line="220" w:lineRule="auto"/>
              <w:ind w:left="350"/>
            </w:pPr>
            <w:r>
              <w:rPr>
                <w:spacing w:val="-5"/>
              </w:rPr>
              <w:t>引气剂</w:t>
            </w:r>
          </w:p>
        </w:tc>
        <w:tc>
          <w:tcPr>
            <w:tcW w:w="3393" w:type="dxa"/>
            <w:vAlign w:val="top"/>
          </w:tcPr>
          <w:p w14:paraId="47560DF0">
            <w:pPr>
              <w:pStyle w:val="9"/>
              <w:spacing w:before="114" w:line="221" w:lineRule="auto"/>
              <w:ind w:left="208"/>
            </w:pPr>
            <w:r>
              <w:rPr>
                <w:spacing w:val="-1"/>
              </w:rPr>
              <w:t>配制溶液浓度</w:t>
            </w:r>
          </w:p>
        </w:tc>
        <w:tc>
          <w:tcPr>
            <w:tcW w:w="1270" w:type="dxa"/>
            <w:vAlign w:val="top"/>
          </w:tcPr>
          <w:p w14:paraId="08E56356">
            <w:pPr>
              <w:pStyle w:val="9"/>
              <w:spacing w:before="114" w:line="220" w:lineRule="auto"/>
              <w:ind w:left="34"/>
            </w:pPr>
            <w:r>
              <w:rPr>
                <w:spacing w:val="-6"/>
              </w:rPr>
              <w:t>每池</w:t>
            </w:r>
            <w:r>
              <w:rPr>
                <w:spacing w:val="-24"/>
              </w:rPr>
              <w:t xml:space="preserve"> </w:t>
            </w:r>
            <w:r>
              <w:rPr>
                <w:spacing w:val="-6"/>
              </w:rPr>
              <w:t>1</w:t>
            </w:r>
            <w:r>
              <w:rPr>
                <w:spacing w:val="-34"/>
              </w:rPr>
              <w:t xml:space="preserve"> </w:t>
            </w:r>
            <w:r>
              <w:rPr>
                <w:spacing w:val="-6"/>
              </w:rPr>
              <w:t>次～2</w:t>
            </w:r>
            <w:r>
              <w:rPr>
                <w:spacing w:val="-33"/>
              </w:rPr>
              <w:t xml:space="preserve"> </w:t>
            </w:r>
            <w:r>
              <w:rPr>
                <w:spacing w:val="-6"/>
              </w:rPr>
              <w:t>次</w:t>
            </w:r>
          </w:p>
        </w:tc>
        <w:tc>
          <w:tcPr>
            <w:tcW w:w="2441" w:type="dxa"/>
            <w:tcBorders>
              <w:right w:val="single" w:color="000000" w:sz="6" w:space="0"/>
            </w:tcBorders>
            <w:vAlign w:val="top"/>
          </w:tcPr>
          <w:p w14:paraId="49346F06">
            <w:pPr>
              <w:pStyle w:val="9"/>
              <w:spacing w:before="114" w:line="220" w:lineRule="auto"/>
              <w:ind w:left="216"/>
            </w:pPr>
            <w:r>
              <w:rPr>
                <w:spacing w:val="-1"/>
              </w:rPr>
              <w:t>在配制池抽样</w:t>
            </w:r>
          </w:p>
        </w:tc>
      </w:tr>
      <w:tr w14:paraId="5CA85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642" w:type="dxa"/>
            <w:vMerge w:val="continue"/>
            <w:tcBorders>
              <w:top w:val="nil"/>
              <w:left w:val="single" w:color="000000" w:sz="6" w:space="0"/>
            </w:tcBorders>
            <w:vAlign w:val="top"/>
          </w:tcPr>
          <w:p w14:paraId="33AECDDC">
            <w:pPr>
              <w:rPr>
                <w:rFonts w:ascii="Arial"/>
                <w:sz w:val="21"/>
              </w:rPr>
            </w:pPr>
          </w:p>
        </w:tc>
        <w:tc>
          <w:tcPr>
            <w:tcW w:w="453" w:type="dxa"/>
            <w:vMerge w:val="continue"/>
            <w:tcBorders>
              <w:top w:val="nil"/>
            </w:tcBorders>
            <w:vAlign w:val="top"/>
          </w:tcPr>
          <w:p w14:paraId="43A2FF7D">
            <w:pPr>
              <w:rPr>
                <w:rFonts w:ascii="Arial"/>
                <w:sz w:val="21"/>
              </w:rPr>
            </w:pPr>
          </w:p>
        </w:tc>
        <w:tc>
          <w:tcPr>
            <w:tcW w:w="1215" w:type="dxa"/>
            <w:vMerge w:val="continue"/>
            <w:tcBorders>
              <w:top w:val="nil"/>
            </w:tcBorders>
            <w:vAlign w:val="top"/>
          </w:tcPr>
          <w:p w14:paraId="196A5F40">
            <w:pPr>
              <w:rPr>
                <w:rFonts w:ascii="Arial"/>
                <w:sz w:val="21"/>
              </w:rPr>
            </w:pPr>
          </w:p>
        </w:tc>
        <w:tc>
          <w:tcPr>
            <w:tcW w:w="3393" w:type="dxa"/>
            <w:vAlign w:val="top"/>
          </w:tcPr>
          <w:p w14:paraId="0A5D9392">
            <w:pPr>
              <w:pStyle w:val="9"/>
              <w:spacing w:before="115" w:line="220" w:lineRule="auto"/>
              <w:ind w:left="208"/>
            </w:pPr>
            <w:r>
              <w:rPr>
                <w:spacing w:val="-2"/>
              </w:rPr>
              <w:t>使用溶液浓度</w:t>
            </w:r>
          </w:p>
        </w:tc>
        <w:tc>
          <w:tcPr>
            <w:tcW w:w="1270" w:type="dxa"/>
            <w:vAlign w:val="top"/>
          </w:tcPr>
          <w:p w14:paraId="5AAFE7D3">
            <w:pPr>
              <w:pStyle w:val="9"/>
              <w:spacing w:before="115" w:line="220" w:lineRule="auto"/>
              <w:ind w:left="283"/>
            </w:pPr>
            <w:r>
              <w:rPr>
                <w:spacing w:val="-5"/>
              </w:rPr>
              <w:t>每天</w:t>
            </w:r>
            <w:r>
              <w:rPr>
                <w:spacing w:val="-34"/>
              </w:rPr>
              <w:t xml:space="preserve"> </w:t>
            </w:r>
            <w:r>
              <w:rPr>
                <w:spacing w:val="-5"/>
              </w:rPr>
              <w:t>2</w:t>
            </w:r>
            <w:r>
              <w:rPr>
                <w:spacing w:val="-34"/>
              </w:rPr>
              <w:t xml:space="preserve"> </w:t>
            </w:r>
            <w:r>
              <w:rPr>
                <w:spacing w:val="-5"/>
              </w:rPr>
              <w:t>次</w:t>
            </w:r>
          </w:p>
        </w:tc>
        <w:tc>
          <w:tcPr>
            <w:tcW w:w="2441" w:type="dxa"/>
            <w:tcBorders>
              <w:right w:val="single" w:color="000000" w:sz="6" w:space="0"/>
            </w:tcBorders>
            <w:vAlign w:val="top"/>
          </w:tcPr>
          <w:p w14:paraId="6EBF9038">
            <w:pPr>
              <w:pStyle w:val="9"/>
              <w:spacing w:before="115" w:line="220" w:lineRule="auto"/>
              <w:ind w:left="217"/>
            </w:pPr>
            <w:r>
              <w:rPr>
                <w:spacing w:val="-1"/>
              </w:rPr>
              <w:t>使用池或拌和楼抽样</w:t>
            </w:r>
          </w:p>
        </w:tc>
      </w:tr>
      <w:tr w14:paraId="3D704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642" w:type="dxa"/>
            <w:vMerge w:val="restart"/>
            <w:tcBorders>
              <w:left w:val="single" w:color="000000" w:sz="6" w:space="0"/>
              <w:bottom w:val="nil"/>
            </w:tcBorders>
            <w:vAlign w:val="top"/>
          </w:tcPr>
          <w:p w14:paraId="2E002323">
            <w:pPr>
              <w:spacing w:line="252" w:lineRule="auto"/>
              <w:rPr>
                <w:rFonts w:ascii="Arial"/>
                <w:sz w:val="21"/>
              </w:rPr>
            </w:pPr>
          </w:p>
          <w:p w14:paraId="01BC808D">
            <w:pPr>
              <w:spacing w:line="253" w:lineRule="auto"/>
              <w:rPr>
                <w:rFonts w:ascii="Arial"/>
                <w:sz w:val="21"/>
              </w:rPr>
            </w:pPr>
          </w:p>
          <w:p w14:paraId="4EE74CB6">
            <w:pPr>
              <w:spacing w:line="253" w:lineRule="auto"/>
              <w:rPr>
                <w:rFonts w:ascii="Arial"/>
                <w:sz w:val="21"/>
              </w:rPr>
            </w:pPr>
          </w:p>
          <w:p w14:paraId="7D6498E6">
            <w:pPr>
              <w:pStyle w:val="9"/>
              <w:spacing w:before="58" w:line="222" w:lineRule="auto"/>
              <w:ind w:left="31"/>
            </w:pPr>
            <w:r>
              <w:rPr>
                <w:spacing w:val="9"/>
              </w:rPr>
              <w:t>混凝土</w:t>
            </w:r>
          </w:p>
          <w:p w14:paraId="3F75948D">
            <w:pPr>
              <w:pStyle w:val="9"/>
              <w:spacing w:before="95" w:line="221" w:lineRule="auto"/>
              <w:ind w:left="30"/>
            </w:pPr>
            <w:r>
              <w:rPr>
                <w:spacing w:val="9"/>
              </w:rPr>
              <w:t>拌和及</w:t>
            </w:r>
          </w:p>
          <w:p w14:paraId="1431C53E">
            <w:pPr>
              <w:pStyle w:val="9"/>
              <w:spacing w:before="96" w:line="221" w:lineRule="auto"/>
              <w:ind w:left="30"/>
            </w:pPr>
            <w:r>
              <w:rPr>
                <w:spacing w:val="9"/>
              </w:rPr>
              <w:t>拌和物</w:t>
            </w:r>
          </w:p>
          <w:p w14:paraId="59F2CACC">
            <w:pPr>
              <w:pStyle w:val="9"/>
              <w:spacing w:before="96" w:line="322" w:lineRule="auto"/>
              <w:ind w:left="29" w:right="31"/>
            </w:pPr>
            <w:r>
              <w:rPr>
                <w:spacing w:val="10"/>
              </w:rPr>
              <w:t>质量抽</w:t>
            </w:r>
            <w:r>
              <w:t xml:space="preserve"> 检</w:t>
            </w:r>
          </w:p>
        </w:tc>
        <w:tc>
          <w:tcPr>
            <w:tcW w:w="453" w:type="dxa"/>
            <w:vAlign w:val="top"/>
          </w:tcPr>
          <w:p w14:paraId="7BEE23A0">
            <w:pPr>
              <w:pStyle w:val="9"/>
              <w:spacing w:before="230"/>
              <w:ind w:left="183"/>
            </w:pPr>
            <w:r>
              <w:t>7</w:t>
            </w:r>
          </w:p>
        </w:tc>
        <w:tc>
          <w:tcPr>
            <w:tcW w:w="1215" w:type="dxa"/>
            <w:vAlign w:val="top"/>
          </w:tcPr>
          <w:p w14:paraId="15D50C77">
            <w:pPr>
              <w:pStyle w:val="9"/>
              <w:spacing w:before="230" w:line="220" w:lineRule="auto"/>
              <w:ind w:left="67"/>
            </w:pPr>
            <w:r>
              <w:rPr>
                <w:spacing w:val="-1"/>
              </w:rPr>
              <w:t>配料称量检查</w:t>
            </w:r>
          </w:p>
        </w:tc>
        <w:tc>
          <w:tcPr>
            <w:tcW w:w="3393" w:type="dxa"/>
            <w:vAlign w:val="top"/>
          </w:tcPr>
          <w:p w14:paraId="62867205">
            <w:pPr>
              <w:pStyle w:val="9"/>
              <w:spacing w:before="74" w:line="278" w:lineRule="auto"/>
              <w:ind w:left="28" w:right="24" w:firstLine="181"/>
            </w:pPr>
            <w:r>
              <w:rPr>
                <w:spacing w:val="-5"/>
              </w:rPr>
              <w:t>水泥、粉煤灰、外加剂、纤维、硅粉、水</w:t>
            </w:r>
            <w:r>
              <w:rPr>
                <w:spacing w:val="1"/>
              </w:rPr>
              <w:t xml:space="preserve"> </w:t>
            </w:r>
            <w:r>
              <w:rPr>
                <w:spacing w:val="-1"/>
              </w:rPr>
              <w:t>和冰、各粒级骨料，检查应配量和实配量</w:t>
            </w:r>
          </w:p>
        </w:tc>
        <w:tc>
          <w:tcPr>
            <w:tcW w:w="1270" w:type="dxa"/>
            <w:vAlign w:val="top"/>
          </w:tcPr>
          <w:p w14:paraId="772329E5">
            <w:pPr>
              <w:pStyle w:val="9"/>
              <w:spacing w:before="230" w:line="220" w:lineRule="auto"/>
              <w:ind w:left="102"/>
            </w:pPr>
            <w:r>
              <w:rPr>
                <w:spacing w:val="-9"/>
              </w:rPr>
              <w:t>每</w:t>
            </w:r>
            <w:r>
              <w:rPr>
                <w:spacing w:val="-32"/>
              </w:rPr>
              <w:t xml:space="preserve"> </w:t>
            </w:r>
            <w:r>
              <w:rPr>
                <w:spacing w:val="-9"/>
              </w:rPr>
              <w:t>2</w:t>
            </w:r>
            <w:r>
              <w:rPr>
                <w:spacing w:val="-34"/>
              </w:rPr>
              <w:t xml:space="preserve"> </w:t>
            </w:r>
            <w:r>
              <w:rPr>
                <w:spacing w:val="-9"/>
              </w:rPr>
              <w:t>小时</w:t>
            </w:r>
            <w:r>
              <w:rPr>
                <w:spacing w:val="-24"/>
              </w:rPr>
              <w:t xml:space="preserve"> </w:t>
            </w:r>
            <w:r>
              <w:rPr>
                <w:spacing w:val="-9"/>
              </w:rPr>
              <w:t>1</w:t>
            </w:r>
            <w:r>
              <w:rPr>
                <w:spacing w:val="-34"/>
              </w:rPr>
              <w:t xml:space="preserve"> </w:t>
            </w:r>
            <w:r>
              <w:rPr>
                <w:spacing w:val="-9"/>
              </w:rPr>
              <w:t>次</w:t>
            </w:r>
          </w:p>
        </w:tc>
        <w:tc>
          <w:tcPr>
            <w:tcW w:w="2441" w:type="dxa"/>
            <w:tcBorders>
              <w:right w:val="single" w:color="000000" w:sz="6" w:space="0"/>
            </w:tcBorders>
            <w:vAlign w:val="top"/>
          </w:tcPr>
          <w:p w14:paraId="73022A0B">
            <w:pPr>
              <w:pStyle w:val="9"/>
              <w:spacing w:before="74" w:line="278" w:lineRule="auto"/>
              <w:ind w:left="45" w:right="21" w:firstLine="170"/>
            </w:pPr>
            <w:r>
              <w:rPr>
                <w:spacing w:val="2"/>
              </w:rPr>
              <w:t>在拌和楼称量层，条件允许</w:t>
            </w:r>
            <w:r>
              <w:rPr>
                <w:spacing w:val="8"/>
              </w:rPr>
              <w:t xml:space="preserve"> </w:t>
            </w:r>
            <w:r>
              <w:rPr>
                <w:spacing w:val="-2"/>
              </w:rPr>
              <w:t>时进行全数统计</w:t>
            </w:r>
          </w:p>
        </w:tc>
      </w:tr>
      <w:tr w14:paraId="784F9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642" w:type="dxa"/>
            <w:vMerge w:val="continue"/>
            <w:tcBorders>
              <w:top w:val="nil"/>
              <w:left w:val="single" w:color="000000" w:sz="6" w:space="0"/>
              <w:bottom w:val="nil"/>
            </w:tcBorders>
            <w:vAlign w:val="top"/>
          </w:tcPr>
          <w:p w14:paraId="16CB5A58">
            <w:pPr>
              <w:rPr>
                <w:rFonts w:ascii="Arial"/>
                <w:sz w:val="21"/>
              </w:rPr>
            </w:pPr>
          </w:p>
        </w:tc>
        <w:tc>
          <w:tcPr>
            <w:tcW w:w="453" w:type="dxa"/>
            <w:vAlign w:val="top"/>
          </w:tcPr>
          <w:p w14:paraId="67D7B0DB">
            <w:pPr>
              <w:pStyle w:val="9"/>
              <w:spacing w:before="118"/>
              <w:ind w:left="180"/>
            </w:pPr>
            <w:r>
              <w:t>8</w:t>
            </w:r>
          </w:p>
        </w:tc>
        <w:tc>
          <w:tcPr>
            <w:tcW w:w="1215" w:type="dxa"/>
            <w:vAlign w:val="top"/>
          </w:tcPr>
          <w:p w14:paraId="48D97F7D">
            <w:pPr>
              <w:pStyle w:val="9"/>
              <w:spacing w:before="117" w:line="221" w:lineRule="auto"/>
              <w:ind w:left="248"/>
            </w:pPr>
            <w:r>
              <w:rPr>
                <w:spacing w:val="-2"/>
              </w:rPr>
              <w:t>拌和时间</w:t>
            </w:r>
          </w:p>
        </w:tc>
        <w:tc>
          <w:tcPr>
            <w:tcW w:w="3393" w:type="dxa"/>
            <w:vAlign w:val="top"/>
          </w:tcPr>
          <w:p w14:paraId="1D42D5CA">
            <w:pPr>
              <w:pStyle w:val="9"/>
              <w:spacing w:before="117" w:line="221" w:lineRule="auto"/>
              <w:ind w:left="209"/>
            </w:pPr>
            <w:r>
              <w:rPr>
                <w:spacing w:val="-2"/>
              </w:rPr>
              <w:t>拌和时间</w:t>
            </w:r>
          </w:p>
        </w:tc>
        <w:tc>
          <w:tcPr>
            <w:tcW w:w="1270" w:type="dxa"/>
            <w:vAlign w:val="top"/>
          </w:tcPr>
          <w:p w14:paraId="404D6F05">
            <w:pPr>
              <w:pStyle w:val="9"/>
              <w:spacing w:before="118" w:line="220" w:lineRule="auto"/>
              <w:ind w:left="102"/>
            </w:pPr>
            <w:r>
              <w:rPr>
                <w:spacing w:val="-8"/>
              </w:rPr>
              <w:t>每</w:t>
            </w:r>
            <w:r>
              <w:rPr>
                <w:spacing w:val="-38"/>
              </w:rPr>
              <w:t xml:space="preserve"> </w:t>
            </w:r>
            <w:r>
              <w:rPr>
                <w:spacing w:val="-8"/>
              </w:rPr>
              <w:t>4</w:t>
            </w:r>
            <w:r>
              <w:rPr>
                <w:spacing w:val="-34"/>
              </w:rPr>
              <w:t xml:space="preserve"> </w:t>
            </w:r>
            <w:r>
              <w:rPr>
                <w:spacing w:val="-8"/>
              </w:rPr>
              <w:t>小时</w:t>
            </w:r>
            <w:r>
              <w:rPr>
                <w:spacing w:val="-24"/>
              </w:rPr>
              <w:t xml:space="preserve"> </w:t>
            </w:r>
            <w:r>
              <w:rPr>
                <w:spacing w:val="-8"/>
              </w:rPr>
              <w:t>1</w:t>
            </w:r>
            <w:r>
              <w:rPr>
                <w:spacing w:val="-34"/>
              </w:rPr>
              <w:t xml:space="preserve"> </w:t>
            </w:r>
            <w:r>
              <w:rPr>
                <w:spacing w:val="-8"/>
              </w:rPr>
              <w:t>次</w:t>
            </w:r>
          </w:p>
        </w:tc>
        <w:tc>
          <w:tcPr>
            <w:tcW w:w="2441" w:type="dxa"/>
            <w:tcBorders>
              <w:right w:val="single" w:color="000000" w:sz="6" w:space="0"/>
            </w:tcBorders>
            <w:vAlign w:val="top"/>
          </w:tcPr>
          <w:p w14:paraId="5AE3A2F6">
            <w:pPr>
              <w:pStyle w:val="9"/>
              <w:spacing w:before="117" w:line="221" w:lineRule="auto"/>
              <w:ind w:left="216"/>
            </w:pPr>
            <w:r>
              <w:rPr>
                <w:spacing w:val="-1"/>
              </w:rPr>
              <w:t>记录拌和时间</w:t>
            </w:r>
          </w:p>
        </w:tc>
      </w:tr>
      <w:tr w14:paraId="33BC5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642" w:type="dxa"/>
            <w:vMerge w:val="continue"/>
            <w:tcBorders>
              <w:top w:val="nil"/>
              <w:left w:val="single" w:color="000000" w:sz="6" w:space="0"/>
              <w:bottom w:val="nil"/>
            </w:tcBorders>
            <w:vAlign w:val="top"/>
          </w:tcPr>
          <w:p w14:paraId="07A11BEC">
            <w:pPr>
              <w:rPr>
                <w:rFonts w:ascii="Arial"/>
                <w:sz w:val="21"/>
              </w:rPr>
            </w:pPr>
          </w:p>
        </w:tc>
        <w:tc>
          <w:tcPr>
            <w:tcW w:w="453" w:type="dxa"/>
            <w:vAlign w:val="top"/>
          </w:tcPr>
          <w:p w14:paraId="2BFE612A">
            <w:pPr>
              <w:pStyle w:val="9"/>
              <w:spacing w:before="119"/>
              <w:ind w:left="180"/>
            </w:pPr>
            <w:r>
              <w:t>9</w:t>
            </w:r>
          </w:p>
        </w:tc>
        <w:tc>
          <w:tcPr>
            <w:tcW w:w="1215" w:type="dxa"/>
            <w:vAlign w:val="top"/>
          </w:tcPr>
          <w:p w14:paraId="0493AD1D">
            <w:pPr>
              <w:pStyle w:val="9"/>
              <w:spacing w:before="118" w:line="221" w:lineRule="auto"/>
              <w:ind w:left="336"/>
            </w:pPr>
            <w:r>
              <w:rPr>
                <w:spacing w:val="-2"/>
              </w:rPr>
              <w:t>坍落度</w:t>
            </w:r>
          </w:p>
        </w:tc>
        <w:tc>
          <w:tcPr>
            <w:tcW w:w="3393" w:type="dxa"/>
            <w:vAlign w:val="top"/>
          </w:tcPr>
          <w:p w14:paraId="4796622D">
            <w:pPr>
              <w:pStyle w:val="9"/>
              <w:spacing w:before="118" w:line="221" w:lineRule="auto"/>
              <w:ind w:left="210"/>
            </w:pPr>
            <w:r>
              <w:rPr>
                <w:spacing w:val="-2"/>
              </w:rPr>
              <w:t>混凝土工作性</w:t>
            </w:r>
          </w:p>
        </w:tc>
        <w:tc>
          <w:tcPr>
            <w:tcW w:w="1270" w:type="dxa"/>
            <w:vAlign w:val="top"/>
          </w:tcPr>
          <w:p w14:paraId="56094FBE">
            <w:pPr>
              <w:pStyle w:val="9"/>
              <w:spacing w:before="118" w:line="220" w:lineRule="auto"/>
              <w:ind w:left="102"/>
            </w:pPr>
            <w:r>
              <w:rPr>
                <w:spacing w:val="-9"/>
              </w:rPr>
              <w:t>每</w:t>
            </w:r>
            <w:r>
              <w:rPr>
                <w:spacing w:val="-32"/>
              </w:rPr>
              <w:t xml:space="preserve"> </w:t>
            </w:r>
            <w:r>
              <w:rPr>
                <w:spacing w:val="-9"/>
              </w:rPr>
              <w:t>2</w:t>
            </w:r>
            <w:r>
              <w:rPr>
                <w:spacing w:val="-34"/>
              </w:rPr>
              <w:t xml:space="preserve"> </w:t>
            </w:r>
            <w:r>
              <w:rPr>
                <w:spacing w:val="-9"/>
              </w:rPr>
              <w:t>小时</w:t>
            </w:r>
            <w:r>
              <w:rPr>
                <w:spacing w:val="-24"/>
              </w:rPr>
              <w:t xml:space="preserve"> </w:t>
            </w:r>
            <w:r>
              <w:rPr>
                <w:spacing w:val="-9"/>
              </w:rPr>
              <w:t>1</w:t>
            </w:r>
            <w:r>
              <w:rPr>
                <w:spacing w:val="-34"/>
              </w:rPr>
              <w:t xml:space="preserve"> </w:t>
            </w:r>
            <w:r>
              <w:rPr>
                <w:spacing w:val="-9"/>
              </w:rPr>
              <w:t>次</w:t>
            </w:r>
          </w:p>
        </w:tc>
        <w:tc>
          <w:tcPr>
            <w:tcW w:w="2441" w:type="dxa"/>
            <w:tcBorders>
              <w:right w:val="single" w:color="000000" w:sz="6" w:space="0"/>
            </w:tcBorders>
            <w:vAlign w:val="top"/>
          </w:tcPr>
          <w:p w14:paraId="5646DDE0">
            <w:pPr>
              <w:pStyle w:val="9"/>
              <w:spacing w:before="118" w:line="220" w:lineRule="auto"/>
              <w:ind w:left="216"/>
            </w:pPr>
            <w:r>
              <w:rPr>
                <w:spacing w:val="-1"/>
              </w:rPr>
              <w:t>应覆盖到每个强度等级</w:t>
            </w:r>
          </w:p>
        </w:tc>
      </w:tr>
      <w:tr w14:paraId="25CA8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642" w:type="dxa"/>
            <w:vMerge w:val="continue"/>
            <w:tcBorders>
              <w:top w:val="nil"/>
              <w:left w:val="single" w:color="000000" w:sz="6" w:space="0"/>
              <w:bottom w:val="nil"/>
            </w:tcBorders>
            <w:vAlign w:val="top"/>
          </w:tcPr>
          <w:p w14:paraId="7DA9B13E">
            <w:pPr>
              <w:rPr>
                <w:rFonts w:ascii="Arial"/>
                <w:sz w:val="21"/>
              </w:rPr>
            </w:pPr>
          </w:p>
        </w:tc>
        <w:tc>
          <w:tcPr>
            <w:tcW w:w="453" w:type="dxa"/>
            <w:vAlign w:val="top"/>
          </w:tcPr>
          <w:p w14:paraId="5BA5715C">
            <w:pPr>
              <w:pStyle w:val="9"/>
              <w:spacing w:before="119"/>
              <w:ind w:left="148"/>
            </w:pPr>
            <w:r>
              <w:rPr>
                <w:spacing w:val="-6"/>
              </w:rPr>
              <w:t>10</w:t>
            </w:r>
          </w:p>
        </w:tc>
        <w:tc>
          <w:tcPr>
            <w:tcW w:w="1215" w:type="dxa"/>
            <w:vAlign w:val="top"/>
          </w:tcPr>
          <w:p w14:paraId="57D76052">
            <w:pPr>
              <w:pStyle w:val="9"/>
              <w:spacing w:before="119" w:line="220" w:lineRule="auto"/>
              <w:ind w:left="337"/>
            </w:pPr>
            <w:r>
              <w:rPr>
                <w:spacing w:val="-2"/>
              </w:rPr>
              <w:t>含气量</w:t>
            </w:r>
          </w:p>
        </w:tc>
        <w:tc>
          <w:tcPr>
            <w:tcW w:w="3393" w:type="dxa"/>
            <w:vAlign w:val="top"/>
          </w:tcPr>
          <w:p w14:paraId="158EA775">
            <w:pPr>
              <w:pStyle w:val="9"/>
              <w:spacing w:before="118" w:line="220" w:lineRule="auto"/>
              <w:ind w:left="223"/>
            </w:pPr>
            <w:r>
              <w:rPr>
                <w:spacing w:val="-4"/>
              </w:rPr>
              <w:t>出机口含气量</w:t>
            </w:r>
          </w:p>
        </w:tc>
        <w:tc>
          <w:tcPr>
            <w:tcW w:w="1270" w:type="dxa"/>
            <w:vAlign w:val="top"/>
          </w:tcPr>
          <w:p w14:paraId="505D6FD0">
            <w:pPr>
              <w:pStyle w:val="9"/>
              <w:spacing w:before="119" w:line="220" w:lineRule="auto"/>
              <w:ind w:left="102"/>
            </w:pPr>
            <w:r>
              <w:rPr>
                <w:spacing w:val="-8"/>
              </w:rPr>
              <w:t>每</w:t>
            </w:r>
            <w:r>
              <w:rPr>
                <w:spacing w:val="-38"/>
              </w:rPr>
              <w:t xml:space="preserve"> </w:t>
            </w:r>
            <w:r>
              <w:rPr>
                <w:spacing w:val="-8"/>
              </w:rPr>
              <w:t>4</w:t>
            </w:r>
            <w:r>
              <w:rPr>
                <w:spacing w:val="-34"/>
              </w:rPr>
              <w:t xml:space="preserve"> </w:t>
            </w:r>
            <w:r>
              <w:rPr>
                <w:spacing w:val="-8"/>
              </w:rPr>
              <w:t>小时</w:t>
            </w:r>
            <w:r>
              <w:rPr>
                <w:spacing w:val="-24"/>
              </w:rPr>
              <w:t xml:space="preserve"> </w:t>
            </w:r>
            <w:r>
              <w:rPr>
                <w:spacing w:val="-8"/>
              </w:rPr>
              <w:t>1</w:t>
            </w:r>
            <w:r>
              <w:rPr>
                <w:spacing w:val="-34"/>
              </w:rPr>
              <w:t xml:space="preserve"> </w:t>
            </w:r>
            <w:r>
              <w:rPr>
                <w:spacing w:val="-8"/>
              </w:rPr>
              <w:t>次</w:t>
            </w:r>
          </w:p>
        </w:tc>
        <w:tc>
          <w:tcPr>
            <w:tcW w:w="2441" w:type="dxa"/>
            <w:tcBorders>
              <w:right w:val="single" w:color="000000" w:sz="6" w:space="0"/>
            </w:tcBorders>
            <w:vAlign w:val="top"/>
          </w:tcPr>
          <w:p w14:paraId="4C32662D">
            <w:pPr>
              <w:pStyle w:val="9"/>
              <w:spacing w:before="119" w:line="220" w:lineRule="auto"/>
              <w:ind w:left="216"/>
            </w:pPr>
            <w:r>
              <w:rPr>
                <w:spacing w:val="-1"/>
              </w:rPr>
              <w:t>应覆盖到每个强度等级</w:t>
            </w:r>
          </w:p>
        </w:tc>
      </w:tr>
      <w:tr w14:paraId="5572D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642" w:type="dxa"/>
            <w:vMerge w:val="continue"/>
            <w:tcBorders>
              <w:top w:val="nil"/>
              <w:left w:val="single" w:color="000000" w:sz="6" w:space="0"/>
              <w:bottom w:val="nil"/>
            </w:tcBorders>
            <w:vAlign w:val="top"/>
          </w:tcPr>
          <w:p w14:paraId="207ED7E0">
            <w:pPr>
              <w:rPr>
                <w:rFonts w:ascii="Arial"/>
                <w:sz w:val="21"/>
              </w:rPr>
            </w:pPr>
          </w:p>
        </w:tc>
        <w:tc>
          <w:tcPr>
            <w:tcW w:w="453" w:type="dxa"/>
            <w:vAlign w:val="top"/>
          </w:tcPr>
          <w:p w14:paraId="580C82DF">
            <w:pPr>
              <w:pStyle w:val="9"/>
              <w:spacing w:before="120" w:line="242" w:lineRule="auto"/>
              <w:ind w:left="148"/>
            </w:pPr>
            <w:r>
              <w:rPr>
                <w:spacing w:val="-6"/>
              </w:rPr>
              <w:t>11</w:t>
            </w:r>
          </w:p>
        </w:tc>
        <w:tc>
          <w:tcPr>
            <w:tcW w:w="1215" w:type="dxa"/>
            <w:vAlign w:val="top"/>
          </w:tcPr>
          <w:p w14:paraId="105176D9">
            <w:pPr>
              <w:pStyle w:val="9"/>
              <w:spacing w:before="120" w:line="221" w:lineRule="auto"/>
              <w:ind w:left="428"/>
            </w:pPr>
            <w:r>
              <w:rPr>
                <w:spacing w:val="-3"/>
              </w:rPr>
              <w:t>温度</w:t>
            </w:r>
          </w:p>
        </w:tc>
        <w:tc>
          <w:tcPr>
            <w:tcW w:w="3393" w:type="dxa"/>
            <w:vAlign w:val="top"/>
          </w:tcPr>
          <w:p w14:paraId="7DA67B76">
            <w:pPr>
              <w:pStyle w:val="9"/>
              <w:spacing w:before="119" w:line="220" w:lineRule="auto"/>
              <w:ind w:left="208"/>
            </w:pPr>
            <w:r>
              <w:rPr>
                <w:spacing w:val="-1"/>
              </w:rPr>
              <w:t>气温、混凝土出机温度、水温</w:t>
            </w:r>
          </w:p>
        </w:tc>
        <w:tc>
          <w:tcPr>
            <w:tcW w:w="1270" w:type="dxa"/>
            <w:vAlign w:val="top"/>
          </w:tcPr>
          <w:p w14:paraId="2A6C4ABA">
            <w:pPr>
              <w:pStyle w:val="9"/>
              <w:spacing w:before="120" w:line="220" w:lineRule="auto"/>
              <w:ind w:left="102"/>
            </w:pPr>
            <w:r>
              <w:rPr>
                <w:spacing w:val="-9"/>
              </w:rPr>
              <w:t>每</w:t>
            </w:r>
            <w:r>
              <w:rPr>
                <w:spacing w:val="-32"/>
              </w:rPr>
              <w:t xml:space="preserve"> </w:t>
            </w:r>
            <w:r>
              <w:rPr>
                <w:spacing w:val="-9"/>
              </w:rPr>
              <w:t>2</w:t>
            </w:r>
            <w:r>
              <w:rPr>
                <w:spacing w:val="-34"/>
              </w:rPr>
              <w:t xml:space="preserve"> </w:t>
            </w:r>
            <w:r>
              <w:rPr>
                <w:spacing w:val="-9"/>
              </w:rPr>
              <w:t>小时</w:t>
            </w:r>
            <w:r>
              <w:rPr>
                <w:spacing w:val="-24"/>
              </w:rPr>
              <w:t xml:space="preserve"> </w:t>
            </w:r>
            <w:r>
              <w:rPr>
                <w:spacing w:val="-9"/>
              </w:rPr>
              <w:t>1</w:t>
            </w:r>
            <w:r>
              <w:rPr>
                <w:spacing w:val="-34"/>
              </w:rPr>
              <w:t xml:space="preserve"> </w:t>
            </w:r>
            <w:r>
              <w:rPr>
                <w:spacing w:val="-9"/>
              </w:rPr>
              <w:t>次</w:t>
            </w:r>
          </w:p>
        </w:tc>
        <w:tc>
          <w:tcPr>
            <w:tcW w:w="2441" w:type="dxa"/>
            <w:tcBorders>
              <w:right w:val="single" w:color="000000" w:sz="6" w:space="0"/>
            </w:tcBorders>
            <w:vAlign w:val="top"/>
          </w:tcPr>
          <w:p w14:paraId="37C8D128">
            <w:pPr>
              <w:pStyle w:val="9"/>
              <w:spacing w:before="120" w:line="220" w:lineRule="auto"/>
              <w:ind w:right="30"/>
              <w:jc w:val="right"/>
            </w:pPr>
            <w:r>
              <w:rPr>
                <w:spacing w:val="-5"/>
              </w:rPr>
              <w:t>非温控混凝土每</w:t>
            </w:r>
            <w:r>
              <w:rPr>
                <w:spacing w:val="-29"/>
              </w:rPr>
              <w:t xml:space="preserve"> </w:t>
            </w:r>
            <w:r>
              <w:rPr>
                <w:spacing w:val="-5"/>
              </w:rPr>
              <w:t>4</w:t>
            </w:r>
            <w:r>
              <w:rPr>
                <w:spacing w:val="-34"/>
              </w:rPr>
              <w:t xml:space="preserve"> </w:t>
            </w:r>
            <w:r>
              <w:rPr>
                <w:spacing w:val="-5"/>
              </w:rPr>
              <w:t>小时</w:t>
            </w:r>
            <w:r>
              <w:rPr>
                <w:spacing w:val="-24"/>
              </w:rPr>
              <w:t xml:space="preserve"> </w:t>
            </w:r>
            <w:r>
              <w:rPr>
                <w:spacing w:val="-5"/>
              </w:rPr>
              <w:t>1</w:t>
            </w:r>
            <w:r>
              <w:rPr>
                <w:spacing w:val="-33"/>
              </w:rPr>
              <w:t xml:space="preserve"> </w:t>
            </w:r>
            <w:r>
              <w:rPr>
                <w:spacing w:val="-5"/>
              </w:rPr>
              <w:t>次</w:t>
            </w:r>
          </w:p>
        </w:tc>
      </w:tr>
      <w:tr w14:paraId="15D78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642" w:type="dxa"/>
            <w:vMerge w:val="continue"/>
            <w:tcBorders>
              <w:top w:val="nil"/>
              <w:left w:val="single" w:color="000000" w:sz="6" w:space="0"/>
              <w:bottom w:val="nil"/>
            </w:tcBorders>
            <w:vAlign w:val="top"/>
          </w:tcPr>
          <w:p w14:paraId="7D94D8E0">
            <w:pPr>
              <w:rPr>
                <w:rFonts w:ascii="Arial"/>
                <w:sz w:val="21"/>
              </w:rPr>
            </w:pPr>
          </w:p>
        </w:tc>
        <w:tc>
          <w:tcPr>
            <w:tcW w:w="453" w:type="dxa"/>
            <w:vAlign w:val="top"/>
          </w:tcPr>
          <w:p w14:paraId="4734D758">
            <w:pPr>
              <w:pStyle w:val="9"/>
              <w:spacing w:before="121" w:line="242" w:lineRule="auto"/>
              <w:ind w:left="148"/>
            </w:pPr>
            <w:r>
              <w:rPr>
                <w:spacing w:val="-6"/>
              </w:rPr>
              <w:t>12</w:t>
            </w:r>
          </w:p>
        </w:tc>
        <w:tc>
          <w:tcPr>
            <w:tcW w:w="1215" w:type="dxa"/>
            <w:vAlign w:val="top"/>
          </w:tcPr>
          <w:p w14:paraId="0C2360F5">
            <w:pPr>
              <w:pStyle w:val="9"/>
              <w:spacing w:before="121" w:line="220" w:lineRule="auto"/>
              <w:ind w:left="247"/>
            </w:pPr>
            <w:r>
              <w:rPr>
                <w:spacing w:val="-2"/>
              </w:rPr>
              <w:t>性能检测</w:t>
            </w:r>
          </w:p>
        </w:tc>
        <w:tc>
          <w:tcPr>
            <w:tcW w:w="3393" w:type="dxa"/>
            <w:vAlign w:val="top"/>
          </w:tcPr>
          <w:p w14:paraId="08AC2874">
            <w:pPr>
              <w:pStyle w:val="9"/>
              <w:spacing w:before="121" w:line="220" w:lineRule="auto"/>
              <w:ind w:right="23"/>
              <w:jc w:val="right"/>
            </w:pPr>
            <w:r>
              <w:rPr>
                <w:spacing w:val="-5"/>
              </w:rPr>
              <w:t>凝结时间、泌水率、坍落度和含气量损失</w:t>
            </w:r>
          </w:p>
        </w:tc>
        <w:tc>
          <w:tcPr>
            <w:tcW w:w="1270" w:type="dxa"/>
            <w:vAlign w:val="top"/>
          </w:tcPr>
          <w:p w14:paraId="59F33B45">
            <w:pPr>
              <w:pStyle w:val="9"/>
              <w:spacing w:before="121" w:line="220" w:lineRule="auto"/>
              <w:ind w:left="102"/>
            </w:pPr>
            <w:r>
              <w:rPr>
                <w:spacing w:val="-5"/>
              </w:rPr>
              <w:t>每月至少</w:t>
            </w:r>
            <w:r>
              <w:rPr>
                <w:spacing w:val="-24"/>
              </w:rPr>
              <w:t xml:space="preserve"> </w:t>
            </w:r>
            <w:r>
              <w:rPr>
                <w:spacing w:val="-5"/>
              </w:rPr>
              <w:t>1</w:t>
            </w:r>
            <w:r>
              <w:rPr>
                <w:spacing w:val="-34"/>
              </w:rPr>
              <w:t xml:space="preserve"> </w:t>
            </w:r>
            <w:r>
              <w:rPr>
                <w:spacing w:val="-5"/>
              </w:rPr>
              <w:t>次</w:t>
            </w:r>
          </w:p>
        </w:tc>
        <w:tc>
          <w:tcPr>
            <w:tcW w:w="2441" w:type="dxa"/>
            <w:tcBorders>
              <w:right w:val="single" w:color="000000" w:sz="6" w:space="0"/>
            </w:tcBorders>
            <w:vAlign w:val="top"/>
          </w:tcPr>
          <w:p w14:paraId="2E74FD5D">
            <w:pPr>
              <w:pStyle w:val="9"/>
              <w:spacing w:before="120" w:line="220" w:lineRule="auto"/>
              <w:ind w:left="216"/>
            </w:pPr>
            <w:r>
              <w:rPr>
                <w:spacing w:val="-2"/>
              </w:rPr>
              <w:t>机口取样</w:t>
            </w:r>
          </w:p>
        </w:tc>
      </w:tr>
      <w:tr w14:paraId="68C20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42" w:type="dxa"/>
            <w:vMerge w:val="continue"/>
            <w:tcBorders>
              <w:top w:val="nil"/>
              <w:left w:val="single" w:color="000000" w:sz="6" w:space="0"/>
              <w:bottom w:val="single" w:color="000000" w:sz="6" w:space="0"/>
            </w:tcBorders>
            <w:vAlign w:val="top"/>
          </w:tcPr>
          <w:p w14:paraId="1471B688">
            <w:pPr>
              <w:rPr>
                <w:rFonts w:ascii="Arial"/>
                <w:sz w:val="21"/>
              </w:rPr>
            </w:pPr>
          </w:p>
        </w:tc>
        <w:tc>
          <w:tcPr>
            <w:tcW w:w="453" w:type="dxa"/>
            <w:tcBorders>
              <w:bottom w:val="single" w:color="000000" w:sz="6" w:space="0"/>
            </w:tcBorders>
            <w:vAlign w:val="top"/>
          </w:tcPr>
          <w:p w14:paraId="7F86130C">
            <w:pPr>
              <w:pStyle w:val="9"/>
              <w:spacing w:before="122"/>
              <w:ind w:left="148"/>
            </w:pPr>
            <w:r>
              <w:rPr>
                <w:spacing w:val="-6"/>
              </w:rPr>
              <w:t>13</w:t>
            </w:r>
          </w:p>
        </w:tc>
        <w:tc>
          <w:tcPr>
            <w:tcW w:w="1215" w:type="dxa"/>
            <w:tcBorders>
              <w:bottom w:val="single" w:color="000000" w:sz="6" w:space="0"/>
            </w:tcBorders>
            <w:vAlign w:val="top"/>
          </w:tcPr>
          <w:p w14:paraId="3937DFAF">
            <w:pPr>
              <w:pStyle w:val="9"/>
              <w:spacing w:before="122" w:line="220" w:lineRule="auto"/>
              <w:ind w:left="246"/>
            </w:pPr>
            <w:r>
              <w:rPr>
                <w:spacing w:val="-2"/>
              </w:rPr>
              <w:t>砂浆试验</w:t>
            </w:r>
          </w:p>
        </w:tc>
        <w:tc>
          <w:tcPr>
            <w:tcW w:w="3393" w:type="dxa"/>
            <w:tcBorders>
              <w:bottom w:val="single" w:color="000000" w:sz="6" w:space="0"/>
            </w:tcBorders>
            <w:vAlign w:val="top"/>
          </w:tcPr>
          <w:p w14:paraId="3339A7E3">
            <w:pPr>
              <w:pStyle w:val="9"/>
              <w:spacing w:before="122" w:line="220" w:lineRule="auto"/>
              <w:ind w:left="207"/>
            </w:pPr>
            <w:r>
              <w:rPr>
                <w:spacing w:val="-1"/>
              </w:rPr>
              <w:t>稠度、含气量</w:t>
            </w:r>
          </w:p>
        </w:tc>
        <w:tc>
          <w:tcPr>
            <w:tcW w:w="1270" w:type="dxa"/>
            <w:tcBorders>
              <w:bottom w:val="single" w:color="000000" w:sz="6" w:space="0"/>
            </w:tcBorders>
            <w:vAlign w:val="top"/>
          </w:tcPr>
          <w:p w14:paraId="5541BF27">
            <w:pPr>
              <w:pStyle w:val="9"/>
              <w:spacing w:before="122" w:line="220" w:lineRule="auto"/>
              <w:ind w:left="102"/>
            </w:pPr>
            <w:r>
              <w:rPr>
                <w:spacing w:val="-5"/>
              </w:rPr>
              <w:t>每浇筑块</w:t>
            </w:r>
            <w:r>
              <w:rPr>
                <w:spacing w:val="-24"/>
              </w:rPr>
              <w:t xml:space="preserve"> </w:t>
            </w:r>
            <w:r>
              <w:rPr>
                <w:spacing w:val="-5"/>
              </w:rPr>
              <w:t>1</w:t>
            </w:r>
            <w:r>
              <w:rPr>
                <w:spacing w:val="-34"/>
              </w:rPr>
              <w:t xml:space="preserve"> </w:t>
            </w:r>
            <w:r>
              <w:rPr>
                <w:spacing w:val="-5"/>
              </w:rPr>
              <w:t>次</w:t>
            </w:r>
          </w:p>
        </w:tc>
        <w:tc>
          <w:tcPr>
            <w:tcW w:w="2441" w:type="dxa"/>
            <w:tcBorders>
              <w:bottom w:val="single" w:color="000000" w:sz="6" w:space="0"/>
              <w:right w:val="single" w:color="000000" w:sz="6" w:space="0"/>
            </w:tcBorders>
            <w:vAlign w:val="top"/>
          </w:tcPr>
          <w:p w14:paraId="47A3216D">
            <w:pPr>
              <w:pStyle w:val="9"/>
              <w:spacing w:before="122" w:line="220" w:lineRule="auto"/>
              <w:ind w:left="220"/>
            </w:pPr>
            <w:r>
              <w:rPr>
                <w:spacing w:val="-1"/>
              </w:rPr>
              <w:t>系指施工缝铺筑用砂浆</w:t>
            </w:r>
          </w:p>
        </w:tc>
      </w:tr>
    </w:tbl>
    <w:p w14:paraId="43A37F98">
      <w:pPr>
        <w:pStyle w:val="2"/>
        <w:spacing w:line="447" w:lineRule="auto"/>
      </w:pPr>
    </w:p>
    <w:p w14:paraId="6C3F8215">
      <w:pPr>
        <w:spacing w:before="68" w:line="222" w:lineRule="auto"/>
        <w:ind w:left="3047"/>
        <w:rPr>
          <w:rFonts w:ascii="黑体" w:hAnsi="黑体" w:eastAsia="黑体" w:cs="黑体"/>
          <w:sz w:val="21"/>
          <w:szCs w:val="21"/>
        </w:rPr>
      </w:pPr>
      <w:r>
        <w:rPr>
          <w:rFonts w:ascii="黑体" w:hAnsi="黑体" w:eastAsia="黑体" w:cs="黑体"/>
          <w:spacing w:val="-2"/>
          <w:sz w:val="21"/>
          <w:szCs w:val="21"/>
        </w:rPr>
        <w:t>表</w:t>
      </w:r>
      <w:r>
        <w:rPr>
          <w:rFonts w:ascii="黑体" w:hAnsi="黑体" w:eastAsia="黑体" w:cs="黑体"/>
          <w:spacing w:val="-29"/>
          <w:sz w:val="21"/>
          <w:szCs w:val="21"/>
        </w:rPr>
        <w:t xml:space="preserve"> </w:t>
      </w:r>
      <w:r>
        <w:rPr>
          <w:rFonts w:ascii="黑体" w:hAnsi="黑体" w:eastAsia="黑体" w:cs="黑体"/>
          <w:spacing w:val="-2"/>
          <w:sz w:val="21"/>
          <w:szCs w:val="21"/>
        </w:rPr>
        <w:t>2  混凝土抽样检测项目及检测频率</w:t>
      </w:r>
    </w:p>
    <w:p w14:paraId="659FF49E">
      <w:pPr>
        <w:spacing w:line="165" w:lineRule="exact"/>
      </w:pPr>
    </w:p>
    <w:tbl>
      <w:tblPr>
        <w:tblStyle w:val="8"/>
        <w:tblW w:w="957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0"/>
        <w:gridCol w:w="2258"/>
        <w:gridCol w:w="4529"/>
        <w:gridCol w:w="2098"/>
      </w:tblGrid>
      <w:tr w14:paraId="1AAFA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690" w:type="dxa"/>
            <w:tcBorders>
              <w:top w:val="single" w:color="000000" w:sz="6" w:space="0"/>
              <w:left w:val="single" w:color="000000" w:sz="6" w:space="0"/>
              <w:bottom w:val="single" w:color="000000" w:sz="6" w:space="0"/>
            </w:tcBorders>
            <w:vAlign w:val="top"/>
          </w:tcPr>
          <w:p w14:paraId="4AB5D3F4">
            <w:pPr>
              <w:pStyle w:val="9"/>
              <w:spacing w:before="71" w:line="222" w:lineRule="auto"/>
              <w:ind w:left="161"/>
            </w:pPr>
            <w:r>
              <w:rPr>
                <w:spacing w:val="-2"/>
              </w:rPr>
              <w:t>序号</w:t>
            </w:r>
          </w:p>
        </w:tc>
        <w:tc>
          <w:tcPr>
            <w:tcW w:w="2258" w:type="dxa"/>
            <w:tcBorders>
              <w:top w:val="single" w:color="000000" w:sz="6" w:space="0"/>
              <w:bottom w:val="single" w:color="000000" w:sz="6" w:space="0"/>
            </w:tcBorders>
            <w:vAlign w:val="top"/>
          </w:tcPr>
          <w:p w14:paraId="5E1345FC">
            <w:pPr>
              <w:pStyle w:val="9"/>
              <w:spacing w:before="71" w:line="220" w:lineRule="auto"/>
              <w:ind w:left="768"/>
            </w:pPr>
            <w:r>
              <w:rPr>
                <w:spacing w:val="-2"/>
              </w:rPr>
              <w:t>检验内容</w:t>
            </w:r>
          </w:p>
        </w:tc>
        <w:tc>
          <w:tcPr>
            <w:tcW w:w="4529" w:type="dxa"/>
            <w:tcBorders>
              <w:top w:val="single" w:color="000000" w:sz="6" w:space="0"/>
              <w:bottom w:val="single" w:color="000000" w:sz="6" w:space="0"/>
            </w:tcBorders>
            <w:vAlign w:val="top"/>
          </w:tcPr>
          <w:p w14:paraId="63C3F5EB">
            <w:pPr>
              <w:pStyle w:val="9"/>
              <w:spacing w:before="71" w:line="220" w:lineRule="auto"/>
              <w:ind w:left="1910"/>
            </w:pPr>
            <w:r>
              <w:rPr>
                <w:spacing w:val="-2"/>
              </w:rPr>
              <w:t>检测频率</w:t>
            </w:r>
          </w:p>
        </w:tc>
        <w:tc>
          <w:tcPr>
            <w:tcW w:w="2098" w:type="dxa"/>
            <w:tcBorders>
              <w:top w:val="single" w:color="000000" w:sz="6" w:space="0"/>
              <w:bottom w:val="single" w:color="000000" w:sz="6" w:space="0"/>
              <w:right w:val="single" w:color="000000" w:sz="6" w:space="0"/>
            </w:tcBorders>
            <w:vAlign w:val="top"/>
          </w:tcPr>
          <w:p w14:paraId="1C23F4E0">
            <w:pPr>
              <w:pStyle w:val="9"/>
              <w:spacing w:before="71" w:line="220" w:lineRule="auto"/>
              <w:ind w:left="694"/>
            </w:pPr>
            <w:r>
              <w:rPr>
                <w:spacing w:val="-2"/>
              </w:rPr>
              <w:t>检测要求</w:t>
            </w:r>
          </w:p>
        </w:tc>
      </w:tr>
      <w:tr w14:paraId="7FB9A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0" w:hRule="atLeast"/>
        </w:trPr>
        <w:tc>
          <w:tcPr>
            <w:tcW w:w="690" w:type="dxa"/>
            <w:vMerge w:val="restart"/>
            <w:tcBorders>
              <w:top w:val="single" w:color="000000" w:sz="6" w:space="0"/>
              <w:left w:val="single" w:color="000000" w:sz="6" w:space="0"/>
              <w:bottom w:val="nil"/>
            </w:tcBorders>
            <w:vAlign w:val="top"/>
          </w:tcPr>
          <w:p w14:paraId="5097D372">
            <w:pPr>
              <w:spacing w:line="257" w:lineRule="auto"/>
              <w:rPr>
                <w:rFonts w:ascii="Arial"/>
                <w:sz w:val="21"/>
              </w:rPr>
            </w:pPr>
          </w:p>
          <w:p w14:paraId="6A787304">
            <w:pPr>
              <w:spacing w:line="257" w:lineRule="auto"/>
              <w:rPr>
                <w:rFonts w:ascii="Arial"/>
                <w:sz w:val="21"/>
              </w:rPr>
            </w:pPr>
          </w:p>
          <w:p w14:paraId="75721B0D">
            <w:pPr>
              <w:spacing w:line="257" w:lineRule="auto"/>
              <w:rPr>
                <w:rFonts w:ascii="Arial"/>
                <w:sz w:val="21"/>
              </w:rPr>
            </w:pPr>
          </w:p>
          <w:p w14:paraId="713F3AEE">
            <w:pPr>
              <w:spacing w:line="257" w:lineRule="auto"/>
              <w:rPr>
                <w:rFonts w:ascii="Arial"/>
                <w:sz w:val="21"/>
              </w:rPr>
            </w:pPr>
          </w:p>
          <w:p w14:paraId="7CF074F0">
            <w:pPr>
              <w:spacing w:line="257" w:lineRule="auto"/>
              <w:rPr>
                <w:rFonts w:ascii="Arial"/>
                <w:sz w:val="21"/>
              </w:rPr>
            </w:pPr>
          </w:p>
          <w:p w14:paraId="189E42C2">
            <w:pPr>
              <w:spacing w:line="257" w:lineRule="auto"/>
              <w:rPr>
                <w:rFonts w:ascii="Arial"/>
                <w:sz w:val="21"/>
              </w:rPr>
            </w:pPr>
          </w:p>
          <w:p w14:paraId="65DFD6F1">
            <w:pPr>
              <w:spacing w:line="257" w:lineRule="auto"/>
              <w:rPr>
                <w:rFonts w:ascii="Arial"/>
                <w:sz w:val="21"/>
              </w:rPr>
            </w:pPr>
          </w:p>
          <w:p w14:paraId="794AFC9B">
            <w:pPr>
              <w:pStyle w:val="9"/>
              <w:spacing w:before="58" w:line="242" w:lineRule="auto"/>
              <w:ind w:left="310"/>
            </w:pPr>
            <w:r>
              <w:t>1</w:t>
            </w:r>
          </w:p>
        </w:tc>
        <w:tc>
          <w:tcPr>
            <w:tcW w:w="2258" w:type="dxa"/>
            <w:tcBorders>
              <w:top w:val="single" w:color="000000" w:sz="6" w:space="0"/>
            </w:tcBorders>
            <w:vAlign w:val="top"/>
          </w:tcPr>
          <w:p w14:paraId="7F83FB4C">
            <w:pPr>
              <w:spacing w:line="245" w:lineRule="auto"/>
              <w:rPr>
                <w:rFonts w:ascii="Arial"/>
                <w:sz w:val="21"/>
              </w:rPr>
            </w:pPr>
          </w:p>
          <w:p w14:paraId="615B4900">
            <w:pPr>
              <w:spacing w:line="245" w:lineRule="auto"/>
              <w:rPr>
                <w:rFonts w:ascii="Arial"/>
                <w:sz w:val="21"/>
              </w:rPr>
            </w:pPr>
          </w:p>
          <w:p w14:paraId="68CFB7CC">
            <w:pPr>
              <w:spacing w:line="245" w:lineRule="auto"/>
              <w:rPr>
                <w:rFonts w:ascii="Arial"/>
                <w:sz w:val="21"/>
              </w:rPr>
            </w:pPr>
          </w:p>
          <w:p w14:paraId="28DE7D19">
            <w:pPr>
              <w:pStyle w:val="9"/>
              <w:spacing w:before="59" w:line="220" w:lineRule="auto"/>
              <w:ind w:left="106"/>
            </w:pPr>
            <w:r>
              <w:rPr>
                <w:spacing w:val="-4"/>
              </w:rPr>
              <w:t>抗压强度（7d、28d、90d、</w:t>
            </w:r>
          </w:p>
          <w:p w14:paraId="58AA3D55">
            <w:pPr>
              <w:pStyle w:val="9"/>
              <w:spacing w:before="96" w:line="233" w:lineRule="auto"/>
              <w:ind w:left="601"/>
            </w:pPr>
            <w:r>
              <w:rPr>
                <w:spacing w:val="-3"/>
              </w:rPr>
              <w:t>180d、365d）</w:t>
            </w:r>
          </w:p>
        </w:tc>
        <w:tc>
          <w:tcPr>
            <w:tcW w:w="4529" w:type="dxa"/>
            <w:tcBorders>
              <w:top w:val="single" w:color="000000" w:sz="6" w:space="0"/>
            </w:tcBorders>
            <w:vAlign w:val="top"/>
          </w:tcPr>
          <w:p w14:paraId="6FD2D82A">
            <w:pPr>
              <w:pStyle w:val="9"/>
              <w:spacing w:before="161" w:line="233" w:lineRule="auto"/>
              <w:ind w:left="290"/>
            </w:pPr>
            <w:r>
              <w:rPr>
                <w:spacing w:val="-5"/>
              </w:rPr>
              <w:t>a）7d</w:t>
            </w:r>
            <w:r>
              <w:rPr>
                <w:spacing w:val="-27"/>
              </w:rPr>
              <w:t xml:space="preserve"> </w:t>
            </w:r>
            <w:r>
              <w:rPr>
                <w:spacing w:val="-5"/>
              </w:rPr>
              <w:t>龄期每</w:t>
            </w:r>
            <w:r>
              <w:rPr>
                <w:spacing w:val="-36"/>
              </w:rPr>
              <w:t xml:space="preserve"> </w:t>
            </w:r>
            <w:r>
              <w:rPr>
                <w:spacing w:val="-5"/>
              </w:rPr>
              <w:t>2000m</w:t>
            </w:r>
            <w:r>
              <w:rPr>
                <w:spacing w:val="-5"/>
                <w:position w:val="8"/>
                <w:sz w:val="9"/>
                <w:szCs w:val="9"/>
              </w:rPr>
              <w:t>3</w:t>
            </w:r>
            <w:r>
              <w:rPr>
                <w:spacing w:val="-13"/>
                <w:position w:val="8"/>
                <w:sz w:val="9"/>
                <w:szCs w:val="9"/>
              </w:rPr>
              <w:t xml:space="preserve"> </w:t>
            </w:r>
            <w:r>
              <w:rPr>
                <w:spacing w:val="-5"/>
              </w:rPr>
              <w:t>成型</w:t>
            </w:r>
            <w:r>
              <w:rPr>
                <w:spacing w:val="-26"/>
              </w:rPr>
              <w:t xml:space="preserve"> </w:t>
            </w:r>
            <w:r>
              <w:rPr>
                <w:spacing w:val="-5"/>
              </w:rPr>
              <w:t>1</w:t>
            </w:r>
            <w:r>
              <w:rPr>
                <w:spacing w:val="-36"/>
              </w:rPr>
              <w:t xml:space="preserve"> </w:t>
            </w:r>
            <w:r>
              <w:rPr>
                <w:spacing w:val="-5"/>
              </w:rPr>
              <w:t>组；</w:t>
            </w:r>
          </w:p>
          <w:p w14:paraId="44DCBE8A">
            <w:pPr>
              <w:pStyle w:val="9"/>
              <w:spacing w:before="84" w:line="233" w:lineRule="auto"/>
              <w:ind w:left="287"/>
            </w:pPr>
            <w:r>
              <w:rPr>
                <w:spacing w:val="-5"/>
              </w:rPr>
              <w:t>b）28d</w:t>
            </w:r>
            <w:r>
              <w:rPr>
                <w:spacing w:val="-26"/>
              </w:rPr>
              <w:t xml:space="preserve"> </w:t>
            </w:r>
            <w:r>
              <w:rPr>
                <w:spacing w:val="-5"/>
              </w:rPr>
              <w:t>龄期每</w:t>
            </w:r>
            <w:r>
              <w:rPr>
                <w:spacing w:val="-34"/>
              </w:rPr>
              <w:t xml:space="preserve"> </w:t>
            </w:r>
            <w:r>
              <w:rPr>
                <w:spacing w:val="-5"/>
              </w:rPr>
              <w:t>500m</w:t>
            </w:r>
            <w:r>
              <w:rPr>
                <w:spacing w:val="-5"/>
                <w:position w:val="8"/>
                <w:sz w:val="9"/>
                <w:szCs w:val="9"/>
              </w:rPr>
              <w:t>3</w:t>
            </w:r>
            <w:r>
              <w:rPr>
                <w:spacing w:val="-13"/>
                <w:position w:val="8"/>
                <w:sz w:val="9"/>
                <w:szCs w:val="9"/>
              </w:rPr>
              <w:t xml:space="preserve"> </w:t>
            </w:r>
            <w:r>
              <w:rPr>
                <w:spacing w:val="-5"/>
              </w:rPr>
              <w:t>成型</w:t>
            </w:r>
            <w:r>
              <w:rPr>
                <w:spacing w:val="-25"/>
              </w:rPr>
              <w:t xml:space="preserve"> </w:t>
            </w:r>
            <w:r>
              <w:rPr>
                <w:spacing w:val="-5"/>
              </w:rPr>
              <w:t>1</w:t>
            </w:r>
            <w:r>
              <w:rPr>
                <w:spacing w:val="-37"/>
              </w:rPr>
              <w:t xml:space="preserve"> </w:t>
            </w:r>
            <w:r>
              <w:rPr>
                <w:spacing w:val="-5"/>
              </w:rPr>
              <w:t>组；</w:t>
            </w:r>
          </w:p>
          <w:p w14:paraId="5995735D">
            <w:pPr>
              <w:pStyle w:val="9"/>
              <w:spacing w:before="83" w:line="277" w:lineRule="auto"/>
              <w:ind w:left="123" w:right="73" w:firstLine="170"/>
            </w:pPr>
            <w:r>
              <w:rPr>
                <w:spacing w:val="-5"/>
              </w:rPr>
              <w:t>c）针对</w:t>
            </w:r>
            <w:r>
              <w:rPr>
                <w:spacing w:val="-25"/>
              </w:rPr>
              <w:t xml:space="preserve"> </w:t>
            </w:r>
            <w:r>
              <w:rPr>
                <w:spacing w:val="-5"/>
              </w:rPr>
              <w:t>90d</w:t>
            </w:r>
            <w:r>
              <w:rPr>
                <w:spacing w:val="-35"/>
              </w:rPr>
              <w:t xml:space="preserve"> </w:t>
            </w:r>
            <w:r>
              <w:rPr>
                <w:spacing w:val="-5"/>
              </w:rPr>
              <w:t>设计龄期，90d</w:t>
            </w:r>
            <w:r>
              <w:rPr>
                <w:spacing w:val="-40"/>
              </w:rPr>
              <w:t xml:space="preserve"> </w:t>
            </w:r>
            <w:r>
              <w:rPr>
                <w:spacing w:val="-5"/>
              </w:rPr>
              <w:t>龄期每</w:t>
            </w:r>
            <w:r>
              <w:rPr>
                <w:spacing w:val="-25"/>
              </w:rPr>
              <w:t xml:space="preserve"> </w:t>
            </w:r>
            <w:r>
              <w:rPr>
                <w:spacing w:val="-5"/>
              </w:rPr>
              <w:t>1000m</w:t>
            </w:r>
            <w:r>
              <w:rPr>
                <w:spacing w:val="-5"/>
                <w:position w:val="8"/>
                <w:sz w:val="9"/>
                <w:szCs w:val="9"/>
              </w:rPr>
              <w:t>3</w:t>
            </w:r>
            <w:r>
              <w:rPr>
                <w:spacing w:val="-13"/>
                <w:position w:val="8"/>
                <w:sz w:val="9"/>
                <w:szCs w:val="9"/>
              </w:rPr>
              <w:t xml:space="preserve"> </w:t>
            </w:r>
            <w:r>
              <w:rPr>
                <w:spacing w:val="-5"/>
              </w:rPr>
              <w:t>成型</w:t>
            </w:r>
            <w:r>
              <w:rPr>
                <w:spacing w:val="-25"/>
              </w:rPr>
              <w:t xml:space="preserve"> </w:t>
            </w:r>
            <w:r>
              <w:rPr>
                <w:spacing w:val="-5"/>
              </w:rPr>
              <w:t>1</w:t>
            </w:r>
            <w:r>
              <w:rPr>
                <w:spacing w:val="-37"/>
              </w:rPr>
              <w:t xml:space="preserve"> </w:t>
            </w:r>
            <w:r>
              <w:rPr>
                <w:spacing w:val="-5"/>
              </w:rPr>
              <w:t>组，</w:t>
            </w:r>
            <w:r>
              <w:t xml:space="preserve"> </w:t>
            </w:r>
            <w:r>
              <w:rPr>
                <w:spacing w:val="-6"/>
              </w:rPr>
              <w:t>180d</w:t>
            </w:r>
            <w:r>
              <w:rPr>
                <w:spacing w:val="-27"/>
              </w:rPr>
              <w:t xml:space="preserve"> </w:t>
            </w:r>
            <w:r>
              <w:rPr>
                <w:spacing w:val="-6"/>
              </w:rPr>
              <w:t>龄期每</w:t>
            </w:r>
            <w:r>
              <w:rPr>
                <w:spacing w:val="-25"/>
              </w:rPr>
              <w:t xml:space="preserve"> </w:t>
            </w:r>
            <w:r>
              <w:rPr>
                <w:spacing w:val="-6"/>
              </w:rPr>
              <w:t>10000m</w:t>
            </w:r>
            <w:r>
              <w:rPr>
                <w:spacing w:val="-6"/>
                <w:position w:val="8"/>
                <w:sz w:val="9"/>
                <w:szCs w:val="9"/>
              </w:rPr>
              <w:t>3</w:t>
            </w:r>
            <w:r>
              <w:rPr>
                <w:spacing w:val="-13"/>
                <w:position w:val="8"/>
                <w:sz w:val="9"/>
                <w:szCs w:val="9"/>
              </w:rPr>
              <w:t xml:space="preserve"> </w:t>
            </w:r>
            <w:r>
              <w:rPr>
                <w:spacing w:val="-6"/>
              </w:rPr>
              <w:t>成型</w:t>
            </w:r>
            <w:r>
              <w:rPr>
                <w:spacing w:val="-25"/>
              </w:rPr>
              <w:t xml:space="preserve"> </w:t>
            </w:r>
            <w:r>
              <w:rPr>
                <w:spacing w:val="-6"/>
              </w:rPr>
              <w:t>1</w:t>
            </w:r>
            <w:r>
              <w:rPr>
                <w:spacing w:val="-37"/>
              </w:rPr>
              <w:t xml:space="preserve"> </w:t>
            </w:r>
            <w:r>
              <w:rPr>
                <w:spacing w:val="-6"/>
              </w:rPr>
              <w:t>组；</w:t>
            </w:r>
          </w:p>
          <w:p w14:paraId="1CE61779">
            <w:pPr>
              <w:pStyle w:val="9"/>
              <w:spacing w:before="84" w:line="277" w:lineRule="auto"/>
              <w:ind w:left="110" w:right="50" w:firstLine="182"/>
            </w:pPr>
            <w:r>
              <w:rPr>
                <w:spacing w:val="-9"/>
              </w:rPr>
              <w:t>d）针对</w:t>
            </w:r>
            <w:r>
              <w:rPr>
                <w:spacing w:val="-24"/>
              </w:rPr>
              <w:t xml:space="preserve"> </w:t>
            </w:r>
            <w:r>
              <w:rPr>
                <w:spacing w:val="-9"/>
              </w:rPr>
              <w:t>180d</w:t>
            </w:r>
            <w:r>
              <w:rPr>
                <w:spacing w:val="-36"/>
              </w:rPr>
              <w:t xml:space="preserve"> </w:t>
            </w:r>
            <w:r>
              <w:rPr>
                <w:spacing w:val="-9"/>
              </w:rPr>
              <w:t>设计龄期，180d</w:t>
            </w:r>
            <w:r>
              <w:rPr>
                <w:spacing w:val="-39"/>
              </w:rPr>
              <w:t xml:space="preserve"> </w:t>
            </w:r>
            <w:r>
              <w:rPr>
                <w:spacing w:val="-9"/>
              </w:rPr>
              <w:t>龄期每</w:t>
            </w:r>
            <w:r>
              <w:rPr>
                <w:spacing w:val="-25"/>
              </w:rPr>
              <w:t xml:space="preserve"> </w:t>
            </w:r>
            <w:r>
              <w:rPr>
                <w:spacing w:val="-9"/>
              </w:rPr>
              <w:t>1000m</w:t>
            </w:r>
            <w:r>
              <w:rPr>
                <w:spacing w:val="-3"/>
                <w:position w:val="8"/>
                <w:sz w:val="9"/>
                <w:szCs w:val="9"/>
              </w:rPr>
              <w:t>3</w:t>
            </w:r>
            <w:r>
              <w:rPr>
                <w:spacing w:val="-13"/>
                <w:position w:val="8"/>
                <w:sz w:val="9"/>
                <w:szCs w:val="9"/>
              </w:rPr>
              <w:t xml:space="preserve"> </w:t>
            </w:r>
            <w:r>
              <w:rPr>
                <w:spacing w:val="-3"/>
              </w:rPr>
              <w:t>成型</w:t>
            </w:r>
            <w:r>
              <w:rPr>
                <w:spacing w:val="-26"/>
              </w:rPr>
              <w:t xml:space="preserve"> </w:t>
            </w:r>
            <w:r>
              <w:rPr>
                <w:spacing w:val="-23"/>
              </w:rPr>
              <w:t>1</w:t>
            </w:r>
            <w:r>
              <w:rPr>
                <w:spacing w:val="-36"/>
              </w:rPr>
              <w:t xml:space="preserve"> </w:t>
            </w:r>
            <w:r>
              <w:rPr>
                <w:spacing w:val="-23"/>
              </w:rPr>
              <w:t>组，</w:t>
            </w:r>
            <w:r>
              <w:t xml:space="preserve"> </w:t>
            </w:r>
            <w:r>
              <w:rPr>
                <w:spacing w:val="-3"/>
              </w:rPr>
              <w:t>90d、365d</w:t>
            </w:r>
            <w:r>
              <w:rPr>
                <w:spacing w:val="-38"/>
              </w:rPr>
              <w:t xml:space="preserve"> </w:t>
            </w:r>
            <w:r>
              <w:rPr>
                <w:spacing w:val="-3"/>
              </w:rPr>
              <w:t>龄期每</w:t>
            </w:r>
            <w:r>
              <w:rPr>
                <w:spacing w:val="-25"/>
              </w:rPr>
              <w:t xml:space="preserve"> </w:t>
            </w:r>
            <w:r>
              <w:rPr>
                <w:spacing w:val="-3"/>
              </w:rPr>
              <w:t>10000m</w:t>
            </w:r>
            <w:r>
              <w:rPr>
                <w:spacing w:val="-3"/>
                <w:position w:val="8"/>
                <w:sz w:val="9"/>
                <w:szCs w:val="9"/>
              </w:rPr>
              <w:t>3</w:t>
            </w:r>
            <w:r>
              <w:rPr>
                <w:spacing w:val="-13"/>
                <w:position w:val="8"/>
                <w:sz w:val="9"/>
                <w:szCs w:val="9"/>
              </w:rPr>
              <w:t xml:space="preserve"> </w:t>
            </w:r>
            <w:r>
              <w:rPr>
                <w:spacing w:val="-3"/>
              </w:rPr>
              <w:t>成型</w:t>
            </w:r>
            <w:r>
              <w:rPr>
                <w:spacing w:val="-26"/>
              </w:rPr>
              <w:t xml:space="preserve"> </w:t>
            </w:r>
            <w:r>
              <w:rPr>
                <w:spacing w:val="-3"/>
              </w:rPr>
              <w:t>1</w:t>
            </w:r>
            <w:r>
              <w:rPr>
                <w:spacing w:val="-36"/>
              </w:rPr>
              <w:t xml:space="preserve"> </w:t>
            </w:r>
            <w:r>
              <w:rPr>
                <w:spacing w:val="-3"/>
              </w:rPr>
              <w:t>组</w:t>
            </w:r>
          </w:p>
        </w:tc>
        <w:tc>
          <w:tcPr>
            <w:tcW w:w="2098" w:type="dxa"/>
            <w:tcBorders>
              <w:top w:val="single" w:color="000000" w:sz="6" w:space="0"/>
              <w:right w:val="single" w:color="000000" w:sz="6" w:space="0"/>
            </w:tcBorders>
            <w:vAlign w:val="top"/>
          </w:tcPr>
          <w:p w14:paraId="0E572DE9">
            <w:pPr>
              <w:spacing w:line="296" w:lineRule="auto"/>
              <w:rPr>
                <w:rFonts w:ascii="Arial"/>
                <w:sz w:val="21"/>
              </w:rPr>
            </w:pPr>
          </w:p>
          <w:p w14:paraId="0AF48162">
            <w:pPr>
              <w:spacing w:line="297" w:lineRule="auto"/>
              <w:rPr>
                <w:rFonts w:ascii="Arial"/>
                <w:sz w:val="21"/>
              </w:rPr>
            </w:pPr>
          </w:p>
          <w:p w14:paraId="46ABAA53">
            <w:pPr>
              <w:spacing w:line="297" w:lineRule="auto"/>
              <w:rPr>
                <w:rFonts w:ascii="Arial"/>
                <w:sz w:val="21"/>
              </w:rPr>
            </w:pPr>
          </w:p>
          <w:p w14:paraId="5648A601">
            <w:pPr>
              <w:pStyle w:val="9"/>
              <w:spacing w:before="58" w:line="221" w:lineRule="auto"/>
              <w:ind w:left="297"/>
            </w:pPr>
            <w:r>
              <w:rPr>
                <w:spacing w:val="-1"/>
              </w:rPr>
              <w:t>针对大体积混凝土</w:t>
            </w:r>
          </w:p>
        </w:tc>
      </w:tr>
      <w:tr w14:paraId="0743D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0" w:hRule="atLeast"/>
        </w:trPr>
        <w:tc>
          <w:tcPr>
            <w:tcW w:w="690" w:type="dxa"/>
            <w:vMerge w:val="continue"/>
            <w:tcBorders>
              <w:top w:val="nil"/>
              <w:left w:val="single" w:color="000000" w:sz="6" w:space="0"/>
            </w:tcBorders>
            <w:vAlign w:val="top"/>
          </w:tcPr>
          <w:p w14:paraId="735E03EB">
            <w:pPr>
              <w:rPr>
                <w:rFonts w:ascii="Arial"/>
                <w:sz w:val="21"/>
              </w:rPr>
            </w:pPr>
          </w:p>
        </w:tc>
        <w:tc>
          <w:tcPr>
            <w:tcW w:w="2258" w:type="dxa"/>
            <w:vAlign w:val="top"/>
          </w:tcPr>
          <w:p w14:paraId="27EF31AC">
            <w:pPr>
              <w:spacing w:line="309" w:lineRule="auto"/>
              <w:rPr>
                <w:rFonts w:ascii="Arial"/>
                <w:sz w:val="21"/>
              </w:rPr>
            </w:pPr>
          </w:p>
          <w:p w14:paraId="4DEA0350">
            <w:pPr>
              <w:spacing w:line="309" w:lineRule="auto"/>
              <w:rPr>
                <w:rFonts w:ascii="Arial"/>
                <w:sz w:val="21"/>
              </w:rPr>
            </w:pPr>
          </w:p>
          <w:p w14:paraId="442296D2">
            <w:pPr>
              <w:pStyle w:val="9"/>
              <w:spacing w:before="59" w:line="220" w:lineRule="auto"/>
              <w:ind w:left="106"/>
            </w:pPr>
            <w:r>
              <w:rPr>
                <w:spacing w:val="-4"/>
              </w:rPr>
              <w:t>抗压强度（7d、28d、90d、</w:t>
            </w:r>
          </w:p>
          <w:p w14:paraId="7EA01D9A">
            <w:pPr>
              <w:pStyle w:val="9"/>
              <w:spacing w:before="96" w:line="233" w:lineRule="auto"/>
              <w:ind w:left="871"/>
            </w:pPr>
            <w:r>
              <w:rPr>
                <w:spacing w:val="-5"/>
              </w:rPr>
              <w:t>180d）</w:t>
            </w:r>
          </w:p>
        </w:tc>
        <w:tc>
          <w:tcPr>
            <w:tcW w:w="4529" w:type="dxa"/>
            <w:vAlign w:val="top"/>
          </w:tcPr>
          <w:p w14:paraId="2B1E8743">
            <w:pPr>
              <w:pStyle w:val="9"/>
              <w:spacing w:before="200" w:line="233" w:lineRule="auto"/>
              <w:ind w:left="290"/>
            </w:pPr>
            <w:r>
              <w:rPr>
                <w:spacing w:val="-5"/>
              </w:rPr>
              <w:t>a）7d</w:t>
            </w:r>
            <w:r>
              <w:rPr>
                <w:spacing w:val="-29"/>
              </w:rPr>
              <w:t xml:space="preserve"> </w:t>
            </w:r>
            <w:r>
              <w:rPr>
                <w:spacing w:val="-5"/>
              </w:rPr>
              <w:t>龄期每</w:t>
            </w:r>
            <w:r>
              <w:rPr>
                <w:spacing w:val="-39"/>
              </w:rPr>
              <w:t xml:space="preserve"> </w:t>
            </w:r>
            <w:r>
              <w:rPr>
                <w:spacing w:val="-5"/>
              </w:rPr>
              <w:t>400m</w:t>
            </w:r>
            <w:r>
              <w:rPr>
                <w:spacing w:val="-5"/>
                <w:position w:val="8"/>
                <w:sz w:val="9"/>
                <w:szCs w:val="9"/>
              </w:rPr>
              <w:t>3</w:t>
            </w:r>
            <w:r>
              <w:rPr>
                <w:spacing w:val="-13"/>
                <w:position w:val="8"/>
                <w:sz w:val="9"/>
                <w:szCs w:val="9"/>
              </w:rPr>
              <w:t xml:space="preserve"> </w:t>
            </w:r>
            <w:r>
              <w:rPr>
                <w:spacing w:val="-5"/>
              </w:rPr>
              <w:t>成型</w:t>
            </w:r>
            <w:r>
              <w:rPr>
                <w:spacing w:val="-26"/>
              </w:rPr>
              <w:t xml:space="preserve"> </w:t>
            </w:r>
            <w:r>
              <w:rPr>
                <w:spacing w:val="-5"/>
              </w:rPr>
              <w:t>1</w:t>
            </w:r>
            <w:r>
              <w:rPr>
                <w:spacing w:val="-36"/>
              </w:rPr>
              <w:t xml:space="preserve"> </w:t>
            </w:r>
            <w:r>
              <w:rPr>
                <w:spacing w:val="-5"/>
              </w:rPr>
              <w:t>组；</w:t>
            </w:r>
          </w:p>
          <w:p w14:paraId="44720C89">
            <w:pPr>
              <w:pStyle w:val="9"/>
              <w:spacing w:before="84" w:line="233" w:lineRule="auto"/>
              <w:ind w:left="287"/>
            </w:pPr>
            <w:r>
              <w:rPr>
                <w:spacing w:val="-5"/>
              </w:rPr>
              <w:t>b）28d</w:t>
            </w:r>
            <w:r>
              <w:rPr>
                <w:spacing w:val="-36"/>
              </w:rPr>
              <w:t xml:space="preserve"> </w:t>
            </w:r>
            <w:r>
              <w:rPr>
                <w:spacing w:val="-5"/>
              </w:rPr>
              <w:t>龄期每</w:t>
            </w:r>
            <w:r>
              <w:rPr>
                <w:spacing w:val="-24"/>
              </w:rPr>
              <w:t xml:space="preserve"> </w:t>
            </w:r>
            <w:r>
              <w:rPr>
                <w:spacing w:val="-5"/>
              </w:rPr>
              <w:t>100m</w:t>
            </w:r>
            <w:r>
              <w:rPr>
                <w:spacing w:val="-5"/>
                <w:position w:val="8"/>
                <w:sz w:val="9"/>
                <w:szCs w:val="9"/>
              </w:rPr>
              <w:t>3</w:t>
            </w:r>
            <w:r>
              <w:rPr>
                <w:spacing w:val="-13"/>
                <w:position w:val="8"/>
                <w:sz w:val="9"/>
                <w:szCs w:val="9"/>
              </w:rPr>
              <w:t xml:space="preserve"> </w:t>
            </w:r>
            <w:r>
              <w:rPr>
                <w:spacing w:val="-5"/>
              </w:rPr>
              <w:t>成型</w:t>
            </w:r>
            <w:r>
              <w:rPr>
                <w:spacing w:val="-25"/>
              </w:rPr>
              <w:t xml:space="preserve"> </w:t>
            </w:r>
            <w:r>
              <w:rPr>
                <w:spacing w:val="-5"/>
              </w:rPr>
              <w:t>1</w:t>
            </w:r>
            <w:r>
              <w:rPr>
                <w:spacing w:val="-37"/>
              </w:rPr>
              <w:t xml:space="preserve"> </w:t>
            </w:r>
            <w:r>
              <w:rPr>
                <w:spacing w:val="-5"/>
              </w:rPr>
              <w:t>组；</w:t>
            </w:r>
          </w:p>
          <w:p w14:paraId="3D7720C3">
            <w:pPr>
              <w:pStyle w:val="9"/>
              <w:spacing w:before="84" w:line="233" w:lineRule="auto"/>
              <w:ind w:left="293"/>
            </w:pPr>
            <w:r>
              <w:rPr>
                <w:spacing w:val="-3"/>
              </w:rPr>
              <w:t>c）针对</w:t>
            </w:r>
            <w:r>
              <w:rPr>
                <w:spacing w:val="-33"/>
              </w:rPr>
              <w:t xml:space="preserve"> </w:t>
            </w:r>
            <w:r>
              <w:rPr>
                <w:spacing w:val="-3"/>
              </w:rPr>
              <w:t>28d</w:t>
            </w:r>
            <w:r>
              <w:rPr>
                <w:spacing w:val="-36"/>
              </w:rPr>
              <w:t xml:space="preserve"> </w:t>
            </w:r>
            <w:r>
              <w:rPr>
                <w:spacing w:val="-3"/>
              </w:rPr>
              <w:t>设计龄期，90d</w:t>
            </w:r>
            <w:r>
              <w:rPr>
                <w:spacing w:val="-39"/>
              </w:rPr>
              <w:t xml:space="preserve"> </w:t>
            </w:r>
            <w:r>
              <w:rPr>
                <w:spacing w:val="-3"/>
              </w:rPr>
              <w:t>龄期每</w:t>
            </w:r>
            <w:r>
              <w:rPr>
                <w:spacing w:val="-39"/>
              </w:rPr>
              <w:t xml:space="preserve"> </w:t>
            </w:r>
            <w:r>
              <w:rPr>
                <w:spacing w:val="-3"/>
              </w:rPr>
              <w:t>400m</w:t>
            </w:r>
            <w:r>
              <w:rPr>
                <w:spacing w:val="-3"/>
                <w:position w:val="8"/>
                <w:sz w:val="9"/>
                <w:szCs w:val="9"/>
              </w:rPr>
              <w:t>3</w:t>
            </w:r>
            <w:r>
              <w:rPr>
                <w:spacing w:val="-13"/>
                <w:position w:val="8"/>
                <w:sz w:val="9"/>
                <w:szCs w:val="9"/>
              </w:rPr>
              <w:t xml:space="preserve"> </w:t>
            </w:r>
            <w:r>
              <w:rPr>
                <w:spacing w:val="-3"/>
              </w:rPr>
              <w:t>成型</w:t>
            </w:r>
            <w:r>
              <w:rPr>
                <w:spacing w:val="-26"/>
              </w:rPr>
              <w:t xml:space="preserve"> </w:t>
            </w:r>
            <w:r>
              <w:rPr>
                <w:spacing w:val="-3"/>
              </w:rPr>
              <w:t>1</w:t>
            </w:r>
            <w:r>
              <w:rPr>
                <w:spacing w:val="-36"/>
              </w:rPr>
              <w:t xml:space="preserve"> </w:t>
            </w:r>
            <w:r>
              <w:rPr>
                <w:spacing w:val="-3"/>
              </w:rPr>
              <w:t>组；</w:t>
            </w:r>
          </w:p>
          <w:p w14:paraId="7110E034">
            <w:pPr>
              <w:pStyle w:val="9"/>
              <w:spacing w:before="84" w:line="277" w:lineRule="auto"/>
              <w:ind w:left="123" w:right="138" w:firstLine="170"/>
            </w:pPr>
            <w:r>
              <w:rPr>
                <w:spacing w:val="-5"/>
              </w:rPr>
              <w:t>d）针对</w:t>
            </w:r>
            <w:r>
              <w:rPr>
                <w:spacing w:val="-23"/>
              </w:rPr>
              <w:t xml:space="preserve"> </w:t>
            </w:r>
            <w:r>
              <w:rPr>
                <w:spacing w:val="-5"/>
              </w:rPr>
              <w:t>90d</w:t>
            </w:r>
            <w:r>
              <w:rPr>
                <w:spacing w:val="-29"/>
              </w:rPr>
              <w:t xml:space="preserve"> </w:t>
            </w:r>
            <w:r>
              <w:rPr>
                <w:spacing w:val="-5"/>
              </w:rPr>
              <w:t>设计龄期，90d</w:t>
            </w:r>
            <w:r>
              <w:rPr>
                <w:spacing w:val="-33"/>
              </w:rPr>
              <w:t xml:space="preserve"> </w:t>
            </w:r>
            <w:r>
              <w:rPr>
                <w:spacing w:val="-5"/>
              </w:rPr>
              <w:t>龄期每</w:t>
            </w:r>
            <w:r>
              <w:rPr>
                <w:spacing w:val="-31"/>
              </w:rPr>
              <w:t xml:space="preserve"> </w:t>
            </w:r>
            <w:r>
              <w:rPr>
                <w:spacing w:val="-5"/>
              </w:rPr>
              <w:t>200m</w:t>
            </w:r>
            <w:r>
              <w:rPr>
                <w:spacing w:val="-5"/>
                <w:position w:val="8"/>
                <w:sz w:val="9"/>
                <w:szCs w:val="9"/>
              </w:rPr>
              <w:t>3</w:t>
            </w:r>
            <w:r>
              <w:rPr>
                <w:spacing w:val="-14"/>
                <w:position w:val="8"/>
                <w:sz w:val="9"/>
                <w:szCs w:val="9"/>
              </w:rPr>
              <w:t xml:space="preserve"> </w:t>
            </w:r>
            <w:r>
              <w:rPr>
                <w:spacing w:val="-5"/>
              </w:rPr>
              <w:t>成型</w:t>
            </w:r>
            <w:r>
              <w:rPr>
                <w:spacing w:val="-19"/>
              </w:rPr>
              <w:t xml:space="preserve"> </w:t>
            </w:r>
            <w:r>
              <w:rPr>
                <w:spacing w:val="-5"/>
              </w:rPr>
              <w:t>1</w:t>
            </w:r>
            <w:r>
              <w:rPr>
                <w:spacing w:val="-31"/>
              </w:rPr>
              <w:t xml:space="preserve"> </w:t>
            </w:r>
            <w:r>
              <w:rPr>
                <w:spacing w:val="-5"/>
              </w:rPr>
              <w:t>组，</w:t>
            </w:r>
            <w:r>
              <w:t xml:space="preserve"> </w:t>
            </w:r>
            <w:r>
              <w:rPr>
                <w:spacing w:val="-4"/>
              </w:rPr>
              <w:t>180d</w:t>
            </w:r>
            <w:r>
              <w:rPr>
                <w:spacing w:val="-37"/>
              </w:rPr>
              <w:t xml:space="preserve"> </w:t>
            </w:r>
            <w:r>
              <w:rPr>
                <w:spacing w:val="-4"/>
              </w:rPr>
              <w:t>龄期每</w:t>
            </w:r>
            <w:r>
              <w:rPr>
                <w:spacing w:val="-40"/>
              </w:rPr>
              <w:t xml:space="preserve"> </w:t>
            </w:r>
            <w:r>
              <w:rPr>
                <w:spacing w:val="-4"/>
              </w:rPr>
              <w:t>400m</w:t>
            </w:r>
            <w:r>
              <w:rPr>
                <w:spacing w:val="-4"/>
                <w:position w:val="8"/>
                <w:sz w:val="9"/>
                <w:szCs w:val="9"/>
              </w:rPr>
              <w:t>3</w:t>
            </w:r>
            <w:r>
              <w:rPr>
                <w:spacing w:val="-13"/>
                <w:position w:val="8"/>
                <w:sz w:val="9"/>
                <w:szCs w:val="9"/>
              </w:rPr>
              <w:t xml:space="preserve"> </w:t>
            </w:r>
            <w:r>
              <w:rPr>
                <w:spacing w:val="-4"/>
              </w:rPr>
              <w:t>成型</w:t>
            </w:r>
            <w:r>
              <w:rPr>
                <w:spacing w:val="-25"/>
              </w:rPr>
              <w:t xml:space="preserve"> </w:t>
            </w:r>
            <w:r>
              <w:rPr>
                <w:spacing w:val="-4"/>
              </w:rPr>
              <w:t>1</w:t>
            </w:r>
            <w:r>
              <w:rPr>
                <w:spacing w:val="-36"/>
              </w:rPr>
              <w:t xml:space="preserve"> </w:t>
            </w:r>
            <w:r>
              <w:rPr>
                <w:spacing w:val="-4"/>
              </w:rPr>
              <w:t>组</w:t>
            </w:r>
          </w:p>
        </w:tc>
        <w:tc>
          <w:tcPr>
            <w:tcW w:w="2098" w:type="dxa"/>
            <w:tcBorders>
              <w:right w:val="single" w:color="000000" w:sz="6" w:space="0"/>
            </w:tcBorders>
            <w:vAlign w:val="top"/>
          </w:tcPr>
          <w:p w14:paraId="03862014">
            <w:pPr>
              <w:spacing w:line="257" w:lineRule="auto"/>
              <w:rPr>
                <w:rFonts w:ascii="Arial"/>
                <w:sz w:val="21"/>
              </w:rPr>
            </w:pPr>
          </w:p>
          <w:p w14:paraId="5E21BBDB">
            <w:pPr>
              <w:spacing w:line="258" w:lineRule="auto"/>
              <w:rPr>
                <w:rFonts w:ascii="Arial"/>
                <w:sz w:val="21"/>
              </w:rPr>
            </w:pPr>
          </w:p>
          <w:p w14:paraId="18DE8CCB">
            <w:pPr>
              <w:spacing w:line="258" w:lineRule="auto"/>
              <w:rPr>
                <w:rFonts w:ascii="Arial"/>
                <w:sz w:val="21"/>
              </w:rPr>
            </w:pPr>
          </w:p>
          <w:p w14:paraId="6F4F34FC">
            <w:pPr>
              <w:pStyle w:val="9"/>
              <w:spacing w:before="59" w:line="221" w:lineRule="auto"/>
              <w:ind w:left="297"/>
            </w:pPr>
            <w:r>
              <w:rPr>
                <w:spacing w:val="-1"/>
              </w:rPr>
              <w:t>针对非大体积混凝土</w:t>
            </w:r>
          </w:p>
        </w:tc>
      </w:tr>
      <w:tr w14:paraId="44F7F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4" w:hRule="atLeast"/>
        </w:trPr>
        <w:tc>
          <w:tcPr>
            <w:tcW w:w="690" w:type="dxa"/>
            <w:tcBorders>
              <w:left w:val="single" w:color="000000" w:sz="6" w:space="0"/>
              <w:bottom w:val="single" w:color="000000" w:sz="6" w:space="0"/>
            </w:tcBorders>
            <w:vAlign w:val="top"/>
          </w:tcPr>
          <w:p w14:paraId="495FE3DA">
            <w:pPr>
              <w:spacing w:line="282" w:lineRule="auto"/>
              <w:rPr>
                <w:rFonts w:ascii="Arial"/>
                <w:sz w:val="21"/>
              </w:rPr>
            </w:pPr>
          </w:p>
          <w:p w14:paraId="02860051">
            <w:pPr>
              <w:spacing w:line="282" w:lineRule="auto"/>
              <w:rPr>
                <w:rFonts w:ascii="Arial"/>
                <w:sz w:val="21"/>
              </w:rPr>
            </w:pPr>
          </w:p>
          <w:p w14:paraId="04F7A06F">
            <w:pPr>
              <w:pStyle w:val="9"/>
              <w:spacing w:before="58" w:line="242" w:lineRule="auto"/>
              <w:ind w:left="298"/>
            </w:pPr>
            <w:r>
              <w:t>2</w:t>
            </w:r>
          </w:p>
        </w:tc>
        <w:tc>
          <w:tcPr>
            <w:tcW w:w="2258" w:type="dxa"/>
            <w:tcBorders>
              <w:bottom w:val="single" w:color="000000" w:sz="6" w:space="0"/>
            </w:tcBorders>
            <w:vAlign w:val="top"/>
          </w:tcPr>
          <w:p w14:paraId="4A4C1E16">
            <w:pPr>
              <w:spacing w:line="282" w:lineRule="auto"/>
              <w:rPr>
                <w:rFonts w:ascii="Arial"/>
                <w:sz w:val="21"/>
              </w:rPr>
            </w:pPr>
          </w:p>
          <w:p w14:paraId="6B5B0A62">
            <w:pPr>
              <w:spacing w:line="282" w:lineRule="auto"/>
              <w:rPr>
                <w:rFonts w:ascii="Arial"/>
                <w:sz w:val="21"/>
              </w:rPr>
            </w:pPr>
          </w:p>
          <w:p w14:paraId="507F1E7E">
            <w:pPr>
              <w:pStyle w:val="9"/>
              <w:spacing w:before="58" w:line="221" w:lineRule="auto"/>
              <w:ind w:left="770"/>
            </w:pPr>
            <w:r>
              <w:rPr>
                <w:spacing w:val="-2"/>
              </w:rPr>
              <w:t>极限拉伸</w:t>
            </w:r>
          </w:p>
        </w:tc>
        <w:tc>
          <w:tcPr>
            <w:tcW w:w="4529" w:type="dxa"/>
            <w:tcBorders>
              <w:bottom w:val="single" w:color="000000" w:sz="6" w:space="0"/>
            </w:tcBorders>
            <w:vAlign w:val="top"/>
          </w:tcPr>
          <w:p w14:paraId="11FD967B">
            <w:pPr>
              <w:spacing w:line="276" w:lineRule="auto"/>
              <w:rPr>
                <w:rFonts w:ascii="Arial"/>
                <w:sz w:val="21"/>
              </w:rPr>
            </w:pPr>
          </w:p>
          <w:p w14:paraId="7530B0C8">
            <w:pPr>
              <w:spacing w:line="276" w:lineRule="auto"/>
              <w:rPr>
                <w:rFonts w:ascii="Arial"/>
                <w:sz w:val="21"/>
              </w:rPr>
            </w:pPr>
          </w:p>
          <w:p w14:paraId="351C8423">
            <w:pPr>
              <w:pStyle w:val="9"/>
              <w:spacing w:before="58" w:line="233" w:lineRule="auto"/>
              <w:ind w:left="293"/>
            </w:pPr>
            <w:r>
              <w:rPr>
                <w:spacing w:val="-3"/>
              </w:rPr>
              <w:t>设计龄期每</w:t>
            </w:r>
            <w:r>
              <w:rPr>
                <w:spacing w:val="-37"/>
              </w:rPr>
              <w:t xml:space="preserve"> </w:t>
            </w:r>
            <w:r>
              <w:rPr>
                <w:spacing w:val="-3"/>
              </w:rPr>
              <w:t>20000m</w:t>
            </w:r>
            <w:r>
              <w:rPr>
                <w:spacing w:val="-3"/>
                <w:position w:val="8"/>
                <w:sz w:val="9"/>
                <w:szCs w:val="9"/>
              </w:rPr>
              <w:t>3</w:t>
            </w:r>
            <w:r>
              <w:rPr>
                <w:spacing w:val="-14"/>
                <w:position w:val="8"/>
                <w:sz w:val="9"/>
                <w:szCs w:val="9"/>
              </w:rPr>
              <w:t xml:space="preserve"> </w:t>
            </w:r>
            <w:r>
              <w:rPr>
                <w:spacing w:val="-3"/>
              </w:rPr>
              <w:t>成型</w:t>
            </w:r>
            <w:r>
              <w:rPr>
                <w:spacing w:val="-25"/>
              </w:rPr>
              <w:t xml:space="preserve"> </w:t>
            </w:r>
            <w:r>
              <w:rPr>
                <w:spacing w:val="-3"/>
              </w:rPr>
              <w:t>1</w:t>
            </w:r>
            <w:r>
              <w:rPr>
                <w:spacing w:val="-37"/>
              </w:rPr>
              <w:t xml:space="preserve"> </w:t>
            </w:r>
            <w:r>
              <w:rPr>
                <w:spacing w:val="-3"/>
              </w:rPr>
              <w:t>组</w:t>
            </w:r>
          </w:p>
        </w:tc>
        <w:tc>
          <w:tcPr>
            <w:tcW w:w="2098" w:type="dxa"/>
            <w:tcBorders>
              <w:bottom w:val="single" w:color="000000" w:sz="6" w:space="0"/>
              <w:right w:val="single" w:color="000000" w:sz="6" w:space="0"/>
            </w:tcBorders>
            <w:vAlign w:val="top"/>
          </w:tcPr>
          <w:p w14:paraId="7E7666B7">
            <w:pPr>
              <w:spacing w:line="253" w:lineRule="auto"/>
              <w:rPr>
                <w:rFonts w:ascii="Arial"/>
                <w:sz w:val="21"/>
              </w:rPr>
            </w:pPr>
          </w:p>
          <w:p w14:paraId="635C0F03">
            <w:pPr>
              <w:pStyle w:val="9"/>
              <w:spacing w:before="58" w:line="322" w:lineRule="auto"/>
              <w:ind w:left="116" w:right="102" w:firstLine="180"/>
              <w:jc w:val="both"/>
            </w:pPr>
            <w:r>
              <w:rPr>
                <w:spacing w:val="3"/>
              </w:rPr>
              <w:t>针对大体积混凝土，</w:t>
            </w:r>
            <w:r>
              <w:rPr>
                <w:spacing w:val="1"/>
              </w:rPr>
              <w:t xml:space="preserve"> </w:t>
            </w:r>
            <w:r>
              <w:rPr>
                <w:spacing w:val="6"/>
              </w:rPr>
              <w:t>具体取样频次可根据工</w:t>
            </w:r>
            <w:r>
              <w:rPr>
                <w:spacing w:val="8"/>
              </w:rPr>
              <w:t xml:space="preserve"> </w:t>
            </w:r>
            <w:r>
              <w:rPr>
                <w:spacing w:val="-1"/>
              </w:rPr>
              <w:t>程量论证后作适当调整</w:t>
            </w:r>
          </w:p>
        </w:tc>
      </w:tr>
    </w:tbl>
    <w:p w14:paraId="0D9F9E5C">
      <w:pPr>
        <w:pStyle w:val="2"/>
      </w:pPr>
    </w:p>
    <w:p w14:paraId="4A2C1361">
      <w:pPr>
        <w:sectPr>
          <w:headerReference r:id="rId10" w:type="default"/>
          <w:footerReference r:id="rId11" w:type="default"/>
          <w:pgSz w:w="11905" w:h="16840"/>
          <w:pgMar w:top="1717" w:right="1297" w:bottom="1344" w:left="1016" w:header="1394" w:footer="1108" w:gutter="0"/>
          <w:pgNumType w:fmt="decimal"/>
          <w:cols w:space="720" w:num="1"/>
        </w:sectPr>
      </w:pPr>
    </w:p>
    <w:p w14:paraId="640E62C7">
      <w:pPr>
        <w:spacing w:before="243" w:line="223" w:lineRule="auto"/>
        <w:ind w:left="4307"/>
        <w:rPr>
          <w:rFonts w:ascii="宋体" w:hAnsi="宋体" w:eastAsia="宋体" w:cs="宋体"/>
          <w:sz w:val="21"/>
          <w:szCs w:val="21"/>
        </w:rPr>
      </w:pPr>
      <w:r>
        <w:rPr>
          <w:rFonts w:ascii="黑体" w:hAnsi="黑体" w:eastAsia="黑体" w:cs="黑体"/>
          <w:spacing w:val="-6"/>
          <w:sz w:val="21"/>
          <w:szCs w:val="21"/>
        </w:rPr>
        <w:t>表</w:t>
      </w:r>
      <w:r>
        <w:rPr>
          <w:rFonts w:ascii="黑体" w:hAnsi="黑体" w:eastAsia="黑体" w:cs="黑体"/>
          <w:spacing w:val="-44"/>
          <w:sz w:val="21"/>
          <w:szCs w:val="21"/>
        </w:rPr>
        <w:t xml:space="preserve"> </w:t>
      </w:r>
      <w:r>
        <w:rPr>
          <w:rFonts w:ascii="黑体" w:hAnsi="黑体" w:eastAsia="黑体" w:cs="黑体"/>
          <w:spacing w:val="-6"/>
          <w:sz w:val="21"/>
          <w:szCs w:val="21"/>
        </w:rPr>
        <w:t>2</w:t>
      </w:r>
      <w:r>
        <w:rPr>
          <w:rFonts w:ascii="宋体" w:hAnsi="宋体" w:eastAsia="宋体" w:cs="宋体"/>
          <w:spacing w:val="-6"/>
          <w:sz w:val="21"/>
          <w:szCs w:val="21"/>
        </w:rPr>
        <w:t>（续）</w:t>
      </w:r>
    </w:p>
    <w:p w14:paraId="3FC943E8">
      <w:pPr>
        <w:spacing w:line="164" w:lineRule="exact"/>
      </w:pPr>
    </w:p>
    <w:tbl>
      <w:tblPr>
        <w:tblStyle w:val="8"/>
        <w:tblW w:w="957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987"/>
        <w:gridCol w:w="3113"/>
        <w:gridCol w:w="2547"/>
        <w:gridCol w:w="2240"/>
      </w:tblGrid>
      <w:tr w14:paraId="332F4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688" w:type="dxa"/>
            <w:tcBorders>
              <w:top w:val="single" w:color="000000" w:sz="6" w:space="0"/>
              <w:left w:val="single" w:color="000000" w:sz="6" w:space="0"/>
              <w:bottom w:val="single" w:color="000000" w:sz="6" w:space="0"/>
            </w:tcBorders>
            <w:vAlign w:val="top"/>
          </w:tcPr>
          <w:p w14:paraId="336D4AE6">
            <w:pPr>
              <w:pStyle w:val="9"/>
              <w:spacing w:before="71" w:line="222" w:lineRule="auto"/>
              <w:ind w:left="160"/>
            </w:pPr>
            <w:r>
              <w:rPr>
                <w:spacing w:val="-2"/>
              </w:rPr>
              <w:t>序号</w:t>
            </w:r>
          </w:p>
        </w:tc>
        <w:tc>
          <w:tcPr>
            <w:tcW w:w="4100" w:type="dxa"/>
            <w:gridSpan w:val="2"/>
            <w:tcBorders>
              <w:top w:val="single" w:color="000000" w:sz="6" w:space="0"/>
              <w:bottom w:val="single" w:color="000000" w:sz="6" w:space="0"/>
            </w:tcBorders>
            <w:vAlign w:val="top"/>
          </w:tcPr>
          <w:p w14:paraId="24B79D78">
            <w:pPr>
              <w:pStyle w:val="9"/>
              <w:spacing w:before="71" w:line="220" w:lineRule="auto"/>
              <w:ind w:left="1691"/>
            </w:pPr>
            <w:r>
              <w:rPr>
                <w:spacing w:val="-2"/>
              </w:rPr>
              <w:t>检验内容</w:t>
            </w:r>
          </w:p>
        </w:tc>
        <w:tc>
          <w:tcPr>
            <w:tcW w:w="2547" w:type="dxa"/>
            <w:tcBorders>
              <w:top w:val="single" w:color="000000" w:sz="6" w:space="0"/>
              <w:bottom w:val="single" w:color="000000" w:sz="6" w:space="0"/>
            </w:tcBorders>
            <w:vAlign w:val="top"/>
          </w:tcPr>
          <w:p w14:paraId="38429138">
            <w:pPr>
              <w:pStyle w:val="9"/>
              <w:spacing w:before="71" w:line="220" w:lineRule="auto"/>
              <w:ind w:left="919"/>
            </w:pPr>
            <w:r>
              <w:rPr>
                <w:spacing w:val="-2"/>
              </w:rPr>
              <w:t>检测频率</w:t>
            </w:r>
          </w:p>
        </w:tc>
        <w:tc>
          <w:tcPr>
            <w:tcW w:w="2240" w:type="dxa"/>
            <w:tcBorders>
              <w:top w:val="single" w:color="000000" w:sz="6" w:space="0"/>
              <w:bottom w:val="single" w:color="000000" w:sz="6" w:space="0"/>
              <w:right w:val="single" w:color="000000" w:sz="6" w:space="0"/>
            </w:tcBorders>
            <w:vAlign w:val="top"/>
          </w:tcPr>
          <w:p w14:paraId="482B1D45">
            <w:pPr>
              <w:pStyle w:val="9"/>
              <w:spacing w:before="71" w:line="220" w:lineRule="auto"/>
              <w:ind w:left="765"/>
            </w:pPr>
            <w:r>
              <w:rPr>
                <w:spacing w:val="-2"/>
              </w:rPr>
              <w:t>检测要求</w:t>
            </w:r>
          </w:p>
        </w:tc>
      </w:tr>
      <w:tr w14:paraId="6F626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688" w:type="dxa"/>
            <w:tcBorders>
              <w:top w:val="single" w:color="000000" w:sz="6" w:space="0"/>
              <w:left w:val="single" w:color="000000" w:sz="6" w:space="0"/>
            </w:tcBorders>
            <w:vAlign w:val="top"/>
          </w:tcPr>
          <w:p w14:paraId="423D6078">
            <w:pPr>
              <w:spacing w:line="314" w:lineRule="auto"/>
              <w:rPr>
                <w:rFonts w:ascii="Arial"/>
                <w:sz w:val="21"/>
              </w:rPr>
            </w:pPr>
          </w:p>
          <w:p w14:paraId="46BF11D6">
            <w:pPr>
              <w:pStyle w:val="9"/>
              <w:spacing w:before="59"/>
              <w:ind w:left="299"/>
            </w:pPr>
            <w:r>
              <w:t>3</w:t>
            </w:r>
          </w:p>
        </w:tc>
        <w:tc>
          <w:tcPr>
            <w:tcW w:w="4100" w:type="dxa"/>
            <w:gridSpan w:val="2"/>
            <w:tcBorders>
              <w:top w:val="single" w:color="000000" w:sz="6" w:space="0"/>
            </w:tcBorders>
            <w:vAlign w:val="top"/>
          </w:tcPr>
          <w:p w14:paraId="48116492">
            <w:pPr>
              <w:spacing w:line="314" w:lineRule="auto"/>
              <w:rPr>
                <w:rFonts w:ascii="Arial"/>
                <w:sz w:val="21"/>
              </w:rPr>
            </w:pPr>
          </w:p>
          <w:p w14:paraId="34F0D981">
            <w:pPr>
              <w:pStyle w:val="9"/>
              <w:spacing w:before="58" w:line="220" w:lineRule="auto"/>
              <w:ind w:left="1691"/>
            </w:pPr>
            <w:r>
              <w:rPr>
                <w:spacing w:val="-2"/>
              </w:rPr>
              <w:t>抗压弹模</w:t>
            </w:r>
          </w:p>
        </w:tc>
        <w:tc>
          <w:tcPr>
            <w:tcW w:w="2547" w:type="dxa"/>
            <w:tcBorders>
              <w:top w:val="single" w:color="000000" w:sz="6" w:space="0"/>
            </w:tcBorders>
            <w:vAlign w:val="top"/>
          </w:tcPr>
          <w:p w14:paraId="4A35C359">
            <w:pPr>
              <w:pStyle w:val="9"/>
              <w:spacing w:before="205" w:line="332" w:lineRule="auto"/>
              <w:ind w:left="114" w:right="100" w:firstLine="180"/>
            </w:pPr>
            <w:r>
              <w:rPr>
                <w:spacing w:val="-2"/>
              </w:rPr>
              <w:t>设计龄期每 20000m</w:t>
            </w:r>
            <w:r>
              <w:rPr>
                <w:spacing w:val="-2"/>
                <w:position w:val="8"/>
                <w:sz w:val="9"/>
                <w:szCs w:val="9"/>
              </w:rPr>
              <w:t xml:space="preserve">3 </w:t>
            </w:r>
            <w:r>
              <w:rPr>
                <w:spacing w:val="-2"/>
              </w:rPr>
              <w:t>成型</w:t>
            </w:r>
            <w:r>
              <w:rPr>
                <w:spacing w:val="19"/>
              </w:rPr>
              <w:t xml:space="preserve"> </w:t>
            </w:r>
            <w:r>
              <w:rPr>
                <w:spacing w:val="-2"/>
              </w:rPr>
              <w:t>1</w:t>
            </w:r>
            <w:r>
              <w:t xml:space="preserve"> 组</w:t>
            </w:r>
          </w:p>
        </w:tc>
        <w:tc>
          <w:tcPr>
            <w:tcW w:w="2240" w:type="dxa"/>
            <w:tcBorders>
              <w:top w:val="single" w:color="000000" w:sz="6" w:space="0"/>
              <w:right w:val="single" w:color="000000" w:sz="6" w:space="0"/>
            </w:tcBorders>
            <w:vAlign w:val="top"/>
          </w:tcPr>
          <w:p w14:paraId="36A2C531">
            <w:pPr>
              <w:pStyle w:val="9"/>
              <w:spacing w:before="63" w:line="294" w:lineRule="auto"/>
              <w:ind w:left="116" w:right="140" w:firstLine="180"/>
              <w:jc w:val="both"/>
            </w:pPr>
            <w:r>
              <w:rPr>
                <w:spacing w:val="-1"/>
              </w:rPr>
              <w:t>针对大体积混凝土，具</w:t>
            </w:r>
            <w:r>
              <w:rPr>
                <w:spacing w:val="1"/>
              </w:rPr>
              <w:t xml:space="preserve"> </w:t>
            </w:r>
            <w:r>
              <w:rPr>
                <w:spacing w:val="-1"/>
              </w:rPr>
              <w:t>体取样频次可根据工程量</w:t>
            </w:r>
            <w:r>
              <w:rPr>
                <w:spacing w:val="2"/>
              </w:rPr>
              <w:t xml:space="preserve"> </w:t>
            </w:r>
            <w:r>
              <w:rPr>
                <w:spacing w:val="-1"/>
              </w:rPr>
              <w:t>论证后作适当调整</w:t>
            </w:r>
          </w:p>
        </w:tc>
      </w:tr>
      <w:tr w14:paraId="74485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9" w:hRule="atLeast"/>
        </w:trPr>
        <w:tc>
          <w:tcPr>
            <w:tcW w:w="688" w:type="dxa"/>
            <w:tcBorders>
              <w:left w:val="single" w:color="000000" w:sz="6" w:space="0"/>
            </w:tcBorders>
            <w:vAlign w:val="top"/>
          </w:tcPr>
          <w:p w14:paraId="18413A62">
            <w:pPr>
              <w:spacing w:line="249" w:lineRule="auto"/>
              <w:rPr>
                <w:rFonts w:ascii="Arial"/>
                <w:sz w:val="21"/>
              </w:rPr>
            </w:pPr>
          </w:p>
          <w:p w14:paraId="50D27B2A">
            <w:pPr>
              <w:spacing w:line="250" w:lineRule="auto"/>
              <w:rPr>
                <w:rFonts w:ascii="Arial"/>
                <w:sz w:val="21"/>
              </w:rPr>
            </w:pPr>
          </w:p>
          <w:p w14:paraId="30B01B81">
            <w:pPr>
              <w:pStyle w:val="9"/>
              <w:spacing w:before="59" w:line="242" w:lineRule="auto"/>
              <w:ind w:left="294"/>
            </w:pPr>
            <w:r>
              <w:t>4</w:t>
            </w:r>
          </w:p>
        </w:tc>
        <w:tc>
          <w:tcPr>
            <w:tcW w:w="4100" w:type="dxa"/>
            <w:gridSpan w:val="2"/>
            <w:vAlign w:val="top"/>
          </w:tcPr>
          <w:p w14:paraId="1A1A1105">
            <w:pPr>
              <w:spacing w:line="250" w:lineRule="auto"/>
              <w:rPr>
                <w:rFonts w:ascii="Arial"/>
                <w:sz w:val="21"/>
              </w:rPr>
            </w:pPr>
          </w:p>
          <w:p w14:paraId="50DDD685">
            <w:pPr>
              <w:spacing w:line="250" w:lineRule="auto"/>
              <w:rPr>
                <w:rFonts w:ascii="Arial"/>
                <w:sz w:val="21"/>
              </w:rPr>
            </w:pPr>
          </w:p>
          <w:p w14:paraId="5735DD0A">
            <w:pPr>
              <w:pStyle w:val="9"/>
              <w:spacing w:before="58" w:line="220" w:lineRule="auto"/>
              <w:ind w:left="701"/>
            </w:pPr>
            <w:r>
              <w:rPr>
                <w:spacing w:val="-1"/>
              </w:rPr>
              <w:t>劈裂抗拉强度（28d、90d、180d）</w:t>
            </w:r>
          </w:p>
        </w:tc>
        <w:tc>
          <w:tcPr>
            <w:tcW w:w="2547" w:type="dxa"/>
            <w:vAlign w:val="top"/>
          </w:tcPr>
          <w:p w14:paraId="2A5A4362">
            <w:pPr>
              <w:spacing w:line="331" w:lineRule="auto"/>
              <w:rPr>
                <w:rFonts w:ascii="Arial"/>
                <w:sz w:val="21"/>
              </w:rPr>
            </w:pPr>
          </w:p>
          <w:p w14:paraId="07FD1734">
            <w:pPr>
              <w:pStyle w:val="9"/>
              <w:spacing w:before="59" w:line="321" w:lineRule="auto"/>
              <w:ind w:left="115" w:right="49" w:firstLine="179"/>
            </w:pPr>
            <w:r>
              <w:rPr>
                <w:spacing w:val="1"/>
              </w:rPr>
              <w:t>28d龄期每</w:t>
            </w:r>
            <w:r>
              <w:rPr>
                <w:spacing w:val="-51"/>
              </w:rPr>
              <w:t xml:space="preserve"> </w:t>
            </w:r>
            <w:r>
              <w:rPr>
                <w:spacing w:val="1"/>
              </w:rPr>
              <w:t>2000m</w:t>
            </w:r>
            <w:r>
              <w:rPr>
                <w:spacing w:val="1"/>
                <w:position w:val="8"/>
                <w:sz w:val="9"/>
                <w:szCs w:val="9"/>
              </w:rPr>
              <w:t>3</w:t>
            </w:r>
            <w:r>
              <w:rPr>
                <w:spacing w:val="-19"/>
                <w:position w:val="8"/>
                <w:sz w:val="9"/>
                <w:szCs w:val="9"/>
              </w:rPr>
              <w:t xml:space="preserve"> </w:t>
            </w:r>
            <w:r>
              <w:rPr>
                <w:spacing w:val="1"/>
              </w:rPr>
              <w:t>成型1组，</w:t>
            </w:r>
            <w:r>
              <w:t xml:space="preserve"> </w:t>
            </w:r>
            <w:r>
              <w:rPr>
                <w:spacing w:val="-4"/>
              </w:rPr>
              <w:t>设计龄期每</w:t>
            </w:r>
            <w:r>
              <w:rPr>
                <w:spacing w:val="-26"/>
              </w:rPr>
              <w:t xml:space="preserve"> </w:t>
            </w:r>
            <w:r>
              <w:rPr>
                <w:spacing w:val="-4"/>
              </w:rPr>
              <w:t>3000m</w:t>
            </w:r>
            <w:r>
              <w:rPr>
                <w:spacing w:val="-4"/>
                <w:position w:val="8"/>
                <w:sz w:val="9"/>
                <w:szCs w:val="9"/>
              </w:rPr>
              <w:t>3</w:t>
            </w:r>
            <w:r>
              <w:rPr>
                <w:spacing w:val="-13"/>
                <w:position w:val="8"/>
                <w:sz w:val="9"/>
                <w:szCs w:val="9"/>
              </w:rPr>
              <w:t xml:space="preserve"> </w:t>
            </w:r>
            <w:r>
              <w:rPr>
                <w:spacing w:val="-4"/>
              </w:rPr>
              <w:t>成型</w:t>
            </w:r>
            <w:r>
              <w:rPr>
                <w:spacing w:val="-25"/>
              </w:rPr>
              <w:t xml:space="preserve"> </w:t>
            </w:r>
            <w:r>
              <w:rPr>
                <w:spacing w:val="-4"/>
              </w:rPr>
              <w:t>1</w:t>
            </w:r>
            <w:r>
              <w:rPr>
                <w:spacing w:val="-37"/>
              </w:rPr>
              <w:t xml:space="preserve"> </w:t>
            </w:r>
            <w:r>
              <w:rPr>
                <w:spacing w:val="-4"/>
              </w:rPr>
              <w:t>组</w:t>
            </w:r>
          </w:p>
        </w:tc>
        <w:tc>
          <w:tcPr>
            <w:tcW w:w="2240" w:type="dxa"/>
            <w:tcBorders>
              <w:right w:val="single" w:color="000000" w:sz="6" w:space="0"/>
            </w:tcBorders>
            <w:vAlign w:val="top"/>
          </w:tcPr>
          <w:p w14:paraId="4FDFC7AA">
            <w:pPr>
              <w:pStyle w:val="9"/>
              <w:spacing w:before="248" w:line="322" w:lineRule="auto"/>
              <w:ind w:left="118" w:right="38" w:firstLine="180"/>
              <w:jc w:val="both"/>
            </w:pPr>
            <w:r>
              <w:rPr>
                <w:spacing w:val="-10"/>
              </w:rPr>
              <w:t>设计龄期可为</w:t>
            </w:r>
            <w:r>
              <w:rPr>
                <w:spacing w:val="-39"/>
              </w:rPr>
              <w:t xml:space="preserve"> </w:t>
            </w:r>
            <w:r>
              <w:rPr>
                <w:spacing w:val="-10"/>
              </w:rPr>
              <w:t>28d、90d、</w:t>
            </w:r>
            <w:r>
              <w:t xml:space="preserve"> </w:t>
            </w:r>
            <w:r>
              <w:rPr>
                <w:spacing w:val="2"/>
              </w:rPr>
              <w:t>180d，不区分大体积和非</w:t>
            </w:r>
            <w:r>
              <w:rPr>
                <w:spacing w:val="3"/>
              </w:rPr>
              <w:t xml:space="preserve"> </w:t>
            </w:r>
            <w:r>
              <w:rPr>
                <w:spacing w:val="-2"/>
              </w:rPr>
              <w:t>大体积混凝土</w:t>
            </w:r>
          </w:p>
        </w:tc>
      </w:tr>
      <w:tr w14:paraId="49BFC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688" w:type="dxa"/>
            <w:vMerge w:val="restart"/>
            <w:tcBorders>
              <w:left w:val="single" w:color="000000" w:sz="6" w:space="0"/>
              <w:bottom w:val="nil"/>
            </w:tcBorders>
            <w:vAlign w:val="top"/>
          </w:tcPr>
          <w:p w14:paraId="2E896C37">
            <w:pPr>
              <w:spacing w:line="255" w:lineRule="auto"/>
              <w:rPr>
                <w:rFonts w:ascii="Arial"/>
                <w:sz w:val="21"/>
              </w:rPr>
            </w:pPr>
          </w:p>
          <w:p w14:paraId="6742A147">
            <w:pPr>
              <w:spacing w:line="256" w:lineRule="auto"/>
              <w:rPr>
                <w:rFonts w:ascii="Arial"/>
                <w:sz w:val="21"/>
              </w:rPr>
            </w:pPr>
          </w:p>
          <w:p w14:paraId="1975B801">
            <w:pPr>
              <w:spacing w:line="256" w:lineRule="auto"/>
              <w:rPr>
                <w:rFonts w:ascii="Arial"/>
                <w:sz w:val="21"/>
              </w:rPr>
            </w:pPr>
          </w:p>
          <w:p w14:paraId="35B7CDAE">
            <w:pPr>
              <w:spacing w:line="256" w:lineRule="auto"/>
              <w:rPr>
                <w:rFonts w:ascii="Arial"/>
                <w:sz w:val="21"/>
              </w:rPr>
            </w:pPr>
          </w:p>
          <w:p w14:paraId="76B3E1DC">
            <w:pPr>
              <w:spacing w:line="256" w:lineRule="auto"/>
              <w:rPr>
                <w:rFonts w:ascii="Arial"/>
                <w:sz w:val="21"/>
              </w:rPr>
            </w:pPr>
          </w:p>
          <w:p w14:paraId="78FDEA69">
            <w:pPr>
              <w:pStyle w:val="9"/>
              <w:spacing w:before="58"/>
              <w:ind w:left="299"/>
            </w:pPr>
            <w:r>
              <w:t>5</w:t>
            </w:r>
          </w:p>
        </w:tc>
        <w:tc>
          <w:tcPr>
            <w:tcW w:w="987" w:type="dxa"/>
            <w:vMerge w:val="restart"/>
            <w:tcBorders>
              <w:bottom w:val="nil"/>
            </w:tcBorders>
            <w:vAlign w:val="top"/>
          </w:tcPr>
          <w:p w14:paraId="0EFAE968">
            <w:pPr>
              <w:spacing w:line="255" w:lineRule="auto"/>
              <w:rPr>
                <w:rFonts w:ascii="Arial"/>
                <w:sz w:val="21"/>
              </w:rPr>
            </w:pPr>
          </w:p>
          <w:p w14:paraId="74F4C2C4">
            <w:pPr>
              <w:spacing w:line="255" w:lineRule="auto"/>
              <w:rPr>
                <w:rFonts w:ascii="Arial"/>
                <w:sz w:val="21"/>
              </w:rPr>
            </w:pPr>
          </w:p>
          <w:p w14:paraId="53C9999E">
            <w:pPr>
              <w:spacing w:line="256" w:lineRule="auto"/>
              <w:rPr>
                <w:rFonts w:ascii="Arial"/>
                <w:sz w:val="21"/>
              </w:rPr>
            </w:pPr>
          </w:p>
          <w:p w14:paraId="47AB41F4">
            <w:pPr>
              <w:spacing w:line="256" w:lineRule="auto"/>
              <w:rPr>
                <w:rFonts w:ascii="Arial"/>
                <w:sz w:val="21"/>
              </w:rPr>
            </w:pPr>
          </w:p>
          <w:p w14:paraId="7CFBA028">
            <w:pPr>
              <w:spacing w:line="256" w:lineRule="auto"/>
              <w:rPr>
                <w:rFonts w:ascii="Arial"/>
                <w:sz w:val="21"/>
              </w:rPr>
            </w:pPr>
          </w:p>
          <w:p w14:paraId="549BCC65">
            <w:pPr>
              <w:pStyle w:val="9"/>
              <w:spacing w:before="59" w:line="222" w:lineRule="auto"/>
              <w:ind w:left="132"/>
            </w:pPr>
            <w:r>
              <w:rPr>
                <w:spacing w:val="-2"/>
              </w:rPr>
              <w:t>全面性能</w:t>
            </w:r>
          </w:p>
        </w:tc>
        <w:tc>
          <w:tcPr>
            <w:tcW w:w="3113" w:type="dxa"/>
            <w:vAlign w:val="top"/>
          </w:tcPr>
          <w:p w14:paraId="7C0A6CCB">
            <w:pPr>
              <w:pStyle w:val="9"/>
              <w:spacing w:before="72" w:line="279" w:lineRule="auto"/>
              <w:ind w:left="111" w:right="130" w:firstLine="176"/>
            </w:pPr>
            <w:r>
              <w:rPr>
                <w:spacing w:val="-1"/>
              </w:rPr>
              <w:t>抗压强度（7d、28d、90d、180d、</w:t>
            </w:r>
            <w:r>
              <w:rPr>
                <w:spacing w:val="9"/>
              </w:rPr>
              <w:t xml:space="preserve"> </w:t>
            </w:r>
            <w:r>
              <w:rPr>
                <w:spacing w:val="-3"/>
              </w:rPr>
              <w:t>365d）</w:t>
            </w:r>
          </w:p>
        </w:tc>
        <w:tc>
          <w:tcPr>
            <w:tcW w:w="2547" w:type="dxa"/>
            <w:vAlign w:val="top"/>
          </w:tcPr>
          <w:p w14:paraId="78DAC665">
            <w:pPr>
              <w:pStyle w:val="9"/>
              <w:spacing w:before="228" w:line="220" w:lineRule="auto"/>
              <w:ind w:left="292"/>
            </w:pPr>
            <w:r>
              <w:rPr>
                <w:spacing w:val="-5"/>
              </w:rPr>
              <w:t>每月成型</w:t>
            </w:r>
            <w:r>
              <w:rPr>
                <w:spacing w:val="-24"/>
              </w:rPr>
              <w:t xml:space="preserve"> </w:t>
            </w:r>
            <w:r>
              <w:rPr>
                <w:spacing w:val="-5"/>
              </w:rPr>
              <w:t>1</w:t>
            </w:r>
            <w:r>
              <w:rPr>
                <w:spacing w:val="-34"/>
              </w:rPr>
              <w:t xml:space="preserve"> </w:t>
            </w:r>
            <w:r>
              <w:rPr>
                <w:spacing w:val="-5"/>
              </w:rPr>
              <w:t>次</w:t>
            </w:r>
          </w:p>
        </w:tc>
        <w:tc>
          <w:tcPr>
            <w:tcW w:w="2240" w:type="dxa"/>
            <w:vMerge w:val="restart"/>
            <w:tcBorders>
              <w:bottom w:val="nil"/>
              <w:right w:val="single" w:color="000000" w:sz="6" w:space="0"/>
            </w:tcBorders>
            <w:vAlign w:val="top"/>
          </w:tcPr>
          <w:p w14:paraId="65FF6802">
            <w:pPr>
              <w:spacing w:line="348" w:lineRule="auto"/>
              <w:rPr>
                <w:rFonts w:ascii="Arial"/>
                <w:sz w:val="21"/>
              </w:rPr>
            </w:pPr>
          </w:p>
          <w:p w14:paraId="65176EAA">
            <w:pPr>
              <w:pStyle w:val="9"/>
              <w:spacing w:before="59" w:line="270" w:lineRule="auto"/>
              <w:ind w:left="120" w:right="103" w:firstLine="177"/>
            </w:pPr>
            <w:r>
              <w:rPr>
                <w:spacing w:val="-6"/>
              </w:rPr>
              <w:t>a）应一次取足试样，拌</w:t>
            </w:r>
            <w:r>
              <w:rPr>
                <w:spacing w:val="4"/>
              </w:rPr>
              <w:t xml:space="preserve"> </w:t>
            </w:r>
            <w:r>
              <w:rPr>
                <w:spacing w:val="-5"/>
              </w:rPr>
              <w:t>匀后同时完成各项成型；</w:t>
            </w:r>
          </w:p>
          <w:p w14:paraId="674F72D0">
            <w:pPr>
              <w:pStyle w:val="9"/>
              <w:spacing w:before="97" w:line="287" w:lineRule="auto"/>
              <w:ind w:left="119" w:right="103" w:firstLine="174"/>
            </w:pPr>
            <w:r>
              <w:rPr>
                <w:spacing w:val="-6"/>
              </w:rPr>
              <w:t>b）抗冻检测</w:t>
            </w:r>
            <w:r>
              <w:rPr>
                <w:spacing w:val="-37"/>
              </w:rPr>
              <w:t xml:space="preserve"> </w:t>
            </w:r>
            <w:r>
              <w:rPr>
                <w:spacing w:val="-6"/>
              </w:rPr>
              <w:t>28d</w:t>
            </w:r>
            <w:r>
              <w:rPr>
                <w:spacing w:val="-39"/>
              </w:rPr>
              <w:t xml:space="preserve"> </w:t>
            </w:r>
            <w:r>
              <w:rPr>
                <w:spacing w:val="-6"/>
              </w:rPr>
              <w:t>龄期应</w:t>
            </w:r>
            <w:r>
              <w:t xml:space="preserve"> </w:t>
            </w:r>
            <w:r>
              <w:rPr>
                <w:spacing w:val="17"/>
              </w:rPr>
              <w:t>与设计龄期逐</w:t>
            </w:r>
            <w:r>
              <w:rPr>
                <w:spacing w:val="-54"/>
              </w:rPr>
              <w:t xml:space="preserve"> </w:t>
            </w:r>
            <w:r>
              <w:rPr>
                <w:spacing w:val="17"/>
              </w:rPr>
              <w:t>月交替进</w:t>
            </w:r>
            <w:r>
              <w:t xml:space="preserve"> </w:t>
            </w:r>
            <w:r>
              <w:rPr>
                <w:spacing w:val="-13"/>
              </w:rPr>
              <w:t>行；</w:t>
            </w:r>
          </w:p>
          <w:p w14:paraId="64CA6B3C">
            <w:pPr>
              <w:pStyle w:val="9"/>
              <w:spacing w:before="96" w:line="270" w:lineRule="auto"/>
              <w:ind w:left="117" w:right="102" w:firstLine="182"/>
            </w:pPr>
            <w:r>
              <w:rPr>
                <w:spacing w:val="-6"/>
              </w:rPr>
              <w:t>c）每季度或半年应覆盖</w:t>
            </w:r>
            <w:r>
              <w:rPr>
                <w:spacing w:val="2"/>
              </w:rPr>
              <w:t xml:space="preserve"> </w:t>
            </w:r>
            <w:r>
              <w:rPr>
                <w:spacing w:val="-2"/>
              </w:rPr>
              <w:t>主要强度等级</w:t>
            </w:r>
          </w:p>
        </w:tc>
      </w:tr>
      <w:tr w14:paraId="5EADC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688" w:type="dxa"/>
            <w:vMerge w:val="continue"/>
            <w:tcBorders>
              <w:top w:val="nil"/>
              <w:left w:val="single" w:color="000000" w:sz="6" w:space="0"/>
              <w:bottom w:val="nil"/>
            </w:tcBorders>
            <w:vAlign w:val="top"/>
          </w:tcPr>
          <w:p w14:paraId="27DED93C">
            <w:pPr>
              <w:rPr>
                <w:rFonts w:ascii="Arial"/>
                <w:sz w:val="21"/>
              </w:rPr>
            </w:pPr>
          </w:p>
        </w:tc>
        <w:tc>
          <w:tcPr>
            <w:tcW w:w="987" w:type="dxa"/>
            <w:vMerge w:val="continue"/>
            <w:tcBorders>
              <w:top w:val="nil"/>
              <w:bottom w:val="nil"/>
            </w:tcBorders>
            <w:vAlign w:val="top"/>
          </w:tcPr>
          <w:p w14:paraId="26CDE169">
            <w:pPr>
              <w:rPr>
                <w:rFonts w:ascii="Arial"/>
                <w:sz w:val="21"/>
              </w:rPr>
            </w:pPr>
          </w:p>
        </w:tc>
        <w:tc>
          <w:tcPr>
            <w:tcW w:w="3113" w:type="dxa"/>
            <w:vAlign w:val="top"/>
          </w:tcPr>
          <w:p w14:paraId="23E0518C">
            <w:pPr>
              <w:pStyle w:val="9"/>
              <w:spacing w:before="72" w:line="279" w:lineRule="auto"/>
              <w:ind w:left="111" w:right="41" w:firstLine="177"/>
            </w:pPr>
            <w:r>
              <w:rPr>
                <w:spacing w:val="-13"/>
              </w:rPr>
              <w:t>劈裂抗拉强度（7d、28d、90d、180d、</w:t>
            </w:r>
            <w:r>
              <w:rPr>
                <w:spacing w:val="15"/>
              </w:rPr>
              <w:t xml:space="preserve"> </w:t>
            </w:r>
            <w:r>
              <w:rPr>
                <w:spacing w:val="-3"/>
              </w:rPr>
              <w:t>365d）</w:t>
            </w:r>
          </w:p>
        </w:tc>
        <w:tc>
          <w:tcPr>
            <w:tcW w:w="2547" w:type="dxa"/>
            <w:vAlign w:val="top"/>
          </w:tcPr>
          <w:p w14:paraId="0923E487">
            <w:pPr>
              <w:pStyle w:val="9"/>
              <w:spacing w:before="230" w:line="220" w:lineRule="auto"/>
              <w:ind w:left="292"/>
            </w:pPr>
            <w:r>
              <w:rPr>
                <w:spacing w:val="-5"/>
              </w:rPr>
              <w:t>每月成型</w:t>
            </w:r>
            <w:r>
              <w:rPr>
                <w:spacing w:val="-24"/>
              </w:rPr>
              <w:t xml:space="preserve"> </w:t>
            </w:r>
            <w:r>
              <w:rPr>
                <w:spacing w:val="-5"/>
              </w:rPr>
              <w:t>1</w:t>
            </w:r>
            <w:r>
              <w:rPr>
                <w:spacing w:val="-34"/>
              </w:rPr>
              <w:t xml:space="preserve"> </w:t>
            </w:r>
            <w:r>
              <w:rPr>
                <w:spacing w:val="-5"/>
              </w:rPr>
              <w:t>次</w:t>
            </w:r>
          </w:p>
        </w:tc>
        <w:tc>
          <w:tcPr>
            <w:tcW w:w="2240" w:type="dxa"/>
            <w:vMerge w:val="continue"/>
            <w:tcBorders>
              <w:top w:val="nil"/>
              <w:bottom w:val="nil"/>
              <w:right w:val="single" w:color="000000" w:sz="6" w:space="0"/>
            </w:tcBorders>
            <w:vAlign w:val="top"/>
          </w:tcPr>
          <w:p w14:paraId="65815E99">
            <w:pPr>
              <w:rPr>
                <w:rFonts w:ascii="Arial"/>
                <w:sz w:val="21"/>
              </w:rPr>
            </w:pPr>
          </w:p>
        </w:tc>
      </w:tr>
      <w:tr w14:paraId="75B06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88" w:type="dxa"/>
            <w:vMerge w:val="continue"/>
            <w:tcBorders>
              <w:top w:val="nil"/>
              <w:left w:val="single" w:color="000000" w:sz="6" w:space="0"/>
              <w:bottom w:val="nil"/>
            </w:tcBorders>
            <w:vAlign w:val="top"/>
          </w:tcPr>
          <w:p w14:paraId="607E5FF4">
            <w:pPr>
              <w:rPr>
                <w:rFonts w:ascii="Arial"/>
                <w:sz w:val="21"/>
              </w:rPr>
            </w:pPr>
          </w:p>
        </w:tc>
        <w:tc>
          <w:tcPr>
            <w:tcW w:w="987" w:type="dxa"/>
            <w:vMerge w:val="continue"/>
            <w:tcBorders>
              <w:top w:val="nil"/>
              <w:bottom w:val="nil"/>
            </w:tcBorders>
            <w:vAlign w:val="top"/>
          </w:tcPr>
          <w:p w14:paraId="7A73FB7A">
            <w:pPr>
              <w:rPr>
                <w:rFonts w:ascii="Arial"/>
                <w:sz w:val="21"/>
              </w:rPr>
            </w:pPr>
          </w:p>
        </w:tc>
        <w:tc>
          <w:tcPr>
            <w:tcW w:w="3113" w:type="dxa"/>
            <w:vAlign w:val="top"/>
          </w:tcPr>
          <w:p w14:paraId="39074C6B">
            <w:pPr>
              <w:pStyle w:val="9"/>
              <w:spacing w:before="75" w:line="220" w:lineRule="auto"/>
              <w:ind w:left="287"/>
            </w:pPr>
            <w:r>
              <w:rPr>
                <w:spacing w:val="-3"/>
              </w:rPr>
              <w:t>抗渗（设计龄期）</w:t>
            </w:r>
          </w:p>
        </w:tc>
        <w:tc>
          <w:tcPr>
            <w:tcW w:w="2547" w:type="dxa"/>
            <w:vAlign w:val="top"/>
          </w:tcPr>
          <w:p w14:paraId="7DD11223">
            <w:pPr>
              <w:pStyle w:val="9"/>
              <w:spacing w:before="75" w:line="220" w:lineRule="auto"/>
              <w:ind w:left="292"/>
            </w:pPr>
            <w:r>
              <w:rPr>
                <w:spacing w:val="-5"/>
              </w:rPr>
              <w:t>每月成型</w:t>
            </w:r>
            <w:r>
              <w:rPr>
                <w:spacing w:val="-24"/>
              </w:rPr>
              <w:t xml:space="preserve"> </w:t>
            </w:r>
            <w:r>
              <w:rPr>
                <w:spacing w:val="-5"/>
              </w:rPr>
              <w:t>1</w:t>
            </w:r>
            <w:r>
              <w:rPr>
                <w:spacing w:val="-34"/>
              </w:rPr>
              <w:t xml:space="preserve"> </w:t>
            </w:r>
            <w:r>
              <w:rPr>
                <w:spacing w:val="-5"/>
              </w:rPr>
              <w:t>次</w:t>
            </w:r>
          </w:p>
        </w:tc>
        <w:tc>
          <w:tcPr>
            <w:tcW w:w="2240" w:type="dxa"/>
            <w:vMerge w:val="continue"/>
            <w:tcBorders>
              <w:top w:val="nil"/>
              <w:bottom w:val="nil"/>
              <w:right w:val="single" w:color="000000" w:sz="6" w:space="0"/>
            </w:tcBorders>
            <w:vAlign w:val="top"/>
          </w:tcPr>
          <w:p w14:paraId="13E635FF">
            <w:pPr>
              <w:rPr>
                <w:rFonts w:ascii="Arial"/>
                <w:sz w:val="21"/>
              </w:rPr>
            </w:pPr>
          </w:p>
        </w:tc>
      </w:tr>
      <w:tr w14:paraId="33A04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88" w:type="dxa"/>
            <w:vMerge w:val="continue"/>
            <w:tcBorders>
              <w:top w:val="nil"/>
              <w:left w:val="single" w:color="000000" w:sz="6" w:space="0"/>
              <w:bottom w:val="nil"/>
            </w:tcBorders>
            <w:vAlign w:val="top"/>
          </w:tcPr>
          <w:p w14:paraId="5C9095D6">
            <w:pPr>
              <w:rPr>
                <w:rFonts w:ascii="Arial"/>
                <w:sz w:val="21"/>
              </w:rPr>
            </w:pPr>
          </w:p>
        </w:tc>
        <w:tc>
          <w:tcPr>
            <w:tcW w:w="987" w:type="dxa"/>
            <w:vMerge w:val="continue"/>
            <w:tcBorders>
              <w:top w:val="nil"/>
              <w:bottom w:val="nil"/>
            </w:tcBorders>
            <w:vAlign w:val="top"/>
          </w:tcPr>
          <w:p w14:paraId="10329818">
            <w:pPr>
              <w:rPr>
                <w:rFonts w:ascii="Arial"/>
                <w:sz w:val="21"/>
              </w:rPr>
            </w:pPr>
          </w:p>
        </w:tc>
        <w:tc>
          <w:tcPr>
            <w:tcW w:w="3113" w:type="dxa"/>
            <w:vAlign w:val="top"/>
          </w:tcPr>
          <w:p w14:paraId="3507B32A">
            <w:pPr>
              <w:pStyle w:val="9"/>
              <w:spacing w:before="76" w:line="221" w:lineRule="auto"/>
              <w:ind w:right="22"/>
              <w:jc w:val="right"/>
            </w:pPr>
            <w:r>
              <w:rPr>
                <w:spacing w:val="-4"/>
              </w:rPr>
              <w:t>极限拉伸（28d、90d、180d、365d）</w:t>
            </w:r>
          </w:p>
        </w:tc>
        <w:tc>
          <w:tcPr>
            <w:tcW w:w="2547" w:type="dxa"/>
            <w:vAlign w:val="top"/>
          </w:tcPr>
          <w:p w14:paraId="1B49E7AA">
            <w:pPr>
              <w:pStyle w:val="9"/>
              <w:spacing w:before="76" w:line="220" w:lineRule="auto"/>
              <w:ind w:left="292"/>
            </w:pPr>
            <w:r>
              <w:rPr>
                <w:spacing w:val="-5"/>
              </w:rPr>
              <w:t>每月成型</w:t>
            </w:r>
            <w:r>
              <w:rPr>
                <w:spacing w:val="-24"/>
              </w:rPr>
              <w:t xml:space="preserve"> </w:t>
            </w:r>
            <w:r>
              <w:rPr>
                <w:spacing w:val="-5"/>
              </w:rPr>
              <w:t>1</w:t>
            </w:r>
            <w:r>
              <w:rPr>
                <w:spacing w:val="-34"/>
              </w:rPr>
              <w:t xml:space="preserve"> </w:t>
            </w:r>
            <w:r>
              <w:rPr>
                <w:spacing w:val="-5"/>
              </w:rPr>
              <w:t>次</w:t>
            </w:r>
          </w:p>
        </w:tc>
        <w:tc>
          <w:tcPr>
            <w:tcW w:w="2240" w:type="dxa"/>
            <w:vMerge w:val="continue"/>
            <w:tcBorders>
              <w:top w:val="nil"/>
              <w:bottom w:val="nil"/>
              <w:right w:val="single" w:color="000000" w:sz="6" w:space="0"/>
            </w:tcBorders>
            <w:vAlign w:val="top"/>
          </w:tcPr>
          <w:p w14:paraId="4C3AA8F1">
            <w:pPr>
              <w:rPr>
                <w:rFonts w:ascii="Arial"/>
                <w:sz w:val="21"/>
              </w:rPr>
            </w:pPr>
          </w:p>
        </w:tc>
      </w:tr>
      <w:tr w14:paraId="344C3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88" w:type="dxa"/>
            <w:vMerge w:val="continue"/>
            <w:tcBorders>
              <w:top w:val="nil"/>
              <w:left w:val="single" w:color="000000" w:sz="6" w:space="0"/>
              <w:bottom w:val="nil"/>
            </w:tcBorders>
            <w:vAlign w:val="top"/>
          </w:tcPr>
          <w:p w14:paraId="6AB61BD3">
            <w:pPr>
              <w:rPr>
                <w:rFonts w:ascii="Arial"/>
                <w:sz w:val="21"/>
              </w:rPr>
            </w:pPr>
          </w:p>
        </w:tc>
        <w:tc>
          <w:tcPr>
            <w:tcW w:w="987" w:type="dxa"/>
            <w:vMerge w:val="continue"/>
            <w:tcBorders>
              <w:top w:val="nil"/>
              <w:bottom w:val="nil"/>
            </w:tcBorders>
            <w:vAlign w:val="top"/>
          </w:tcPr>
          <w:p w14:paraId="0E7B5540">
            <w:pPr>
              <w:rPr>
                <w:rFonts w:ascii="Arial"/>
                <w:sz w:val="21"/>
              </w:rPr>
            </w:pPr>
          </w:p>
        </w:tc>
        <w:tc>
          <w:tcPr>
            <w:tcW w:w="3113" w:type="dxa"/>
            <w:vAlign w:val="top"/>
          </w:tcPr>
          <w:p w14:paraId="455964DC">
            <w:pPr>
              <w:pStyle w:val="9"/>
              <w:spacing w:before="76" w:line="220" w:lineRule="auto"/>
              <w:ind w:right="22"/>
              <w:jc w:val="right"/>
            </w:pPr>
            <w:r>
              <w:rPr>
                <w:spacing w:val="-4"/>
              </w:rPr>
              <w:t>抗压弹模（28d、90d、180d、365d）</w:t>
            </w:r>
          </w:p>
        </w:tc>
        <w:tc>
          <w:tcPr>
            <w:tcW w:w="2547" w:type="dxa"/>
            <w:vAlign w:val="top"/>
          </w:tcPr>
          <w:p w14:paraId="14D6965E">
            <w:pPr>
              <w:pStyle w:val="9"/>
              <w:spacing w:before="77" w:line="220" w:lineRule="auto"/>
              <w:ind w:left="292"/>
            </w:pPr>
            <w:r>
              <w:rPr>
                <w:spacing w:val="-5"/>
              </w:rPr>
              <w:t>每月成型</w:t>
            </w:r>
            <w:r>
              <w:rPr>
                <w:spacing w:val="-24"/>
              </w:rPr>
              <w:t xml:space="preserve"> </w:t>
            </w:r>
            <w:r>
              <w:rPr>
                <w:spacing w:val="-5"/>
              </w:rPr>
              <w:t>1</w:t>
            </w:r>
            <w:r>
              <w:rPr>
                <w:spacing w:val="-34"/>
              </w:rPr>
              <w:t xml:space="preserve"> </w:t>
            </w:r>
            <w:r>
              <w:rPr>
                <w:spacing w:val="-5"/>
              </w:rPr>
              <w:t>次</w:t>
            </w:r>
          </w:p>
        </w:tc>
        <w:tc>
          <w:tcPr>
            <w:tcW w:w="2240" w:type="dxa"/>
            <w:vMerge w:val="continue"/>
            <w:tcBorders>
              <w:top w:val="nil"/>
              <w:bottom w:val="nil"/>
              <w:right w:val="single" w:color="000000" w:sz="6" w:space="0"/>
            </w:tcBorders>
            <w:vAlign w:val="top"/>
          </w:tcPr>
          <w:p w14:paraId="10719661">
            <w:pPr>
              <w:rPr>
                <w:rFonts w:ascii="Arial"/>
                <w:sz w:val="21"/>
              </w:rPr>
            </w:pPr>
          </w:p>
        </w:tc>
      </w:tr>
      <w:tr w14:paraId="44E89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88" w:type="dxa"/>
            <w:vMerge w:val="continue"/>
            <w:tcBorders>
              <w:top w:val="nil"/>
              <w:left w:val="single" w:color="000000" w:sz="6" w:space="0"/>
              <w:bottom w:val="nil"/>
            </w:tcBorders>
            <w:vAlign w:val="top"/>
          </w:tcPr>
          <w:p w14:paraId="4ECF3FE9">
            <w:pPr>
              <w:rPr>
                <w:rFonts w:ascii="Arial"/>
                <w:sz w:val="21"/>
              </w:rPr>
            </w:pPr>
          </w:p>
        </w:tc>
        <w:tc>
          <w:tcPr>
            <w:tcW w:w="987" w:type="dxa"/>
            <w:vMerge w:val="continue"/>
            <w:tcBorders>
              <w:top w:val="nil"/>
              <w:bottom w:val="nil"/>
            </w:tcBorders>
            <w:vAlign w:val="top"/>
          </w:tcPr>
          <w:p w14:paraId="08419B79">
            <w:pPr>
              <w:rPr>
                <w:rFonts w:ascii="Arial"/>
                <w:sz w:val="21"/>
              </w:rPr>
            </w:pPr>
          </w:p>
        </w:tc>
        <w:tc>
          <w:tcPr>
            <w:tcW w:w="3113" w:type="dxa"/>
            <w:vAlign w:val="top"/>
          </w:tcPr>
          <w:p w14:paraId="16B57CCD">
            <w:pPr>
              <w:pStyle w:val="9"/>
              <w:spacing w:before="77" w:line="220" w:lineRule="auto"/>
              <w:ind w:left="287"/>
            </w:pPr>
            <w:r>
              <w:rPr>
                <w:spacing w:val="-2"/>
              </w:rPr>
              <w:t>抗冻（28d</w:t>
            </w:r>
            <w:r>
              <w:rPr>
                <w:spacing w:val="-36"/>
              </w:rPr>
              <w:t xml:space="preserve"> </w:t>
            </w:r>
            <w:r>
              <w:rPr>
                <w:spacing w:val="-2"/>
              </w:rPr>
              <w:t>龄期或设计龄期）</w:t>
            </w:r>
          </w:p>
        </w:tc>
        <w:tc>
          <w:tcPr>
            <w:tcW w:w="2547" w:type="dxa"/>
            <w:vAlign w:val="top"/>
          </w:tcPr>
          <w:p w14:paraId="0397563A">
            <w:pPr>
              <w:pStyle w:val="9"/>
              <w:spacing w:before="77" w:line="220" w:lineRule="auto"/>
              <w:ind w:left="292"/>
            </w:pPr>
            <w:r>
              <w:rPr>
                <w:spacing w:val="-5"/>
              </w:rPr>
              <w:t>每月成型</w:t>
            </w:r>
            <w:r>
              <w:rPr>
                <w:spacing w:val="-24"/>
              </w:rPr>
              <w:t xml:space="preserve"> </w:t>
            </w:r>
            <w:r>
              <w:rPr>
                <w:spacing w:val="-5"/>
              </w:rPr>
              <w:t>1</w:t>
            </w:r>
            <w:r>
              <w:rPr>
                <w:spacing w:val="-34"/>
              </w:rPr>
              <w:t xml:space="preserve"> </w:t>
            </w:r>
            <w:r>
              <w:rPr>
                <w:spacing w:val="-5"/>
              </w:rPr>
              <w:t>次</w:t>
            </w:r>
          </w:p>
        </w:tc>
        <w:tc>
          <w:tcPr>
            <w:tcW w:w="2240" w:type="dxa"/>
            <w:vMerge w:val="continue"/>
            <w:tcBorders>
              <w:top w:val="nil"/>
              <w:bottom w:val="nil"/>
              <w:right w:val="single" w:color="000000" w:sz="6" w:space="0"/>
            </w:tcBorders>
            <w:vAlign w:val="top"/>
          </w:tcPr>
          <w:p w14:paraId="227B4188">
            <w:pPr>
              <w:rPr>
                <w:rFonts w:ascii="Arial"/>
                <w:sz w:val="21"/>
              </w:rPr>
            </w:pPr>
          </w:p>
        </w:tc>
      </w:tr>
      <w:tr w14:paraId="13796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88" w:type="dxa"/>
            <w:vMerge w:val="continue"/>
            <w:tcBorders>
              <w:top w:val="nil"/>
              <w:left w:val="single" w:color="000000" w:sz="6" w:space="0"/>
            </w:tcBorders>
            <w:vAlign w:val="top"/>
          </w:tcPr>
          <w:p w14:paraId="7EE08D46">
            <w:pPr>
              <w:rPr>
                <w:rFonts w:ascii="Arial"/>
                <w:sz w:val="21"/>
              </w:rPr>
            </w:pPr>
          </w:p>
        </w:tc>
        <w:tc>
          <w:tcPr>
            <w:tcW w:w="987" w:type="dxa"/>
            <w:vMerge w:val="continue"/>
            <w:tcBorders>
              <w:top w:val="nil"/>
            </w:tcBorders>
            <w:vAlign w:val="top"/>
          </w:tcPr>
          <w:p w14:paraId="140EE4EC">
            <w:pPr>
              <w:rPr>
                <w:rFonts w:ascii="Arial"/>
                <w:sz w:val="21"/>
              </w:rPr>
            </w:pPr>
          </w:p>
        </w:tc>
        <w:tc>
          <w:tcPr>
            <w:tcW w:w="3113" w:type="dxa"/>
            <w:vAlign w:val="top"/>
          </w:tcPr>
          <w:p w14:paraId="4E507BD0">
            <w:pPr>
              <w:pStyle w:val="9"/>
              <w:spacing w:before="78" w:line="220" w:lineRule="auto"/>
              <w:ind w:left="317"/>
            </w:pPr>
            <w:r>
              <w:rPr>
                <w:spacing w:val="-5"/>
              </w:rPr>
              <w:t>自生体积变形（龄期不少于</w:t>
            </w:r>
            <w:r>
              <w:rPr>
                <w:spacing w:val="-16"/>
              </w:rPr>
              <w:t xml:space="preserve"> </w:t>
            </w:r>
            <w:r>
              <w:rPr>
                <w:spacing w:val="-5"/>
              </w:rPr>
              <w:t>1</w:t>
            </w:r>
            <w:r>
              <w:rPr>
                <w:spacing w:val="-38"/>
              </w:rPr>
              <w:t xml:space="preserve"> </w:t>
            </w:r>
            <w:r>
              <w:rPr>
                <w:spacing w:val="-5"/>
              </w:rPr>
              <w:t>年）</w:t>
            </w:r>
          </w:p>
        </w:tc>
        <w:tc>
          <w:tcPr>
            <w:tcW w:w="2547" w:type="dxa"/>
            <w:vAlign w:val="top"/>
          </w:tcPr>
          <w:p w14:paraId="34BB24AD">
            <w:pPr>
              <w:pStyle w:val="9"/>
              <w:spacing w:before="78" w:line="220" w:lineRule="auto"/>
              <w:ind w:left="292"/>
            </w:pPr>
            <w:r>
              <w:rPr>
                <w:spacing w:val="-5"/>
              </w:rPr>
              <w:t>每月成型</w:t>
            </w:r>
            <w:r>
              <w:rPr>
                <w:spacing w:val="-24"/>
              </w:rPr>
              <w:t xml:space="preserve"> </w:t>
            </w:r>
            <w:r>
              <w:rPr>
                <w:spacing w:val="-5"/>
              </w:rPr>
              <w:t>1</w:t>
            </w:r>
            <w:r>
              <w:rPr>
                <w:spacing w:val="-34"/>
              </w:rPr>
              <w:t xml:space="preserve"> </w:t>
            </w:r>
            <w:r>
              <w:rPr>
                <w:spacing w:val="-5"/>
              </w:rPr>
              <w:t>次</w:t>
            </w:r>
          </w:p>
        </w:tc>
        <w:tc>
          <w:tcPr>
            <w:tcW w:w="2240" w:type="dxa"/>
            <w:vMerge w:val="continue"/>
            <w:tcBorders>
              <w:top w:val="nil"/>
              <w:right w:val="single" w:color="000000" w:sz="6" w:space="0"/>
            </w:tcBorders>
            <w:vAlign w:val="top"/>
          </w:tcPr>
          <w:p w14:paraId="2C3F648D">
            <w:pPr>
              <w:rPr>
                <w:rFonts w:ascii="Arial"/>
                <w:sz w:val="21"/>
              </w:rPr>
            </w:pPr>
          </w:p>
        </w:tc>
      </w:tr>
      <w:tr w14:paraId="7579C1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88" w:type="dxa"/>
            <w:tcBorders>
              <w:left w:val="single" w:color="000000" w:sz="6" w:space="0"/>
            </w:tcBorders>
            <w:vAlign w:val="top"/>
          </w:tcPr>
          <w:p w14:paraId="7E2FCF28">
            <w:pPr>
              <w:pStyle w:val="9"/>
              <w:spacing w:before="78" w:line="233" w:lineRule="auto"/>
              <w:ind w:left="297"/>
            </w:pPr>
            <w:r>
              <w:t>6</w:t>
            </w:r>
          </w:p>
        </w:tc>
        <w:tc>
          <w:tcPr>
            <w:tcW w:w="987" w:type="dxa"/>
            <w:vAlign w:val="top"/>
          </w:tcPr>
          <w:p w14:paraId="7E7075F6">
            <w:pPr>
              <w:pStyle w:val="9"/>
              <w:spacing w:before="79" w:line="220" w:lineRule="auto"/>
              <w:ind w:left="131"/>
            </w:pPr>
            <w:r>
              <w:rPr>
                <w:spacing w:val="-2"/>
              </w:rPr>
              <w:t>仓面抽样</w:t>
            </w:r>
          </w:p>
        </w:tc>
        <w:tc>
          <w:tcPr>
            <w:tcW w:w="3113" w:type="dxa"/>
            <w:vAlign w:val="top"/>
          </w:tcPr>
          <w:p w14:paraId="2DA39C94">
            <w:pPr>
              <w:pStyle w:val="9"/>
              <w:spacing w:before="79" w:line="220" w:lineRule="auto"/>
              <w:ind w:left="287"/>
            </w:pPr>
            <w:r>
              <w:rPr>
                <w:spacing w:val="-1"/>
              </w:rPr>
              <w:t>抗压强度、含气量、坍落度和温度</w:t>
            </w:r>
          </w:p>
        </w:tc>
        <w:tc>
          <w:tcPr>
            <w:tcW w:w="2547" w:type="dxa"/>
            <w:vAlign w:val="top"/>
          </w:tcPr>
          <w:p w14:paraId="5012F4C8">
            <w:pPr>
              <w:pStyle w:val="9"/>
              <w:spacing w:before="78" w:line="220" w:lineRule="auto"/>
              <w:ind w:left="291"/>
            </w:pPr>
            <w:r>
              <w:rPr>
                <w:spacing w:val="-2"/>
              </w:rPr>
              <w:t>机口抽样数量的</w:t>
            </w:r>
            <w:r>
              <w:rPr>
                <w:spacing w:val="-26"/>
              </w:rPr>
              <w:t xml:space="preserve"> </w:t>
            </w:r>
            <w:r>
              <w:rPr>
                <w:spacing w:val="-2"/>
              </w:rPr>
              <w:t>1/10</w:t>
            </w:r>
          </w:p>
        </w:tc>
        <w:tc>
          <w:tcPr>
            <w:tcW w:w="2240" w:type="dxa"/>
            <w:tcBorders>
              <w:right w:val="single" w:color="000000" w:sz="6" w:space="0"/>
            </w:tcBorders>
            <w:vAlign w:val="top"/>
          </w:tcPr>
          <w:p w14:paraId="0B5F0EE0">
            <w:pPr>
              <w:rPr>
                <w:rFonts w:ascii="Arial"/>
                <w:sz w:val="21"/>
              </w:rPr>
            </w:pPr>
          </w:p>
        </w:tc>
      </w:tr>
      <w:tr w14:paraId="0AF3F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688" w:type="dxa"/>
            <w:tcBorders>
              <w:left w:val="single" w:color="000000" w:sz="6" w:space="0"/>
              <w:bottom w:val="single" w:color="000000" w:sz="6" w:space="0"/>
            </w:tcBorders>
            <w:vAlign w:val="top"/>
          </w:tcPr>
          <w:p w14:paraId="7A96F948">
            <w:pPr>
              <w:pStyle w:val="9"/>
              <w:spacing w:before="235"/>
              <w:ind w:left="299"/>
            </w:pPr>
            <w:r>
              <w:t>7</w:t>
            </w:r>
          </w:p>
        </w:tc>
        <w:tc>
          <w:tcPr>
            <w:tcW w:w="987" w:type="dxa"/>
            <w:tcBorders>
              <w:bottom w:val="single" w:color="000000" w:sz="6" w:space="0"/>
            </w:tcBorders>
            <w:vAlign w:val="top"/>
          </w:tcPr>
          <w:p w14:paraId="7AF49156">
            <w:pPr>
              <w:pStyle w:val="9"/>
              <w:spacing w:before="235" w:line="220" w:lineRule="auto"/>
              <w:ind w:left="311"/>
            </w:pPr>
            <w:r>
              <w:rPr>
                <w:spacing w:val="-2"/>
              </w:rPr>
              <w:t>砂浆</w:t>
            </w:r>
          </w:p>
        </w:tc>
        <w:tc>
          <w:tcPr>
            <w:tcW w:w="3113" w:type="dxa"/>
            <w:tcBorders>
              <w:bottom w:val="single" w:color="000000" w:sz="6" w:space="0"/>
            </w:tcBorders>
            <w:vAlign w:val="top"/>
          </w:tcPr>
          <w:p w14:paraId="25C1CA1D">
            <w:pPr>
              <w:pStyle w:val="9"/>
              <w:spacing w:before="235" w:line="220" w:lineRule="auto"/>
              <w:ind w:left="291"/>
            </w:pPr>
            <w:r>
              <w:rPr>
                <w:spacing w:val="-2"/>
              </w:rPr>
              <w:t>7d、28d、90d</w:t>
            </w:r>
            <w:r>
              <w:rPr>
                <w:spacing w:val="-29"/>
              </w:rPr>
              <w:t xml:space="preserve"> </w:t>
            </w:r>
            <w:r>
              <w:rPr>
                <w:spacing w:val="-2"/>
              </w:rPr>
              <w:t>抗压强度</w:t>
            </w:r>
          </w:p>
        </w:tc>
        <w:tc>
          <w:tcPr>
            <w:tcW w:w="2547" w:type="dxa"/>
            <w:tcBorders>
              <w:bottom w:val="single" w:color="000000" w:sz="6" w:space="0"/>
            </w:tcBorders>
            <w:vAlign w:val="top"/>
          </w:tcPr>
          <w:p w14:paraId="1012FF54">
            <w:pPr>
              <w:pStyle w:val="9"/>
              <w:spacing w:before="235" w:line="220" w:lineRule="auto"/>
              <w:ind w:left="292"/>
            </w:pPr>
            <w:r>
              <w:rPr>
                <w:spacing w:val="-6"/>
              </w:rPr>
              <w:t>每月</w:t>
            </w:r>
            <w:r>
              <w:rPr>
                <w:spacing w:val="-24"/>
              </w:rPr>
              <w:t xml:space="preserve"> </w:t>
            </w:r>
            <w:r>
              <w:rPr>
                <w:spacing w:val="-6"/>
              </w:rPr>
              <w:t>1</w:t>
            </w:r>
            <w:r>
              <w:rPr>
                <w:spacing w:val="-34"/>
              </w:rPr>
              <w:t xml:space="preserve"> </w:t>
            </w:r>
            <w:r>
              <w:rPr>
                <w:spacing w:val="-6"/>
              </w:rPr>
              <w:t>次～2</w:t>
            </w:r>
            <w:r>
              <w:rPr>
                <w:spacing w:val="-33"/>
              </w:rPr>
              <w:t xml:space="preserve"> </w:t>
            </w:r>
            <w:r>
              <w:rPr>
                <w:spacing w:val="-6"/>
              </w:rPr>
              <w:t>次</w:t>
            </w:r>
          </w:p>
        </w:tc>
        <w:tc>
          <w:tcPr>
            <w:tcW w:w="2240" w:type="dxa"/>
            <w:tcBorders>
              <w:bottom w:val="single" w:color="000000" w:sz="6" w:space="0"/>
              <w:right w:val="single" w:color="000000" w:sz="6" w:space="0"/>
            </w:tcBorders>
            <w:vAlign w:val="top"/>
          </w:tcPr>
          <w:p w14:paraId="5309956E">
            <w:pPr>
              <w:pStyle w:val="9"/>
              <w:spacing w:before="79" w:line="283" w:lineRule="auto"/>
              <w:ind w:left="117" w:right="103" w:firstLine="179"/>
            </w:pPr>
            <w:r>
              <w:rPr>
                <w:spacing w:val="1"/>
              </w:rPr>
              <w:t>应采用边长</w:t>
            </w:r>
            <w:r>
              <w:rPr>
                <w:spacing w:val="18"/>
              </w:rPr>
              <w:t xml:space="preserve"> </w:t>
            </w:r>
            <w:r>
              <w:rPr>
                <w:spacing w:val="1"/>
              </w:rPr>
              <w:t>70.7</w:t>
            </w:r>
            <w:r>
              <w:t>mm</w:t>
            </w:r>
            <w:r>
              <w:rPr>
                <w:spacing w:val="1"/>
              </w:rPr>
              <w:t xml:space="preserve"> 立</w:t>
            </w:r>
            <w:r>
              <w:t xml:space="preserve"> </w:t>
            </w:r>
            <w:r>
              <w:rPr>
                <w:spacing w:val="-2"/>
              </w:rPr>
              <w:t>方体试件成型</w:t>
            </w:r>
          </w:p>
        </w:tc>
      </w:tr>
    </w:tbl>
    <w:p w14:paraId="2BA58DA6">
      <w:pPr>
        <w:pStyle w:val="2"/>
        <w:spacing w:line="293" w:lineRule="auto"/>
      </w:pPr>
    </w:p>
    <w:p w14:paraId="37FF09B4">
      <w:pPr>
        <w:spacing w:before="69" w:line="247" w:lineRule="auto"/>
        <w:ind w:left="128" w:right="117" w:hanging="3"/>
        <w:rPr>
          <w:rFonts w:ascii="宋体" w:hAnsi="宋体" w:eastAsia="宋体" w:cs="宋体"/>
          <w:sz w:val="21"/>
          <w:szCs w:val="21"/>
        </w:rPr>
      </w:pPr>
      <w:r>
        <w:rPr>
          <w:rFonts w:ascii="黑体" w:hAnsi="黑体" w:eastAsia="黑体" w:cs="黑体"/>
          <w:spacing w:val="-2"/>
          <w:sz w:val="21"/>
          <w:szCs w:val="21"/>
        </w:rPr>
        <w:t xml:space="preserve">3.2  </w:t>
      </w:r>
      <w:r>
        <w:rPr>
          <w:rFonts w:ascii="宋体" w:hAnsi="宋体" w:eastAsia="宋体" w:cs="宋体"/>
          <w:spacing w:val="-2"/>
          <w:sz w:val="21"/>
          <w:szCs w:val="21"/>
        </w:rPr>
        <w:t>表</w:t>
      </w:r>
      <w:r>
        <w:rPr>
          <w:rFonts w:ascii="宋体" w:hAnsi="宋体" w:eastAsia="宋体" w:cs="宋体"/>
          <w:spacing w:val="-18"/>
          <w:sz w:val="21"/>
          <w:szCs w:val="21"/>
        </w:rPr>
        <w:t xml:space="preserve"> </w:t>
      </w:r>
      <w:r>
        <w:rPr>
          <w:rFonts w:ascii="宋体" w:hAnsi="宋体" w:eastAsia="宋体" w:cs="宋体"/>
          <w:spacing w:val="-2"/>
          <w:sz w:val="21"/>
          <w:szCs w:val="21"/>
        </w:rPr>
        <w:t>1</w:t>
      </w:r>
      <w:r>
        <w:rPr>
          <w:rFonts w:ascii="宋体" w:hAnsi="宋体" w:eastAsia="宋体" w:cs="宋体"/>
          <w:spacing w:val="-37"/>
          <w:sz w:val="21"/>
          <w:szCs w:val="21"/>
        </w:rPr>
        <w:t xml:space="preserve"> </w:t>
      </w:r>
      <w:r>
        <w:rPr>
          <w:rFonts w:ascii="宋体" w:hAnsi="宋体" w:eastAsia="宋体" w:cs="宋体"/>
          <w:spacing w:val="-2"/>
          <w:sz w:val="21"/>
          <w:szCs w:val="21"/>
        </w:rPr>
        <w:t>与表</w:t>
      </w:r>
      <w:r>
        <w:rPr>
          <w:rFonts w:ascii="宋体" w:hAnsi="宋体" w:eastAsia="宋体" w:cs="宋体"/>
          <w:spacing w:val="-39"/>
          <w:sz w:val="21"/>
          <w:szCs w:val="21"/>
        </w:rPr>
        <w:t xml:space="preserve"> </w:t>
      </w:r>
      <w:r>
        <w:rPr>
          <w:rFonts w:ascii="宋体" w:hAnsi="宋体" w:eastAsia="宋体" w:cs="宋体"/>
          <w:spacing w:val="-2"/>
          <w:sz w:val="21"/>
          <w:szCs w:val="21"/>
        </w:rPr>
        <w:t>2</w:t>
      </w:r>
      <w:r>
        <w:rPr>
          <w:rFonts w:ascii="宋体" w:hAnsi="宋体" w:eastAsia="宋体" w:cs="宋体"/>
          <w:spacing w:val="-21"/>
          <w:sz w:val="21"/>
          <w:szCs w:val="21"/>
        </w:rPr>
        <w:t xml:space="preserve"> </w:t>
      </w:r>
      <w:r>
        <w:rPr>
          <w:rFonts w:ascii="宋体" w:hAnsi="宋体" w:eastAsia="宋体" w:cs="宋体"/>
          <w:spacing w:val="-2"/>
          <w:sz w:val="21"/>
          <w:szCs w:val="21"/>
        </w:rPr>
        <w:t>中规定的检测频率均是工程承包商应检验的工作量，工程监理单位检验工作量应不少</w:t>
      </w:r>
      <w:r>
        <w:rPr>
          <w:rFonts w:ascii="宋体" w:hAnsi="宋体" w:eastAsia="宋体" w:cs="宋体"/>
          <w:sz w:val="21"/>
          <w:szCs w:val="21"/>
        </w:rPr>
        <w:t xml:space="preserve"> </w:t>
      </w:r>
      <w:r>
        <w:rPr>
          <w:rFonts w:ascii="宋体" w:hAnsi="宋体" w:eastAsia="宋体" w:cs="宋体"/>
          <w:spacing w:val="-4"/>
          <w:sz w:val="21"/>
          <w:szCs w:val="21"/>
        </w:rPr>
        <w:t>于承包商检验工作量的</w:t>
      </w:r>
      <w:r>
        <w:rPr>
          <w:rFonts w:ascii="宋体" w:hAnsi="宋体" w:eastAsia="宋体" w:cs="宋体"/>
          <w:spacing w:val="-17"/>
          <w:sz w:val="21"/>
          <w:szCs w:val="21"/>
        </w:rPr>
        <w:t xml:space="preserve"> </w:t>
      </w:r>
      <w:r>
        <w:rPr>
          <w:rFonts w:ascii="宋体" w:hAnsi="宋体" w:eastAsia="宋体" w:cs="宋体"/>
          <w:spacing w:val="-4"/>
          <w:sz w:val="21"/>
          <w:szCs w:val="21"/>
        </w:rPr>
        <w:t>1/10。</w:t>
      </w:r>
    </w:p>
    <w:p w14:paraId="5A06F8F1">
      <w:pPr>
        <w:spacing w:before="61" w:line="222" w:lineRule="auto"/>
        <w:ind w:left="125"/>
        <w:rPr>
          <w:rFonts w:ascii="宋体" w:hAnsi="宋体" w:eastAsia="宋体" w:cs="宋体"/>
          <w:sz w:val="21"/>
          <w:szCs w:val="21"/>
        </w:rPr>
      </w:pPr>
      <w:r>
        <w:rPr>
          <w:rFonts w:ascii="黑体" w:hAnsi="黑体" w:eastAsia="黑体" w:cs="黑体"/>
          <w:spacing w:val="-3"/>
          <w:sz w:val="21"/>
          <w:szCs w:val="21"/>
        </w:rPr>
        <w:t xml:space="preserve">3.3  </w:t>
      </w:r>
      <w:r>
        <w:rPr>
          <w:rFonts w:ascii="宋体" w:hAnsi="宋体" w:eastAsia="宋体" w:cs="宋体"/>
          <w:spacing w:val="-3"/>
          <w:sz w:val="21"/>
          <w:szCs w:val="21"/>
        </w:rPr>
        <w:t>每月应进行</w:t>
      </w:r>
      <w:r>
        <w:rPr>
          <w:rFonts w:ascii="宋体" w:hAnsi="宋体" w:eastAsia="宋体" w:cs="宋体"/>
          <w:spacing w:val="-12"/>
          <w:sz w:val="21"/>
          <w:szCs w:val="21"/>
        </w:rPr>
        <w:t xml:space="preserve"> </w:t>
      </w:r>
      <w:r>
        <w:rPr>
          <w:rFonts w:ascii="宋体" w:hAnsi="宋体" w:eastAsia="宋体" w:cs="宋体"/>
          <w:spacing w:val="-3"/>
          <w:sz w:val="21"/>
          <w:szCs w:val="21"/>
        </w:rPr>
        <w:t>1</w:t>
      </w:r>
      <w:r>
        <w:rPr>
          <w:rFonts w:ascii="宋体" w:hAnsi="宋体" w:eastAsia="宋体" w:cs="宋体"/>
          <w:spacing w:val="-37"/>
          <w:sz w:val="21"/>
          <w:szCs w:val="21"/>
        </w:rPr>
        <w:t xml:space="preserve"> </w:t>
      </w:r>
      <w:r>
        <w:rPr>
          <w:rFonts w:ascii="宋体" w:hAnsi="宋体" w:eastAsia="宋体" w:cs="宋体"/>
          <w:spacing w:val="-3"/>
          <w:sz w:val="21"/>
          <w:szCs w:val="21"/>
        </w:rPr>
        <w:t>次试验误差统计，试件组数不少于</w:t>
      </w:r>
      <w:r>
        <w:rPr>
          <w:rFonts w:ascii="宋体" w:hAnsi="宋体" w:eastAsia="宋体" w:cs="宋体"/>
          <w:spacing w:val="-40"/>
          <w:sz w:val="21"/>
          <w:szCs w:val="21"/>
        </w:rPr>
        <w:t xml:space="preserve"> </w:t>
      </w:r>
      <w:r>
        <w:rPr>
          <w:rFonts w:ascii="宋体" w:hAnsi="宋体" w:eastAsia="宋体" w:cs="宋体"/>
          <w:spacing w:val="-3"/>
          <w:sz w:val="21"/>
          <w:szCs w:val="21"/>
        </w:rPr>
        <w:t>30</w:t>
      </w:r>
      <w:r>
        <w:rPr>
          <w:rFonts w:ascii="宋体" w:hAnsi="宋体" w:eastAsia="宋体" w:cs="宋体"/>
          <w:spacing w:val="-41"/>
          <w:sz w:val="21"/>
          <w:szCs w:val="21"/>
        </w:rPr>
        <w:t xml:space="preserve"> </w:t>
      </w:r>
      <w:r>
        <w:rPr>
          <w:rFonts w:ascii="宋体" w:hAnsi="宋体" w:eastAsia="宋体" w:cs="宋体"/>
          <w:spacing w:val="-3"/>
          <w:sz w:val="21"/>
          <w:szCs w:val="21"/>
        </w:rPr>
        <w:t>组。</w:t>
      </w:r>
    </w:p>
    <w:p w14:paraId="17C5234D">
      <w:pPr>
        <w:spacing w:before="58" w:line="248" w:lineRule="auto"/>
        <w:ind w:left="125" w:right="119"/>
        <w:rPr>
          <w:rFonts w:ascii="宋体" w:hAnsi="宋体" w:eastAsia="宋体" w:cs="宋体"/>
          <w:sz w:val="21"/>
          <w:szCs w:val="21"/>
        </w:rPr>
      </w:pPr>
      <w:r>
        <w:rPr>
          <w:rFonts w:ascii="黑体" w:hAnsi="黑体" w:eastAsia="黑体" w:cs="黑体"/>
          <w:sz w:val="21"/>
          <w:szCs w:val="21"/>
        </w:rPr>
        <w:t xml:space="preserve">3.4  </w:t>
      </w:r>
      <w:r>
        <w:rPr>
          <w:rFonts w:ascii="宋体" w:hAnsi="宋体" w:eastAsia="宋体" w:cs="宋体"/>
          <w:sz w:val="21"/>
          <w:szCs w:val="21"/>
        </w:rPr>
        <w:t xml:space="preserve">混凝土生产过程各工序的质量控制及检验过程中，发现问题应及时采取有效措施进行处理，以确 </w:t>
      </w:r>
      <w:r>
        <w:rPr>
          <w:rFonts w:ascii="宋体" w:hAnsi="宋体" w:eastAsia="宋体" w:cs="宋体"/>
          <w:spacing w:val="-6"/>
          <w:sz w:val="21"/>
          <w:szCs w:val="21"/>
        </w:rPr>
        <w:t>保工程质量。</w:t>
      </w:r>
    </w:p>
    <w:p w14:paraId="04ABF855">
      <w:pPr>
        <w:spacing w:before="60" w:line="222" w:lineRule="auto"/>
        <w:ind w:left="125"/>
        <w:rPr>
          <w:rFonts w:ascii="宋体" w:hAnsi="宋体" w:eastAsia="宋体" w:cs="宋体"/>
          <w:sz w:val="21"/>
          <w:szCs w:val="21"/>
        </w:rPr>
      </w:pPr>
      <w:r>
        <w:rPr>
          <w:rFonts w:ascii="黑体" w:hAnsi="黑体" w:eastAsia="黑体" w:cs="黑体"/>
          <w:spacing w:val="-2"/>
          <w:sz w:val="21"/>
          <w:szCs w:val="21"/>
        </w:rPr>
        <w:t xml:space="preserve">3.5  </w:t>
      </w:r>
      <w:r>
        <w:rPr>
          <w:rFonts w:ascii="宋体" w:hAnsi="宋体" w:eastAsia="宋体" w:cs="宋体"/>
          <w:spacing w:val="-2"/>
          <w:sz w:val="21"/>
          <w:szCs w:val="21"/>
        </w:rPr>
        <w:t>试验方法应按照</w:t>
      </w:r>
      <w:r>
        <w:rPr>
          <w:rFonts w:ascii="宋体" w:hAnsi="宋体" w:eastAsia="宋体" w:cs="宋体"/>
          <w:spacing w:val="-39"/>
          <w:sz w:val="21"/>
          <w:szCs w:val="21"/>
        </w:rPr>
        <w:t xml:space="preserve"> </w:t>
      </w:r>
      <w:r>
        <w:rPr>
          <w:rFonts w:ascii="宋体" w:hAnsi="宋体" w:eastAsia="宋体" w:cs="宋体"/>
          <w:spacing w:val="-2"/>
          <w:sz w:val="21"/>
          <w:szCs w:val="21"/>
        </w:rPr>
        <w:t>DL/T 5150</w:t>
      </w:r>
      <w:r>
        <w:rPr>
          <w:rFonts w:ascii="宋体" w:hAnsi="宋体" w:eastAsia="宋体" w:cs="宋体"/>
          <w:spacing w:val="-43"/>
          <w:sz w:val="21"/>
          <w:szCs w:val="21"/>
        </w:rPr>
        <w:t xml:space="preserve"> </w:t>
      </w:r>
      <w:r>
        <w:rPr>
          <w:rFonts w:ascii="宋体" w:hAnsi="宋体" w:eastAsia="宋体" w:cs="宋体"/>
          <w:spacing w:val="-2"/>
          <w:sz w:val="21"/>
          <w:szCs w:val="21"/>
        </w:rPr>
        <w:t>规定的方法进行。</w:t>
      </w:r>
    </w:p>
    <w:p w14:paraId="01F13A30">
      <w:pPr>
        <w:pStyle w:val="2"/>
        <w:spacing w:line="302" w:lineRule="auto"/>
      </w:pPr>
    </w:p>
    <w:p w14:paraId="408F9E3D">
      <w:pPr>
        <w:spacing w:before="69" w:line="222" w:lineRule="auto"/>
        <w:ind w:left="120"/>
        <w:outlineLvl w:val="0"/>
        <w:rPr>
          <w:rFonts w:ascii="黑体" w:hAnsi="黑体" w:eastAsia="黑体" w:cs="黑体"/>
          <w:sz w:val="21"/>
          <w:szCs w:val="21"/>
        </w:rPr>
      </w:pPr>
      <w:bookmarkStart w:id="13" w:name="bookmark1"/>
      <w:bookmarkEnd w:id="13"/>
      <w:r>
        <w:rPr>
          <w:rFonts w:ascii="黑体" w:hAnsi="黑体" w:eastAsia="黑体" w:cs="黑体"/>
          <w:spacing w:val="-3"/>
          <w:sz w:val="21"/>
          <w:szCs w:val="21"/>
        </w:rPr>
        <w:t>4</w:t>
      </w:r>
      <w:r>
        <w:rPr>
          <w:rFonts w:ascii="黑体" w:hAnsi="黑体" w:eastAsia="黑体" w:cs="黑体"/>
          <w:spacing w:val="6"/>
          <w:sz w:val="21"/>
          <w:szCs w:val="21"/>
        </w:rPr>
        <w:t xml:space="preserve">  </w:t>
      </w:r>
      <w:r>
        <w:rPr>
          <w:rFonts w:ascii="黑体" w:hAnsi="黑体" w:eastAsia="黑体" w:cs="黑体"/>
          <w:spacing w:val="-3"/>
          <w:sz w:val="21"/>
          <w:szCs w:val="21"/>
        </w:rPr>
        <w:t>质量要求</w:t>
      </w:r>
    </w:p>
    <w:p w14:paraId="67755907">
      <w:pPr>
        <w:pStyle w:val="2"/>
        <w:spacing w:line="299" w:lineRule="auto"/>
      </w:pPr>
    </w:p>
    <w:p w14:paraId="789D7A12">
      <w:pPr>
        <w:spacing w:before="68" w:line="222" w:lineRule="auto"/>
        <w:ind w:left="120"/>
        <w:rPr>
          <w:rFonts w:ascii="黑体" w:hAnsi="黑体" w:eastAsia="黑体" w:cs="黑体"/>
          <w:sz w:val="21"/>
          <w:szCs w:val="21"/>
        </w:rPr>
      </w:pPr>
      <w:r>
        <w:rPr>
          <w:rFonts w:ascii="黑体" w:hAnsi="黑体" w:eastAsia="黑体" w:cs="黑体"/>
          <w:spacing w:val="-3"/>
          <w:sz w:val="21"/>
          <w:szCs w:val="21"/>
        </w:rPr>
        <w:t>4.1</w:t>
      </w:r>
      <w:r>
        <w:rPr>
          <w:rFonts w:ascii="黑体" w:hAnsi="黑体" w:eastAsia="黑体" w:cs="黑体"/>
          <w:spacing w:val="5"/>
          <w:sz w:val="21"/>
          <w:szCs w:val="21"/>
        </w:rPr>
        <w:t xml:space="preserve">  </w:t>
      </w:r>
      <w:r>
        <w:rPr>
          <w:rFonts w:ascii="黑体" w:hAnsi="黑体" w:eastAsia="黑体" w:cs="黑体"/>
          <w:spacing w:val="-3"/>
          <w:sz w:val="21"/>
          <w:szCs w:val="21"/>
        </w:rPr>
        <w:t>称量</w:t>
      </w:r>
    </w:p>
    <w:p w14:paraId="3688694B">
      <w:pPr>
        <w:spacing w:before="216" w:line="222" w:lineRule="auto"/>
        <w:ind w:left="120"/>
        <w:rPr>
          <w:rFonts w:ascii="宋体" w:hAnsi="宋体" w:eastAsia="宋体" w:cs="宋体"/>
          <w:sz w:val="21"/>
          <w:szCs w:val="21"/>
        </w:rPr>
      </w:pPr>
      <w:r>
        <w:rPr>
          <w:rFonts w:ascii="黑体" w:hAnsi="黑体" w:eastAsia="黑体" w:cs="黑体"/>
          <w:spacing w:val="-2"/>
          <w:sz w:val="21"/>
          <w:szCs w:val="21"/>
        </w:rPr>
        <w:t xml:space="preserve">4.1.1  </w:t>
      </w:r>
      <w:r>
        <w:rPr>
          <w:rFonts w:ascii="宋体" w:hAnsi="宋体" w:eastAsia="宋体" w:cs="宋体"/>
          <w:spacing w:val="-2"/>
          <w:sz w:val="21"/>
          <w:szCs w:val="21"/>
        </w:rPr>
        <w:t>混凝土原材料称量的允许偏差应符合表</w:t>
      </w:r>
      <w:r>
        <w:rPr>
          <w:rFonts w:ascii="宋体" w:hAnsi="宋体" w:eastAsia="宋体" w:cs="宋体"/>
          <w:spacing w:val="-40"/>
          <w:sz w:val="21"/>
          <w:szCs w:val="21"/>
        </w:rPr>
        <w:t xml:space="preserve"> </w:t>
      </w:r>
      <w:r>
        <w:rPr>
          <w:rFonts w:ascii="宋体" w:hAnsi="宋体" w:eastAsia="宋体" w:cs="宋体"/>
          <w:spacing w:val="-2"/>
          <w:sz w:val="21"/>
          <w:szCs w:val="21"/>
        </w:rPr>
        <w:t>3</w:t>
      </w:r>
      <w:r>
        <w:rPr>
          <w:rFonts w:ascii="宋体" w:hAnsi="宋体" w:eastAsia="宋体" w:cs="宋体"/>
          <w:spacing w:val="-26"/>
          <w:sz w:val="21"/>
          <w:szCs w:val="21"/>
        </w:rPr>
        <w:t xml:space="preserve"> </w:t>
      </w:r>
      <w:r>
        <w:rPr>
          <w:rFonts w:ascii="宋体" w:hAnsi="宋体" w:eastAsia="宋体" w:cs="宋体"/>
          <w:spacing w:val="-2"/>
          <w:sz w:val="21"/>
          <w:szCs w:val="21"/>
        </w:rPr>
        <w:t>的规定。</w:t>
      </w:r>
    </w:p>
    <w:p w14:paraId="00805718">
      <w:pPr>
        <w:spacing w:before="215" w:line="222" w:lineRule="auto"/>
        <w:ind w:left="3153"/>
        <w:rPr>
          <w:rFonts w:ascii="黑体" w:hAnsi="黑体" w:eastAsia="黑体" w:cs="黑体"/>
          <w:sz w:val="21"/>
          <w:szCs w:val="21"/>
        </w:rPr>
      </w:pPr>
      <w:r>
        <w:rPr>
          <w:rFonts w:ascii="黑体" w:hAnsi="黑体" w:eastAsia="黑体" w:cs="黑体"/>
          <w:spacing w:val="-2"/>
          <w:sz w:val="21"/>
          <w:szCs w:val="21"/>
        </w:rPr>
        <w:t>表</w:t>
      </w:r>
      <w:r>
        <w:rPr>
          <w:rFonts w:ascii="黑体" w:hAnsi="黑体" w:eastAsia="黑体" w:cs="黑体"/>
          <w:spacing w:val="-31"/>
          <w:sz w:val="21"/>
          <w:szCs w:val="21"/>
        </w:rPr>
        <w:t xml:space="preserve"> </w:t>
      </w:r>
      <w:r>
        <w:rPr>
          <w:rFonts w:ascii="黑体" w:hAnsi="黑体" w:eastAsia="黑体" w:cs="黑体"/>
          <w:spacing w:val="-2"/>
          <w:sz w:val="21"/>
          <w:szCs w:val="21"/>
        </w:rPr>
        <w:t>3  混凝土原材料称量的允许偏差</w:t>
      </w:r>
    </w:p>
    <w:p w14:paraId="20BAEC54">
      <w:pPr>
        <w:spacing w:line="166" w:lineRule="exact"/>
      </w:pPr>
    </w:p>
    <w:tbl>
      <w:tblPr>
        <w:tblStyle w:val="8"/>
        <w:tblW w:w="9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88"/>
        <w:gridCol w:w="4787"/>
      </w:tblGrid>
      <w:tr w14:paraId="767DD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4788" w:type="dxa"/>
            <w:tcBorders>
              <w:right w:val="single" w:color="000000" w:sz="2" w:space="0"/>
            </w:tcBorders>
            <w:vAlign w:val="top"/>
          </w:tcPr>
          <w:p w14:paraId="7EF347BA">
            <w:pPr>
              <w:pStyle w:val="9"/>
              <w:spacing w:before="227" w:line="220" w:lineRule="auto"/>
              <w:ind w:left="2033"/>
            </w:pPr>
            <w:r>
              <w:rPr>
                <w:spacing w:val="-2"/>
              </w:rPr>
              <w:t>材料名称</w:t>
            </w:r>
          </w:p>
        </w:tc>
        <w:tc>
          <w:tcPr>
            <w:tcW w:w="4787" w:type="dxa"/>
            <w:tcBorders>
              <w:left w:val="single" w:color="000000" w:sz="2" w:space="0"/>
            </w:tcBorders>
            <w:vAlign w:val="top"/>
          </w:tcPr>
          <w:p w14:paraId="376F829D">
            <w:pPr>
              <w:pStyle w:val="9"/>
              <w:spacing w:before="71" w:line="220" w:lineRule="auto"/>
              <w:ind w:left="2043"/>
            </w:pPr>
            <w:r>
              <w:rPr>
                <w:spacing w:val="-3"/>
              </w:rPr>
              <w:t>允许偏差</w:t>
            </w:r>
          </w:p>
          <w:p w14:paraId="2A51F43B">
            <w:pPr>
              <w:pStyle w:val="9"/>
              <w:spacing w:before="97"/>
              <w:ind w:left="2346"/>
            </w:pPr>
            <w:r>
              <w:t>%</w:t>
            </w:r>
          </w:p>
        </w:tc>
      </w:tr>
      <w:tr w14:paraId="59B34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9" w:hRule="atLeast"/>
        </w:trPr>
        <w:tc>
          <w:tcPr>
            <w:tcW w:w="4788" w:type="dxa"/>
            <w:tcBorders>
              <w:bottom w:val="single" w:color="000000" w:sz="2" w:space="0"/>
              <w:right w:val="single" w:color="000000" w:sz="2" w:space="0"/>
            </w:tcBorders>
            <w:vAlign w:val="top"/>
          </w:tcPr>
          <w:p w14:paraId="4FA64B1C">
            <w:pPr>
              <w:pStyle w:val="9"/>
              <w:spacing w:before="69" w:line="220" w:lineRule="auto"/>
              <w:ind w:left="595"/>
            </w:pPr>
            <w:r>
              <w:rPr>
                <w:spacing w:val="-1"/>
              </w:rPr>
              <w:t>水泥、粉煤灰、水、冰、外加剂、纤维、硅粉</w:t>
            </w:r>
          </w:p>
        </w:tc>
        <w:tc>
          <w:tcPr>
            <w:tcW w:w="4787" w:type="dxa"/>
            <w:tcBorders>
              <w:left w:val="single" w:color="000000" w:sz="2" w:space="0"/>
              <w:bottom w:val="single" w:color="000000" w:sz="2" w:space="0"/>
            </w:tcBorders>
            <w:vAlign w:val="top"/>
          </w:tcPr>
          <w:p w14:paraId="11D740CA">
            <w:pPr>
              <w:pStyle w:val="9"/>
              <w:spacing w:before="69" w:line="235" w:lineRule="auto"/>
              <w:ind w:left="2282"/>
            </w:pPr>
            <w:r>
              <w:rPr>
                <w:spacing w:val="-10"/>
              </w:rPr>
              <w:t>±1</w:t>
            </w:r>
          </w:p>
        </w:tc>
      </w:tr>
      <w:tr w14:paraId="5F70C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27" w:hRule="atLeast"/>
        </w:trPr>
        <w:tc>
          <w:tcPr>
            <w:tcW w:w="4788" w:type="dxa"/>
            <w:tcBorders>
              <w:top w:val="single" w:color="000000" w:sz="2" w:space="0"/>
              <w:right w:val="single" w:color="000000" w:sz="2" w:space="0"/>
            </w:tcBorders>
            <w:vAlign w:val="top"/>
          </w:tcPr>
          <w:p w14:paraId="58C5F6FE">
            <w:pPr>
              <w:pStyle w:val="9"/>
              <w:spacing w:before="77" w:line="220" w:lineRule="auto"/>
              <w:ind w:left="1943"/>
            </w:pPr>
            <w:r>
              <w:rPr>
                <w:spacing w:val="-2"/>
              </w:rPr>
              <w:t>粗、细骨料</w:t>
            </w:r>
          </w:p>
        </w:tc>
        <w:tc>
          <w:tcPr>
            <w:tcW w:w="4787" w:type="dxa"/>
            <w:tcBorders>
              <w:top w:val="single" w:color="000000" w:sz="2" w:space="0"/>
              <w:left w:val="single" w:color="000000" w:sz="2" w:space="0"/>
            </w:tcBorders>
            <w:vAlign w:val="top"/>
          </w:tcPr>
          <w:p w14:paraId="73D8AAF1">
            <w:pPr>
              <w:pStyle w:val="9"/>
              <w:spacing w:before="77" w:line="236" w:lineRule="auto"/>
              <w:ind w:left="2282"/>
            </w:pPr>
            <w:r>
              <w:rPr>
                <w:spacing w:val="-10"/>
              </w:rPr>
              <w:t>±2</w:t>
            </w:r>
          </w:p>
        </w:tc>
      </w:tr>
    </w:tbl>
    <w:p w14:paraId="349B4C9C">
      <w:pPr>
        <w:pStyle w:val="2"/>
        <w:spacing w:line="293" w:lineRule="auto"/>
      </w:pPr>
    </w:p>
    <w:p w14:paraId="050E74E3">
      <w:pPr>
        <w:spacing w:before="69" w:line="222" w:lineRule="auto"/>
        <w:ind w:left="120"/>
        <w:rPr>
          <w:rFonts w:ascii="宋体" w:hAnsi="宋体" w:eastAsia="宋体" w:cs="宋体"/>
          <w:sz w:val="21"/>
          <w:szCs w:val="21"/>
        </w:rPr>
      </w:pPr>
      <w:r>
        <w:rPr>
          <w:rFonts w:ascii="黑体" w:hAnsi="黑体" w:eastAsia="黑体" w:cs="黑体"/>
          <w:spacing w:val="-1"/>
          <w:sz w:val="21"/>
          <w:szCs w:val="21"/>
        </w:rPr>
        <w:t xml:space="preserve">4.1.2  </w:t>
      </w:r>
      <w:r>
        <w:rPr>
          <w:rFonts w:ascii="宋体" w:hAnsi="宋体" w:eastAsia="宋体" w:cs="宋体"/>
          <w:spacing w:val="-1"/>
          <w:sz w:val="21"/>
          <w:szCs w:val="21"/>
        </w:rPr>
        <w:t>每一工作班正式称量前，应对称量设备进行零点校</w:t>
      </w:r>
      <w:r>
        <w:rPr>
          <w:rFonts w:ascii="宋体" w:hAnsi="宋体" w:eastAsia="宋体" w:cs="宋体"/>
          <w:spacing w:val="-2"/>
          <w:sz w:val="21"/>
          <w:szCs w:val="21"/>
        </w:rPr>
        <w:t>核。</w:t>
      </w:r>
    </w:p>
    <w:p w14:paraId="49EAC503">
      <w:pPr>
        <w:spacing w:line="222" w:lineRule="auto"/>
        <w:rPr>
          <w:rFonts w:ascii="宋体" w:hAnsi="宋体" w:eastAsia="宋体" w:cs="宋体"/>
          <w:sz w:val="21"/>
          <w:szCs w:val="21"/>
        </w:rPr>
        <w:sectPr>
          <w:headerReference r:id="rId12" w:type="default"/>
          <w:footerReference r:id="rId13" w:type="default"/>
          <w:pgSz w:w="11905" w:h="16840"/>
          <w:pgMar w:top="1717" w:right="1014" w:bottom="1344" w:left="1299" w:header="1394" w:footer="1109" w:gutter="0"/>
          <w:pgNumType w:fmt="decimal"/>
          <w:cols w:space="720" w:num="1"/>
        </w:sectPr>
      </w:pPr>
    </w:p>
    <w:p w14:paraId="7B24BDF9">
      <w:pPr>
        <w:spacing w:before="243" w:line="275" w:lineRule="auto"/>
        <w:ind w:left="125" w:right="57" w:hanging="5"/>
        <w:rPr>
          <w:rFonts w:ascii="宋体" w:hAnsi="宋体" w:eastAsia="宋体" w:cs="宋体"/>
          <w:sz w:val="21"/>
          <w:szCs w:val="21"/>
        </w:rPr>
      </w:pPr>
      <w:r>
        <w:rPr>
          <w:rFonts w:ascii="黑体" w:hAnsi="黑体" w:eastAsia="黑体" w:cs="黑体"/>
          <w:spacing w:val="-3"/>
          <w:sz w:val="21"/>
          <w:szCs w:val="21"/>
        </w:rPr>
        <w:t xml:space="preserve">4.1.3  </w:t>
      </w:r>
      <w:r>
        <w:rPr>
          <w:rFonts w:ascii="宋体" w:hAnsi="宋体" w:eastAsia="宋体" w:cs="宋体"/>
          <w:spacing w:val="-3"/>
          <w:sz w:val="21"/>
          <w:szCs w:val="21"/>
        </w:rPr>
        <w:t>称量器具应定期检定，经中修、大修应检定合格方可使用。拌和楼称量校验每月应不少于一次，</w:t>
      </w:r>
      <w:r>
        <w:rPr>
          <w:rFonts w:ascii="宋体" w:hAnsi="宋体" w:eastAsia="宋体" w:cs="宋体"/>
          <w:spacing w:val="4"/>
          <w:sz w:val="21"/>
          <w:szCs w:val="21"/>
        </w:rPr>
        <w:t xml:space="preserve"> </w:t>
      </w:r>
      <w:r>
        <w:rPr>
          <w:rFonts w:ascii="宋体" w:hAnsi="宋体" w:eastAsia="宋体" w:cs="宋体"/>
          <w:spacing w:val="-2"/>
          <w:sz w:val="21"/>
          <w:szCs w:val="21"/>
        </w:rPr>
        <w:t>每天应检查定秤情况，在必要时应抽查，以保证称量准确。</w:t>
      </w:r>
    </w:p>
    <w:p w14:paraId="12D2A002">
      <w:pPr>
        <w:spacing w:before="154" w:line="222" w:lineRule="auto"/>
        <w:ind w:left="120"/>
        <w:rPr>
          <w:rFonts w:ascii="黑体" w:hAnsi="黑体" w:eastAsia="黑体" w:cs="黑体"/>
          <w:sz w:val="21"/>
          <w:szCs w:val="21"/>
        </w:rPr>
      </w:pPr>
      <w:r>
        <w:rPr>
          <w:rFonts w:ascii="黑体" w:hAnsi="黑体" w:eastAsia="黑体" w:cs="黑体"/>
          <w:spacing w:val="-1"/>
          <w:sz w:val="21"/>
          <w:szCs w:val="21"/>
        </w:rPr>
        <w:t>4.2  混凝土拌和物</w:t>
      </w:r>
    </w:p>
    <w:p w14:paraId="7FB08A29">
      <w:pPr>
        <w:spacing w:before="214" w:line="222" w:lineRule="auto"/>
        <w:ind w:left="120"/>
        <w:rPr>
          <w:rFonts w:ascii="宋体" w:hAnsi="宋体" w:eastAsia="宋体" w:cs="宋体"/>
          <w:sz w:val="21"/>
          <w:szCs w:val="21"/>
        </w:rPr>
      </w:pPr>
      <w:r>
        <w:rPr>
          <w:rFonts w:ascii="黑体" w:hAnsi="黑体" w:eastAsia="黑体" w:cs="黑体"/>
          <w:spacing w:val="-1"/>
          <w:sz w:val="21"/>
          <w:szCs w:val="21"/>
        </w:rPr>
        <w:t xml:space="preserve">4.2.1  </w:t>
      </w:r>
      <w:r>
        <w:rPr>
          <w:rFonts w:ascii="宋体" w:hAnsi="宋体" w:eastAsia="宋体" w:cs="宋体"/>
          <w:spacing w:val="-1"/>
          <w:sz w:val="21"/>
          <w:szCs w:val="21"/>
        </w:rPr>
        <w:t>工程采用的混凝土拌和物的坍落度允许偏差应符合表</w:t>
      </w:r>
      <w:r>
        <w:rPr>
          <w:rFonts w:ascii="宋体" w:hAnsi="宋体" w:eastAsia="宋体" w:cs="宋体"/>
          <w:spacing w:val="-45"/>
          <w:sz w:val="21"/>
          <w:szCs w:val="21"/>
        </w:rPr>
        <w:t xml:space="preserve"> </w:t>
      </w:r>
      <w:r>
        <w:rPr>
          <w:rFonts w:ascii="宋体" w:hAnsi="宋体" w:eastAsia="宋体" w:cs="宋体"/>
          <w:spacing w:val="-1"/>
          <w:sz w:val="21"/>
          <w:szCs w:val="21"/>
        </w:rPr>
        <w:t>4</w:t>
      </w:r>
      <w:r>
        <w:rPr>
          <w:rFonts w:ascii="宋体" w:hAnsi="宋体" w:eastAsia="宋体" w:cs="宋体"/>
          <w:spacing w:val="-26"/>
          <w:sz w:val="21"/>
          <w:szCs w:val="21"/>
        </w:rPr>
        <w:t xml:space="preserve"> </w:t>
      </w:r>
      <w:r>
        <w:rPr>
          <w:rFonts w:ascii="宋体" w:hAnsi="宋体" w:eastAsia="宋体" w:cs="宋体"/>
          <w:spacing w:val="-1"/>
          <w:sz w:val="21"/>
          <w:szCs w:val="21"/>
        </w:rPr>
        <w:t>的规</w:t>
      </w:r>
      <w:r>
        <w:rPr>
          <w:rFonts w:ascii="宋体" w:hAnsi="宋体" w:eastAsia="宋体" w:cs="宋体"/>
          <w:spacing w:val="-2"/>
          <w:sz w:val="21"/>
          <w:szCs w:val="21"/>
        </w:rPr>
        <w:t>定。</w:t>
      </w:r>
    </w:p>
    <w:p w14:paraId="5EE6DFDC">
      <w:pPr>
        <w:spacing w:before="215" w:line="222" w:lineRule="auto"/>
        <w:ind w:left="3467"/>
        <w:rPr>
          <w:rFonts w:ascii="黑体" w:hAnsi="黑体" w:eastAsia="黑体" w:cs="黑体"/>
          <w:sz w:val="21"/>
          <w:szCs w:val="21"/>
        </w:rPr>
      </w:pPr>
      <w:r>
        <w:rPr>
          <w:rFonts w:ascii="黑体" w:hAnsi="黑体" w:eastAsia="黑体" w:cs="黑体"/>
          <w:spacing w:val="-1"/>
          <w:sz w:val="21"/>
          <w:szCs w:val="21"/>
        </w:rPr>
        <w:t>表</w:t>
      </w:r>
      <w:r>
        <w:rPr>
          <w:rFonts w:ascii="黑体" w:hAnsi="黑体" w:eastAsia="黑体" w:cs="黑体"/>
          <w:spacing w:val="-50"/>
          <w:sz w:val="21"/>
          <w:szCs w:val="21"/>
        </w:rPr>
        <w:t xml:space="preserve"> </w:t>
      </w:r>
      <w:r>
        <w:rPr>
          <w:rFonts w:ascii="黑体" w:hAnsi="黑体" w:eastAsia="黑体" w:cs="黑体"/>
          <w:spacing w:val="-1"/>
          <w:sz w:val="21"/>
          <w:szCs w:val="21"/>
        </w:rPr>
        <w:t>4  混凝土坍落度允许偏差</w:t>
      </w:r>
    </w:p>
    <w:p w14:paraId="20C4F977">
      <w:pPr>
        <w:spacing w:line="165" w:lineRule="exact"/>
      </w:pPr>
    </w:p>
    <w:tbl>
      <w:tblPr>
        <w:tblStyle w:val="8"/>
        <w:tblW w:w="9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87"/>
        <w:gridCol w:w="4788"/>
      </w:tblGrid>
      <w:tr w14:paraId="663D7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4" w:hRule="atLeast"/>
        </w:trPr>
        <w:tc>
          <w:tcPr>
            <w:tcW w:w="4787" w:type="dxa"/>
            <w:tcBorders>
              <w:right w:val="single" w:color="000000" w:sz="2" w:space="0"/>
            </w:tcBorders>
            <w:vAlign w:val="top"/>
          </w:tcPr>
          <w:p w14:paraId="635F4FEF">
            <w:pPr>
              <w:pStyle w:val="9"/>
              <w:spacing w:before="72" w:line="283" w:lineRule="auto"/>
              <w:ind w:left="2297" w:right="2120" w:hanging="175"/>
            </w:pPr>
            <w:r>
              <w:rPr>
                <w:spacing w:val="-3"/>
              </w:rPr>
              <w:t>坍落度</w:t>
            </w:r>
            <w:r>
              <w:rPr>
                <w:spacing w:val="1"/>
              </w:rPr>
              <w:t xml:space="preserve"> </w:t>
            </w:r>
            <w:r>
              <w:rPr>
                <w:spacing w:val="-1"/>
              </w:rPr>
              <w:t>mm</w:t>
            </w:r>
          </w:p>
        </w:tc>
        <w:tc>
          <w:tcPr>
            <w:tcW w:w="4788" w:type="dxa"/>
            <w:tcBorders>
              <w:left w:val="single" w:color="000000" w:sz="2" w:space="0"/>
            </w:tcBorders>
            <w:vAlign w:val="top"/>
          </w:tcPr>
          <w:p w14:paraId="7BD35A58">
            <w:pPr>
              <w:pStyle w:val="9"/>
              <w:spacing w:before="71" w:line="220" w:lineRule="auto"/>
              <w:ind w:left="2044"/>
            </w:pPr>
            <w:r>
              <w:rPr>
                <w:spacing w:val="-3"/>
              </w:rPr>
              <w:t>允许偏差</w:t>
            </w:r>
          </w:p>
          <w:p w14:paraId="24A92A84">
            <w:pPr>
              <w:pStyle w:val="9"/>
              <w:spacing w:before="97" w:line="242" w:lineRule="auto"/>
              <w:ind w:left="2303"/>
            </w:pPr>
            <w:r>
              <w:rPr>
                <w:spacing w:val="-1"/>
              </w:rPr>
              <w:t>mm</w:t>
            </w:r>
          </w:p>
        </w:tc>
      </w:tr>
      <w:tr w14:paraId="66792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9" w:hRule="atLeast"/>
        </w:trPr>
        <w:tc>
          <w:tcPr>
            <w:tcW w:w="4787" w:type="dxa"/>
            <w:tcBorders>
              <w:bottom w:val="single" w:color="000000" w:sz="2" w:space="0"/>
              <w:right w:val="single" w:color="000000" w:sz="2" w:space="0"/>
            </w:tcBorders>
            <w:vAlign w:val="top"/>
          </w:tcPr>
          <w:p w14:paraId="712BB57C">
            <w:pPr>
              <w:pStyle w:val="9"/>
              <w:spacing w:before="66" w:line="238" w:lineRule="auto"/>
              <w:ind w:left="2226"/>
            </w:pPr>
            <w:r>
              <w:rPr>
                <w:spacing w:val="20"/>
              </w:rPr>
              <w:t>&lt;50</w:t>
            </w:r>
          </w:p>
        </w:tc>
        <w:tc>
          <w:tcPr>
            <w:tcW w:w="4788" w:type="dxa"/>
            <w:tcBorders>
              <w:left w:val="single" w:color="000000" w:sz="2" w:space="0"/>
              <w:bottom w:val="single" w:color="000000" w:sz="2" w:space="0"/>
            </w:tcBorders>
            <w:vAlign w:val="top"/>
          </w:tcPr>
          <w:p w14:paraId="2B840E6B">
            <w:pPr>
              <w:pStyle w:val="9"/>
              <w:spacing w:before="67" w:line="236" w:lineRule="auto"/>
              <w:ind w:left="2239"/>
            </w:pPr>
            <w:r>
              <w:rPr>
                <w:spacing w:val="-8"/>
              </w:rPr>
              <w:t>±10</w:t>
            </w:r>
          </w:p>
        </w:tc>
      </w:tr>
      <w:tr w14:paraId="5D5E9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4787" w:type="dxa"/>
            <w:tcBorders>
              <w:top w:val="single" w:color="000000" w:sz="2" w:space="0"/>
              <w:bottom w:val="single" w:color="000000" w:sz="2" w:space="0"/>
              <w:right w:val="single" w:color="000000" w:sz="2" w:space="0"/>
            </w:tcBorders>
            <w:vAlign w:val="top"/>
          </w:tcPr>
          <w:p w14:paraId="2BC333CD">
            <w:pPr>
              <w:pStyle w:val="9"/>
              <w:spacing w:before="72" w:line="238" w:lineRule="auto"/>
              <w:ind w:left="2082"/>
            </w:pPr>
            <w:r>
              <w:rPr>
                <w:spacing w:val="-2"/>
              </w:rPr>
              <w:t>50～100</w:t>
            </w:r>
          </w:p>
        </w:tc>
        <w:tc>
          <w:tcPr>
            <w:tcW w:w="4788" w:type="dxa"/>
            <w:tcBorders>
              <w:top w:val="single" w:color="000000" w:sz="2" w:space="0"/>
              <w:left w:val="single" w:color="000000" w:sz="2" w:space="0"/>
              <w:bottom w:val="single" w:color="000000" w:sz="2" w:space="0"/>
            </w:tcBorders>
            <w:vAlign w:val="top"/>
          </w:tcPr>
          <w:p w14:paraId="2B9E02EA">
            <w:pPr>
              <w:pStyle w:val="9"/>
              <w:spacing w:before="73" w:line="236" w:lineRule="auto"/>
              <w:ind w:left="2239"/>
            </w:pPr>
            <w:r>
              <w:rPr>
                <w:spacing w:val="-8"/>
              </w:rPr>
              <w:t>±20</w:t>
            </w:r>
          </w:p>
        </w:tc>
      </w:tr>
      <w:tr w14:paraId="6401A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9" w:hRule="atLeast"/>
        </w:trPr>
        <w:tc>
          <w:tcPr>
            <w:tcW w:w="4787" w:type="dxa"/>
            <w:tcBorders>
              <w:top w:val="single" w:color="000000" w:sz="2" w:space="0"/>
              <w:right w:val="single" w:color="000000" w:sz="2" w:space="0"/>
            </w:tcBorders>
            <w:vAlign w:val="top"/>
          </w:tcPr>
          <w:p w14:paraId="667F7905">
            <w:pPr>
              <w:pStyle w:val="9"/>
              <w:spacing w:before="59" w:line="219" w:lineRule="auto"/>
              <w:ind w:left="2174"/>
            </w:pPr>
            <w:r>
              <w:rPr>
                <w:spacing w:val="-8"/>
                <w:sz w:val="21"/>
                <w:szCs w:val="21"/>
              </w:rPr>
              <w:t>≥</w:t>
            </w:r>
            <w:r>
              <w:rPr>
                <w:spacing w:val="-8"/>
              </w:rPr>
              <w:t>100</w:t>
            </w:r>
          </w:p>
        </w:tc>
        <w:tc>
          <w:tcPr>
            <w:tcW w:w="4788" w:type="dxa"/>
            <w:tcBorders>
              <w:top w:val="single" w:color="000000" w:sz="2" w:space="0"/>
              <w:left w:val="single" w:color="000000" w:sz="2" w:space="0"/>
            </w:tcBorders>
            <w:vAlign w:val="top"/>
          </w:tcPr>
          <w:p w14:paraId="48FA6EEE">
            <w:pPr>
              <w:pStyle w:val="9"/>
              <w:spacing w:before="76" w:line="236" w:lineRule="auto"/>
              <w:ind w:left="2239"/>
            </w:pPr>
            <w:r>
              <w:rPr>
                <w:spacing w:val="-8"/>
              </w:rPr>
              <w:t>±30</w:t>
            </w:r>
          </w:p>
        </w:tc>
      </w:tr>
      <w:tr w14:paraId="7CA04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4" w:hRule="atLeast"/>
        </w:trPr>
        <w:tc>
          <w:tcPr>
            <w:tcW w:w="9575" w:type="dxa"/>
            <w:gridSpan w:val="2"/>
            <w:vAlign w:val="top"/>
          </w:tcPr>
          <w:p w14:paraId="25FF17E9">
            <w:pPr>
              <w:pStyle w:val="9"/>
              <w:spacing w:before="74" w:line="222" w:lineRule="auto"/>
              <w:ind w:left="471"/>
            </w:pPr>
            <w:r>
              <w:rPr>
                <w:rFonts w:ascii="黑体" w:hAnsi="黑体" w:eastAsia="黑体" w:cs="黑体"/>
                <w:spacing w:val="-2"/>
              </w:rPr>
              <w:t>注：</w:t>
            </w:r>
            <w:r>
              <w:rPr>
                <w:spacing w:val="-2"/>
              </w:rPr>
              <w:t>允许偏差系指以设计要求坍落度中值为基准。</w:t>
            </w:r>
          </w:p>
        </w:tc>
      </w:tr>
    </w:tbl>
    <w:p w14:paraId="1093A185">
      <w:pPr>
        <w:pStyle w:val="2"/>
        <w:spacing w:line="292" w:lineRule="auto"/>
      </w:pPr>
    </w:p>
    <w:p w14:paraId="52788BC7">
      <w:pPr>
        <w:spacing w:before="69" w:line="247" w:lineRule="auto"/>
        <w:ind w:left="127" w:right="119" w:hanging="7"/>
        <w:rPr>
          <w:rFonts w:ascii="宋体" w:hAnsi="宋体" w:eastAsia="宋体" w:cs="宋体"/>
          <w:sz w:val="21"/>
          <w:szCs w:val="21"/>
        </w:rPr>
      </w:pPr>
      <w:r>
        <w:rPr>
          <w:rFonts w:ascii="黑体" w:hAnsi="黑体" w:eastAsia="黑体" w:cs="黑体"/>
          <w:sz w:val="21"/>
          <w:szCs w:val="21"/>
        </w:rPr>
        <w:t xml:space="preserve">4.2.2  </w:t>
      </w:r>
      <w:r>
        <w:rPr>
          <w:rFonts w:ascii="宋体" w:hAnsi="宋体" w:eastAsia="宋体" w:cs="宋体"/>
          <w:sz w:val="21"/>
          <w:szCs w:val="21"/>
        </w:rPr>
        <w:t>混凝土含气量应以 40mm 方孔筛湿筛过后混凝土含气量计，并应以混凝土含气量控制中值为基</w:t>
      </w:r>
      <w:r>
        <w:rPr>
          <w:rFonts w:ascii="宋体" w:hAnsi="宋体" w:eastAsia="宋体" w:cs="宋体"/>
          <w:spacing w:val="4"/>
          <w:sz w:val="21"/>
          <w:szCs w:val="21"/>
        </w:rPr>
        <w:t xml:space="preserve"> </w:t>
      </w:r>
      <w:r>
        <w:rPr>
          <w:rFonts w:ascii="宋体" w:hAnsi="宋体" w:eastAsia="宋体" w:cs="宋体"/>
          <w:spacing w:val="-2"/>
          <w:sz w:val="21"/>
          <w:szCs w:val="21"/>
        </w:rPr>
        <w:t>准，允许偏差为±1.0%。</w:t>
      </w:r>
    </w:p>
    <w:p w14:paraId="6EF8DF5B">
      <w:pPr>
        <w:spacing w:before="62" w:line="219" w:lineRule="auto"/>
        <w:ind w:left="120"/>
        <w:rPr>
          <w:rFonts w:ascii="宋体" w:hAnsi="宋体" w:eastAsia="宋体" w:cs="宋体"/>
          <w:sz w:val="21"/>
          <w:szCs w:val="21"/>
        </w:rPr>
      </w:pPr>
      <w:r>
        <w:rPr>
          <w:rFonts w:ascii="黑体" w:hAnsi="黑体" w:eastAsia="黑体" w:cs="黑体"/>
          <w:spacing w:val="-2"/>
          <w:sz w:val="21"/>
          <w:szCs w:val="21"/>
        </w:rPr>
        <w:t xml:space="preserve">4.2.3  </w:t>
      </w:r>
      <w:r>
        <w:rPr>
          <w:rFonts w:ascii="宋体" w:hAnsi="宋体" w:eastAsia="宋体" w:cs="宋体"/>
          <w:spacing w:val="-2"/>
          <w:sz w:val="21"/>
          <w:szCs w:val="21"/>
        </w:rPr>
        <w:t>机口混凝土温度检测允许偏差按级配控制，三、四级配允许</w:t>
      </w:r>
      <w:r>
        <w:rPr>
          <w:rFonts w:ascii="宋体" w:hAnsi="宋体" w:eastAsia="宋体" w:cs="宋体"/>
          <w:spacing w:val="-3"/>
          <w:sz w:val="21"/>
          <w:szCs w:val="21"/>
        </w:rPr>
        <w:t>偏差为+1℃,</w:t>
      </w:r>
      <w:r>
        <w:rPr>
          <w:rFonts w:ascii="宋体" w:hAnsi="宋体" w:eastAsia="宋体" w:cs="宋体"/>
          <w:spacing w:val="39"/>
          <w:sz w:val="21"/>
          <w:szCs w:val="21"/>
        </w:rPr>
        <w:t xml:space="preserve"> </w:t>
      </w:r>
      <w:r>
        <w:rPr>
          <w:rFonts w:ascii="宋体" w:hAnsi="宋体" w:eastAsia="宋体" w:cs="宋体"/>
          <w:spacing w:val="-3"/>
          <w:sz w:val="21"/>
          <w:szCs w:val="21"/>
        </w:rPr>
        <w:t>符合率应不小于</w:t>
      </w:r>
      <w:r>
        <w:rPr>
          <w:rFonts w:ascii="宋体" w:hAnsi="宋体" w:eastAsia="宋体" w:cs="宋体"/>
          <w:spacing w:val="-43"/>
          <w:sz w:val="21"/>
          <w:szCs w:val="21"/>
        </w:rPr>
        <w:t xml:space="preserve"> </w:t>
      </w:r>
      <w:r>
        <w:rPr>
          <w:rFonts w:ascii="宋体" w:hAnsi="宋体" w:eastAsia="宋体" w:cs="宋体"/>
          <w:spacing w:val="-3"/>
          <w:sz w:val="21"/>
          <w:szCs w:val="21"/>
        </w:rPr>
        <w:t>90%；</w:t>
      </w:r>
    </w:p>
    <w:p w14:paraId="4B654E8F">
      <w:pPr>
        <w:spacing w:before="63" w:line="217" w:lineRule="auto"/>
        <w:ind w:left="129"/>
        <w:rPr>
          <w:rFonts w:ascii="宋体" w:hAnsi="宋体" w:eastAsia="宋体" w:cs="宋体"/>
          <w:sz w:val="21"/>
          <w:szCs w:val="21"/>
        </w:rPr>
      </w:pPr>
      <w:r>
        <w:rPr>
          <w:rFonts w:ascii="宋体" w:hAnsi="宋体" w:eastAsia="宋体" w:cs="宋体"/>
          <w:spacing w:val="2"/>
          <w:sz w:val="21"/>
          <w:szCs w:val="21"/>
        </w:rPr>
        <w:t>一、二级配允许偏差为+2℃,符合率应不小于</w:t>
      </w:r>
      <w:r>
        <w:rPr>
          <w:rFonts w:ascii="宋体" w:hAnsi="宋体" w:eastAsia="宋体" w:cs="宋体"/>
          <w:spacing w:val="-26"/>
          <w:sz w:val="21"/>
          <w:szCs w:val="21"/>
        </w:rPr>
        <w:t xml:space="preserve"> </w:t>
      </w:r>
      <w:r>
        <w:rPr>
          <w:rFonts w:ascii="宋体" w:hAnsi="宋体" w:eastAsia="宋体" w:cs="宋体"/>
          <w:spacing w:val="2"/>
          <w:sz w:val="21"/>
          <w:szCs w:val="21"/>
        </w:rPr>
        <w:t>85%。</w:t>
      </w:r>
    </w:p>
    <w:p w14:paraId="6A8FB23F">
      <w:pPr>
        <w:spacing w:before="66" w:line="256" w:lineRule="auto"/>
        <w:ind w:left="124" w:right="55" w:hanging="4"/>
        <w:rPr>
          <w:rFonts w:ascii="宋体" w:hAnsi="宋体" w:eastAsia="宋体" w:cs="宋体"/>
          <w:sz w:val="21"/>
          <w:szCs w:val="21"/>
        </w:rPr>
      </w:pPr>
      <w:r>
        <w:rPr>
          <w:rFonts w:ascii="黑体" w:hAnsi="黑体" w:eastAsia="黑体" w:cs="黑体"/>
          <w:sz w:val="21"/>
          <w:szCs w:val="21"/>
        </w:rPr>
        <w:t xml:space="preserve">4.2.4  </w:t>
      </w:r>
      <w:r>
        <w:rPr>
          <w:rFonts w:ascii="宋体" w:hAnsi="宋体" w:eastAsia="宋体" w:cs="宋体"/>
          <w:sz w:val="21"/>
          <w:szCs w:val="21"/>
        </w:rPr>
        <w:t>在混凝土拌和物正常生产中，随机进行坍落度、含气量与强度试件抽检时，同步检</w:t>
      </w:r>
      <w:r>
        <w:rPr>
          <w:rFonts w:ascii="宋体" w:hAnsi="宋体" w:eastAsia="宋体" w:cs="宋体"/>
          <w:spacing w:val="-1"/>
          <w:sz w:val="21"/>
          <w:szCs w:val="21"/>
        </w:rPr>
        <w:t>查、测定被</w:t>
      </w:r>
      <w:r>
        <w:rPr>
          <w:rFonts w:ascii="宋体" w:hAnsi="宋体" w:eastAsia="宋体" w:cs="宋体"/>
          <w:sz w:val="21"/>
          <w:szCs w:val="21"/>
        </w:rPr>
        <w:t xml:space="preserve"> </w:t>
      </w:r>
      <w:r>
        <w:rPr>
          <w:rFonts w:ascii="宋体" w:hAnsi="宋体" w:eastAsia="宋体" w:cs="宋体"/>
          <w:spacing w:val="-4"/>
          <w:sz w:val="21"/>
          <w:szCs w:val="21"/>
        </w:rPr>
        <w:t>抽检混凝土的实际砂石用量、砂石含水率、胶凝材料用量与拌和用水量（含加冰和外加剂溶液中的水</w:t>
      </w:r>
      <w:r>
        <w:rPr>
          <w:rFonts w:ascii="宋体" w:hAnsi="宋体" w:eastAsia="宋体" w:cs="宋体"/>
          <w:spacing w:val="-38"/>
          <w:sz w:val="21"/>
          <w:szCs w:val="21"/>
        </w:rPr>
        <w:t>），</w:t>
      </w:r>
      <w:r>
        <w:rPr>
          <w:rFonts w:ascii="宋体" w:hAnsi="宋体" w:eastAsia="宋体" w:cs="宋体"/>
          <w:sz w:val="21"/>
          <w:szCs w:val="21"/>
        </w:rPr>
        <w:t xml:space="preserve"> </w:t>
      </w:r>
      <w:r>
        <w:rPr>
          <w:rFonts w:ascii="宋体" w:hAnsi="宋体" w:eastAsia="宋体" w:cs="宋体"/>
          <w:spacing w:val="-1"/>
          <w:sz w:val="21"/>
          <w:szCs w:val="21"/>
        </w:rPr>
        <w:t>计算校核混凝土的实际水胶比。若实际水胶比超出批准值±0.03，则应及时分析原因并纠正。</w:t>
      </w:r>
    </w:p>
    <w:p w14:paraId="66816274">
      <w:pPr>
        <w:spacing w:before="61" w:line="222" w:lineRule="auto"/>
        <w:ind w:left="120"/>
        <w:rPr>
          <w:rFonts w:ascii="宋体" w:hAnsi="宋体" w:eastAsia="宋体" w:cs="宋体"/>
          <w:sz w:val="21"/>
          <w:szCs w:val="21"/>
        </w:rPr>
      </w:pPr>
      <w:r>
        <w:rPr>
          <w:rFonts w:ascii="黑体" w:hAnsi="黑体" w:eastAsia="黑体" w:cs="黑体"/>
          <w:spacing w:val="-1"/>
          <w:sz w:val="21"/>
          <w:szCs w:val="21"/>
        </w:rPr>
        <w:t xml:space="preserve">4.2.5  </w:t>
      </w:r>
      <w:r>
        <w:rPr>
          <w:rFonts w:ascii="宋体" w:hAnsi="宋体" w:eastAsia="宋体" w:cs="宋体"/>
          <w:spacing w:val="-1"/>
          <w:sz w:val="21"/>
          <w:szCs w:val="21"/>
        </w:rPr>
        <w:t>投料程序及拌和时间应通过试验确定。拌和时间应不低于确定的搅拌时间。</w:t>
      </w:r>
    </w:p>
    <w:p w14:paraId="03C1C1AB">
      <w:pPr>
        <w:spacing w:before="60" w:line="247" w:lineRule="auto"/>
        <w:ind w:left="126" w:right="119" w:hanging="6"/>
        <w:rPr>
          <w:rFonts w:ascii="宋体" w:hAnsi="宋体" w:eastAsia="宋体" w:cs="宋体"/>
          <w:sz w:val="21"/>
          <w:szCs w:val="21"/>
        </w:rPr>
      </w:pPr>
      <w:r>
        <w:rPr>
          <w:rFonts w:ascii="黑体" w:hAnsi="黑体" w:eastAsia="黑体" w:cs="黑体"/>
          <w:sz w:val="21"/>
          <w:szCs w:val="21"/>
        </w:rPr>
        <w:t xml:space="preserve">4.2.6  </w:t>
      </w:r>
      <w:r>
        <w:rPr>
          <w:rFonts w:ascii="宋体" w:hAnsi="宋体" w:eastAsia="宋体" w:cs="宋体"/>
          <w:sz w:val="21"/>
          <w:szCs w:val="21"/>
        </w:rPr>
        <w:t>混凝土拌和物外观应颜色一致，不应有明显的离析和泌水现象。混凝土拌和物均匀性的检测方</w:t>
      </w:r>
      <w:r>
        <w:rPr>
          <w:rFonts w:ascii="宋体" w:hAnsi="宋体" w:eastAsia="宋体" w:cs="宋体"/>
          <w:spacing w:val="4"/>
          <w:sz w:val="21"/>
          <w:szCs w:val="21"/>
        </w:rPr>
        <w:t xml:space="preserve"> </w:t>
      </w:r>
      <w:r>
        <w:rPr>
          <w:rFonts w:ascii="宋体" w:hAnsi="宋体" w:eastAsia="宋体" w:cs="宋体"/>
          <w:spacing w:val="-4"/>
          <w:sz w:val="21"/>
          <w:szCs w:val="21"/>
        </w:rPr>
        <w:t>法应按</w:t>
      </w:r>
      <w:r>
        <w:rPr>
          <w:rFonts w:ascii="宋体" w:hAnsi="宋体" w:eastAsia="宋体" w:cs="宋体"/>
          <w:spacing w:val="-37"/>
          <w:sz w:val="21"/>
          <w:szCs w:val="21"/>
        </w:rPr>
        <w:t xml:space="preserve"> </w:t>
      </w:r>
      <w:r>
        <w:rPr>
          <w:rFonts w:ascii="宋体" w:hAnsi="宋体" w:eastAsia="宋体" w:cs="宋体"/>
          <w:spacing w:val="-4"/>
          <w:sz w:val="21"/>
          <w:szCs w:val="21"/>
        </w:rPr>
        <w:t>DL/T 5150</w:t>
      </w:r>
      <w:r>
        <w:rPr>
          <w:rFonts w:ascii="宋体" w:hAnsi="宋体" w:eastAsia="宋体" w:cs="宋体"/>
          <w:spacing w:val="-26"/>
          <w:sz w:val="21"/>
          <w:szCs w:val="21"/>
        </w:rPr>
        <w:t xml:space="preserve"> </w:t>
      </w:r>
      <w:r>
        <w:rPr>
          <w:rFonts w:ascii="宋体" w:hAnsi="宋体" w:eastAsia="宋体" w:cs="宋体"/>
          <w:spacing w:val="-4"/>
          <w:sz w:val="21"/>
          <w:szCs w:val="21"/>
        </w:rPr>
        <w:t>的规定进行。</w:t>
      </w:r>
    </w:p>
    <w:p w14:paraId="685712D0">
      <w:pPr>
        <w:spacing w:before="217" w:line="221" w:lineRule="auto"/>
        <w:ind w:left="120"/>
        <w:rPr>
          <w:rFonts w:ascii="黑体" w:hAnsi="黑体" w:eastAsia="黑体" w:cs="黑体"/>
          <w:sz w:val="21"/>
          <w:szCs w:val="21"/>
        </w:rPr>
      </w:pPr>
      <w:r>
        <w:rPr>
          <w:rFonts w:ascii="黑体" w:hAnsi="黑体" w:eastAsia="黑体" w:cs="黑体"/>
          <w:spacing w:val="-1"/>
          <w:sz w:val="21"/>
          <w:szCs w:val="21"/>
        </w:rPr>
        <w:t>4.3  混凝土抗压强度</w:t>
      </w:r>
    </w:p>
    <w:p w14:paraId="4DC6CD5B">
      <w:pPr>
        <w:spacing w:before="218" w:line="222" w:lineRule="auto"/>
        <w:ind w:left="120"/>
        <w:rPr>
          <w:rFonts w:ascii="宋体" w:hAnsi="宋体" w:eastAsia="宋体" w:cs="宋体"/>
          <w:sz w:val="21"/>
          <w:szCs w:val="21"/>
        </w:rPr>
      </w:pPr>
      <w:r>
        <w:rPr>
          <w:rFonts w:ascii="黑体" w:hAnsi="黑体" w:eastAsia="黑体" w:cs="黑体"/>
          <w:spacing w:val="-1"/>
          <w:sz w:val="21"/>
          <w:szCs w:val="21"/>
        </w:rPr>
        <w:t xml:space="preserve">4.3.1  </w:t>
      </w:r>
      <w:r>
        <w:rPr>
          <w:rFonts w:ascii="宋体" w:hAnsi="宋体" w:eastAsia="宋体" w:cs="宋体"/>
          <w:spacing w:val="-1"/>
          <w:sz w:val="21"/>
          <w:szCs w:val="21"/>
        </w:rPr>
        <w:t>现场混凝土质量检验应以抗压强度为主，并应以</w:t>
      </w:r>
      <w:r>
        <w:rPr>
          <w:rFonts w:ascii="宋体" w:hAnsi="宋体" w:eastAsia="宋体" w:cs="宋体"/>
          <w:spacing w:val="-29"/>
          <w:sz w:val="21"/>
          <w:szCs w:val="21"/>
        </w:rPr>
        <w:t xml:space="preserve"> </w:t>
      </w:r>
      <w:r>
        <w:rPr>
          <w:rFonts w:ascii="宋体" w:hAnsi="宋体" w:eastAsia="宋体" w:cs="宋体"/>
          <w:spacing w:val="-1"/>
          <w:sz w:val="21"/>
          <w:szCs w:val="21"/>
        </w:rPr>
        <w:t>15</w:t>
      </w:r>
      <w:r>
        <w:rPr>
          <w:rFonts w:ascii="宋体" w:hAnsi="宋体" w:eastAsia="宋体" w:cs="宋体"/>
          <w:spacing w:val="-2"/>
          <w:sz w:val="21"/>
          <w:szCs w:val="21"/>
        </w:rPr>
        <w:t>0mm</w:t>
      </w:r>
      <w:r>
        <w:rPr>
          <w:rFonts w:ascii="宋体" w:hAnsi="宋体" w:eastAsia="宋体" w:cs="宋体"/>
          <w:spacing w:val="-43"/>
          <w:sz w:val="21"/>
          <w:szCs w:val="21"/>
        </w:rPr>
        <w:t xml:space="preserve"> </w:t>
      </w:r>
      <w:r>
        <w:rPr>
          <w:rFonts w:ascii="宋体" w:hAnsi="宋体" w:eastAsia="宋体" w:cs="宋体"/>
          <w:spacing w:val="-2"/>
          <w:sz w:val="21"/>
          <w:szCs w:val="21"/>
        </w:rPr>
        <w:t>立方体试件的抗压强度为标准。</w:t>
      </w:r>
    </w:p>
    <w:p w14:paraId="2991ECDE">
      <w:pPr>
        <w:pStyle w:val="2"/>
        <w:spacing w:before="57" w:line="257" w:lineRule="auto"/>
        <w:ind w:left="125" w:right="117" w:hanging="5"/>
        <w:rPr>
          <w:rFonts w:ascii="宋体" w:hAnsi="宋体" w:eastAsia="宋体" w:cs="宋体"/>
        </w:rPr>
      </w:pPr>
      <w:r>
        <w:rPr>
          <w:rFonts w:ascii="黑体" w:hAnsi="黑体" w:eastAsia="黑体" w:cs="黑体"/>
          <w:spacing w:val="-4"/>
        </w:rPr>
        <w:t xml:space="preserve">4.3.2  </w:t>
      </w:r>
      <w:r>
        <w:rPr>
          <w:rFonts w:ascii="宋体" w:hAnsi="宋体" w:eastAsia="宋体" w:cs="宋体"/>
          <w:spacing w:val="-4"/>
        </w:rPr>
        <w:t>混凝土质量匀质性应以同批按月（或季度）、按强度等级、配合比相同的现场</w:t>
      </w:r>
      <w:r>
        <w:rPr>
          <w:rFonts w:ascii="宋体" w:hAnsi="宋体" w:eastAsia="宋体" w:cs="宋体"/>
          <w:spacing w:val="-5"/>
        </w:rPr>
        <w:t>抽检试件设计龄期</w:t>
      </w:r>
      <w:r>
        <w:rPr>
          <w:rFonts w:ascii="宋体" w:hAnsi="宋体" w:eastAsia="宋体" w:cs="宋体"/>
        </w:rPr>
        <w:t xml:space="preserve"> </w:t>
      </w:r>
      <w:r>
        <w:rPr>
          <w:rFonts w:ascii="宋体" w:hAnsi="宋体" w:eastAsia="宋体" w:cs="宋体"/>
          <w:spacing w:val="-3"/>
        </w:rPr>
        <w:t>抗压强度标准差</w:t>
      </w:r>
      <w:r>
        <w:rPr>
          <w:spacing w:val="-3"/>
        </w:rPr>
        <w:t>σ</w:t>
      </w:r>
      <w:r>
        <w:rPr>
          <w:rFonts w:ascii="宋体" w:hAnsi="宋体" w:eastAsia="宋体" w:cs="宋体"/>
          <w:spacing w:val="-3"/>
        </w:rPr>
        <w:t>值、抗压强度离差系数</w:t>
      </w:r>
      <w:r>
        <w:rPr>
          <w:rFonts w:ascii="宋体" w:hAnsi="宋体" w:eastAsia="宋体" w:cs="宋体"/>
          <w:spacing w:val="-31"/>
        </w:rPr>
        <w:t xml:space="preserve"> </w:t>
      </w:r>
      <w:r>
        <w:rPr>
          <w:rFonts w:ascii="宋体" w:hAnsi="宋体" w:eastAsia="宋体" w:cs="宋体"/>
          <w:spacing w:val="-3"/>
        </w:rPr>
        <w:t>Cv</w:t>
      </w:r>
      <w:r>
        <w:rPr>
          <w:rFonts w:ascii="宋体" w:hAnsi="宋体" w:eastAsia="宋体" w:cs="宋体"/>
          <w:spacing w:val="-45"/>
        </w:rPr>
        <w:t xml:space="preserve"> </w:t>
      </w:r>
      <w:r>
        <w:rPr>
          <w:rFonts w:ascii="宋体" w:hAnsi="宋体" w:eastAsia="宋体" w:cs="宋体"/>
          <w:spacing w:val="-3"/>
        </w:rPr>
        <w:t>进行混凝土质量等级评定，其评定标准应符合表</w:t>
      </w:r>
      <w:r>
        <w:rPr>
          <w:rFonts w:ascii="宋体" w:hAnsi="宋体" w:eastAsia="宋体" w:cs="宋体"/>
          <w:spacing w:val="-40"/>
        </w:rPr>
        <w:t xml:space="preserve"> </w:t>
      </w:r>
      <w:r>
        <w:rPr>
          <w:rFonts w:ascii="宋体" w:hAnsi="宋体" w:eastAsia="宋体" w:cs="宋体"/>
          <w:spacing w:val="-3"/>
        </w:rPr>
        <w:t>5、表</w:t>
      </w:r>
      <w:r>
        <w:rPr>
          <w:rFonts w:ascii="宋体" w:hAnsi="宋体" w:eastAsia="宋体" w:cs="宋体"/>
          <w:spacing w:val="-43"/>
        </w:rPr>
        <w:t xml:space="preserve"> </w:t>
      </w:r>
      <w:r>
        <w:rPr>
          <w:rFonts w:ascii="宋体" w:hAnsi="宋体" w:eastAsia="宋体" w:cs="宋体"/>
          <w:spacing w:val="-3"/>
        </w:rPr>
        <w:t>6</w:t>
      </w:r>
      <w:r>
        <w:rPr>
          <w:rFonts w:ascii="宋体" w:hAnsi="宋体" w:eastAsia="宋体" w:cs="宋体"/>
          <w:spacing w:val="-42"/>
        </w:rPr>
        <w:t xml:space="preserve"> </w:t>
      </w:r>
      <w:r>
        <w:rPr>
          <w:rFonts w:ascii="宋体" w:hAnsi="宋体" w:eastAsia="宋体" w:cs="宋体"/>
          <w:spacing w:val="-3"/>
        </w:rPr>
        <w:t>规</w:t>
      </w:r>
      <w:r>
        <w:rPr>
          <w:rFonts w:ascii="宋体" w:hAnsi="宋体" w:eastAsia="宋体" w:cs="宋体"/>
        </w:rPr>
        <w:t xml:space="preserve"> </w:t>
      </w:r>
      <w:r>
        <w:rPr>
          <w:rFonts w:ascii="宋体" w:hAnsi="宋体" w:eastAsia="宋体" w:cs="宋体"/>
          <w:spacing w:val="-10"/>
        </w:rPr>
        <w:t>定。</w:t>
      </w:r>
    </w:p>
    <w:p w14:paraId="7BFB6A6E">
      <w:pPr>
        <w:spacing w:before="217" w:line="221" w:lineRule="auto"/>
        <w:ind w:left="3153"/>
        <w:rPr>
          <w:rFonts w:ascii="黑体" w:hAnsi="黑体" w:eastAsia="黑体" w:cs="黑体"/>
          <w:sz w:val="21"/>
          <w:szCs w:val="21"/>
        </w:rPr>
      </w:pPr>
      <w:r>
        <w:rPr>
          <w:rFonts w:ascii="黑体" w:hAnsi="黑体" w:eastAsia="黑体" w:cs="黑体"/>
          <w:spacing w:val="-3"/>
          <w:sz w:val="21"/>
          <w:szCs w:val="21"/>
        </w:rPr>
        <w:t>表</w:t>
      </w:r>
      <w:r>
        <w:rPr>
          <w:rFonts w:ascii="黑体" w:hAnsi="黑体" w:eastAsia="黑体" w:cs="黑体"/>
          <w:spacing w:val="-34"/>
          <w:sz w:val="21"/>
          <w:szCs w:val="21"/>
        </w:rPr>
        <w:t xml:space="preserve"> </w:t>
      </w:r>
      <w:r>
        <w:rPr>
          <w:rFonts w:ascii="黑体" w:hAnsi="黑体" w:eastAsia="黑体" w:cs="黑体"/>
          <w:spacing w:val="-3"/>
          <w:sz w:val="21"/>
          <w:szCs w:val="21"/>
        </w:rPr>
        <w:t>5  混凝土质量等级（设计龄期）</w:t>
      </w:r>
    </w:p>
    <w:p w14:paraId="5E7F3EF5">
      <w:pPr>
        <w:spacing w:line="166" w:lineRule="exact"/>
      </w:pPr>
    </w:p>
    <w:tbl>
      <w:tblPr>
        <w:tblStyle w:val="8"/>
        <w:tblW w:w="957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40"/>
        <w:gridCol w:w="3311"/>
        <w:gridCol w:w="1747"/>
        <w:gridCol w:w="1977"/>
      </w:tblGrid>
      <w:tr w14:paraId="7828A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5851" w:type="dxa"/>
            <w:gridSpan w:val="2"/>
            <w:tcBorders>
              <w:top w:val="single" w:color="000000" w:sz="6" w:space="0"/>
              <w:left w:val="single" w:color="000000" w:sz="6" w:space="0"/>
            </w:tcBorders>
            <w:vAlign w:val="top"/>
          </w:tcPr>
          <w:p w14:paraId="500AEC9D">
            <w:pPr>
              <w:pStyle w:val="9"/>
              <w:spacing w:before="80" w:line="220" w:lineRule="auto"/>
              <w:ind w:left="2299"/>
            </w:pPr>
            <w:r>
              <w:rPr>
                <w:spacing w:val="-2"/>
              </w:rPr>
              <w:t>混凝土质量等级</w:t>
            </w:r>
          </w:p>
        </w:tc>
        <w:tc>
          <w:tcPr>
            <w:tcW w:w="1747" w:type="dxa"/>
            <w:tcBorders>
              <w:top w:val="single" w:color="000000" w:sz="6" w:space="0"/>
            </w:tcBorders>
            <w:vAlign w:val="top"/>
          </w:tcPr>
          <w:p w14:paraId="720FF0D8">
            <w:pPr>
              <w:pStyle w:val="9"/>
              <w:spacing w:before="80" w:line="220" w:lineRule="auto"/>
              <w:ind w:left="700"/>
            </w:pPr>
            <w:r>
              <w:rPr>
                <w:spacing w:val="-2"/>
              </w:rPr>
              <w:t>优秀</w:t>
            </w:r>
          </w:p>
        </w:tc>
        <w:tc>
          <w:tcPr>
            <w:tcW w:w="1977" w:type="dxa"/>
            <w:tcBorders>
              <w:top w:val="single" w:color="000000" w:sz="6" w:space="0"/>
              <w:right w:val="single" w:color="000000" w:sz="6" w:space="0"/>
            </w:tcBorders>
            <w:vAlign w:val="top"/>
          </w:tcPr>
          <w:p w14:paraId="43400AA9">
            <w:pPr>
              <w:pStyle w:val="9"/>
              <w:spacing w:before="80" w:line="220" w:lineRule="auto"/>
              <w:ind w:left="815"/>
            </w:pPr>
            <w:r>
              <w:rPr>
                <w:spacing w:val="-2"/>
              </w:rPr>
              <w:t>合格</w:t>
            </w:r>
          </w:p>
        </w:tc>
      </w:tr>
      <w:tr w14:paraId="5A9EE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2540" w:type="dxa"/>
            <w:vMerge w:val="restart"/>
            <w:tcBorders>
              <w:left w:val="single" w:color="000000" w:sz="6" w:space="0"/>
              <w:bottom w:val="nil"/>
            </w:tcBorders>
            <w:vAlign w:val="top"/>
          </w:tcPr>
          <w:p w14:paraId="61760F5D">
            <w:pPr>
              <w:pStyle w:val="9"/>
              <w:spacing w:before="270" w:line="206" w:lineRule="auto"/>
              <w:ind w:left="217"/>
            </w:pPr>
            <w:r>
              <w:rPr>
                <w:spacing w:val="-1"/>
              </w:rPr>
              <w:t>混凝土抗压强度标准差</w:t>
            </w:r>
            <w:r>
              <w:rPr>
                <w:rFonts w:ascii="Arial" w:hAnsi="Arial" w:eastAsia="Arial" w:cs="Arial"/>
                <w:spacing w:val="-1"/>
                <w:sz w:val="21"/>
                <w:szCs w:val="21"/>
              </w:rPr>
              <w:t>σ</w:t>
            </w:r>
            <w:r>
              <w:rPr>
                <w:spacing w:val="-1"/>
              </w:rPr>
              <w:t>值</w:t>
            </w:r>
          </w:p>
          <w:p w14:paraId="4462DA5A">
            <w:pPr>
              <w:pStyle w:val="9"/>
              <w:spacing w:before="112" w:line="182" w:lineRule="auto"/>
              <w:ind w:left="1127"/>
            </w:pPr>
            <w:r>
              <w:rPr>
                <w:spacing w:val="-1"/>
              </w:rPr>
              <w:t>MPa</w:t>
            </w:r>
          </w:p>
        </w:tc>
        <w:tc>
          <w:tcPr>
            <w:tcW w:w="3311" w:type="dxa"/>
            <w:vAlign w:val="top"/>
          </w:tcPr>
          <w:p w14:paraId="24994098">
            <w:pPr>
              <w:pStyle w:val="9"/>
              <w:spacing w:before="78" w:line="220" w:lineRule="auto"/>
              <w:ind w:left="713"/>
            </w:pPr>
            <w:r>
              <w:rPr>
                <w:spacing w:val="-1"/>
              </w:rPr>
              <w:t>抗压强度标准值≤20MPa</w:t>
            </w:r>
          </w:p>
        </w:tc>
        <w:tc>
          <w:tcPr>
            <w:tcW w:w="1747" w:type="dxa"/>
            <w:vAlign w:val="top"/>
          </w:tcPr>
          <w:p w14:paraId="5D02B36F">
            <w:pPr>
              <w:pStyle w:val="9"/>
              <w:spacing w:before="78"/>
              <w:ind w:left="669"/>
            </w:pPr>
            <w:r>
              <w:rPr>
                <w:spacing w:val="17"/>
              </w:rPr>
              <w:t>&lt;3.5</w:t>
            </w:r>
          </w:p>
        </w:tc>
        <w:tc>
          <w:tcPr>
            <w:tcW w:w="1977" w:type="dxa"/>
            <w:tcBorders>
              <w:right w:val="single" w:color="000000" w:sz="6" w:space="0"/>
            </w:tcBorders>
            <w:vAlign w:val="top"/>
          </w:tcPr>
          <w:p w14:paraId="08B525A9">
            <w:pPr>
              <w:pStyle w:val="9"/>
              <w:spacing w:before="78" w:line="237" w:lineRule="auto"/>
              <w:ind w:left="781"/>
            </w:pPr>
            <w:r>
              <w:rPr>
                <w:spacing w:val="-5"/>
              </w:rPr>
              <w:t>≤4.5</w:t>
            </w:r>
          </w:p>
        </w:tc>
      </w:tr>
      <w:tr w14:paraId="56DF41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2540" w:type="dxa"/>
            <w:vMerge w:val="continue"/>
            <w:tcBorders>
              <w:top w:val="nil"/>
              <w:left w:val="single" w:color="000000" w:sz="6" w:space="0"/>
              <w:bottom w:val="nil"/>
            </w:tcBorders>
            <w:vAlign w:val="top"/>
          </w:tcPr>
          <w:p w14:paraId="3E99817C">
            <w:pPr>
              <w:rPr>
                <w:rFonts w:ascii="Arial"/>
                <w:sz w:val="21"/>
              </w:rPr>
            </w:pPr>
          </w:p>
        </w:tc>
        <w:tc>
          <w:tcPr>
            <w:tcW w:w="3311" w:type="dxa"/>
            <w:vAlign w:val="top"/>
          </w:tcPr>
          <w:p w14:paraId="30769CE9">
            <w:pPr>
              <w:pStyle w:val="9"/>
              <w:spacing w:before="82" w:line="220" w:lineRule="auto"/>
              <w:ind w:left="466"/>
            </w:pPr>
            <w:r>
              <w:rPr>
                <w:spacing w:val="-1"/>
              </w:rPr>
              <w:t>抗压强度标准值</w:t>
            </w:r>
            <w:r>
              <w:rPr>
                <w:spacing w:val="-35"/>
              </w:rPr>
              <w:t xml:space="preserve"> </w:t>
            </w:r>
            <w:r>
              <w:rPr>
                <w:spacing w:val="-1"/>
              </w:rPr>
              <w:t>20MPa～35MPa</w:t>
            </w:r>
          </w:p>
        </w:tc>
        <w:tc>
          <w:tcPr>
            <w:tcW w:w="1747" w:type="dxa"/>
            <w:vAlign w:val="top"/>
          </w:tcPr>
          <w:p w14:paraId="4A1B83A5">
            <w:pPr>
              <w:pStyle w:val="9"/>
              <w:spacing w:before="81"/>
              <w:ind w:left="669"/>
            </w:pPr>
            <w:r>
              <w:rPr>
                <w:spacing w:val="17"/>
              </w:rPr>
              <w:t>&lt;4.0</w:t>
            </w:r>
          </w:p>
        </w:tc>
        <w:tc>
          <w:tcPr>
            <w:tcW w:w="1977" w:type="dxa"/>
            <w:tcBorders>
              <w:right w:val="single" w:color="000000" w:sz="6" w:space="0"/>
            </w:tcBorders>
            <w:vAlign w:val="top"/>
          </w:tcPr>
          <w:p w14:paraId="1CB037C2">
            <w:pPr>
              <w:pStyle w:val="9"/>
              <w:spacing w:before="81" w:line="237" w:lineRule="auto"/>
              <w:ind w:left="781"/>
            </w:pPr>
            <w:r>
              <w:rPr>
                <w:spacing w:val="-5"/>
              </w:rPr>
              <w:t>≤5.0</w:t>
            </w:r>
          </w:p>
        </w:tc>
      </w:tr>
      <w:tr w14:paraId="71C3C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2540" w:type="dxa"/>
            <w:vMerge w:val="continue"/>
            <w:tcBorders>
              <w:top w:val="nil"/>
              <w:left w:val="single" w:color="000000" w:sz="6" w:space="0"/>
              <w:bottom w:val="single" w:color="000000" w:sz="6" w:space="0"/>
            </w:tcBorders>
            <w:vAlign w:val="top"/>
          </w:tcPr>
          <w:p w14:paraId="004E6BBA">
            <w:pPr>
              <w:rPr>
                <w:rFonts w:ascii="Arial"/>
                <w:sz w:val="21"/>
              </w:rPr>
            </w:pPr>
          </w:p>
        </w:tc>
        <w:tc>
          <w:tcPr>
            <w:tcW w:w="3311" w:type="dxa"/>
            <w:tcBorders>
              <w:bottom w:val="single" w:color="000000" w:sz="6" w:space="0"/>
            </w:tcBorders>
            <w:vAlign w:val="top"/>
          </w:tcPr>
          <w:p w14:paraId="1378C5E3">
            <w:pPr>
              <w:pStyle w:val="9"/>
              <w:spacing w:before="86" w:line="220" w:lineRule="auto"/>
              <w:ind w:left="713"/>
            </w:pPr>
            <w:r>
              <w:rPr>
                <w:spacing w:val="-1"/>
              </w:rPr>
              <w:t>抗压强度标准值＞35MPa</w:t>
            </w:r>
          </w:p>
        </w:tc>
        <w:tc>
          <w:tcPr>
            <w:tcW w:w="1747" w:type="dxa"/>
            <w:tcBorders>
              <w:bottom w:val="single" w:color="000000" w:sz="6" w:space="0"/>
            </w:tcBorders>
            <w:vAlign w:val="top"/>
          </w:tcPr>
          <w:p w14:paraId="406843DA">
            <w:pPr>
              <w:pStyle w:val="9"/>
              <w:spacing w:before="86"/>
              <w:ind w:left="669"/>
            </w:pPr>
            <w:r>
              <w:rPr>
                <w:spacing w:val="17"/>
              </w:rPr>
              <w:t>&lt;4.5</w:t>
            </w:r>
          </w:p>
        </w:tc>
        <w:tc>
          <w:tcPr>
            <w:tcW w:w="1977" w:type="dxa"/>
            <w:tcBorders>
              <w:bottom w:val="single" w:color="000000" w:sz="6" w:space="0"/>
              <w:right w:val="single" w:color="000000" w:sz="6" w:space="0"/>
            </w:tcBorders>
            <w:vAlign w:val="top"/>
          </w:tcPr>
          <w:p w14:paraId="0F2F2F01">
            <w:pPr>
              <w:pStyle w:val="9"/>
              <w:spacing w:before="86" w:line="237" w:lineRule="auto"/>
              <w:ind w:left="781"/>
            </w:pPr>
            <w:r>
              <w:rPr>
                <w:spacing w:val="-5"/>
              </w:rPr>
              <w:t>≤5.5</w:t>
            </w:r>
          </w:p>
        </w:tc>
      </w:tr>
    </w:tbl>
    <w:p w14:paraId="6CC4ECA1">
      <w:pPr>
        <w:pStyle w:val="2"/>
      </w:pPr>
    </w:p>
    <w:p w14:paraId="4E1A8DB3">
      <w:pPr>
        <w:sectPr>
          <w:headerReference r:id="rId14" w:type="default"/>
          <w:footerReference r:id="rId15" w:type="default"/>
          <w:pgSz w:w="11905" w:h="16840"/>
          <w:pgMar w:top="1717" w:right="1297" w:bottom="1344" w:left="1016" w:header="1394" w:footer="1108" w:gutter="0"/>
          <w:pgNumType w:fmt="decimal"/>
          <w:cols w:space="720" w:num="1"/>
        </w:sectPr>
      </w:pPr>
    </w:p>
    <w:p w14:paraId="7F7F0C5E">
      <w:pPr>
        <w:spacing w:before="242" w:line="222" w:lineRule="auto"/>
        <w:ind w:left="3361"/>
        <w:rPr>
          <w:rFonts w:ascii="黑体" w:hAnsi="黑体" w:eastAsia="黑体" w:cs="黑体"/>
          <w:sz w:val="21"/>
          <w:szCs w:val="21"/>
        </w:rPr>
      </w:pPr>
      <w:bookmarkStart w:id="14" w:name="bookmark11"/>
      <w:bookmarkEnd w:id="14"/>
      <w:r>
        <w:rPr>
          <w:rFonts w:ascii="黑体" w:hAnsi="黑体" w:eastAsia="黑体" w:cs="黑体"/>
          <w:spacing w:val="-2"/>
          <w:sz w:val="21"/>
          <w:szCs w:val="21"/>
        </w:rPr>
        <w:t>表</w:t>
      </w:r>
      <w:r>
        <w:rPr>
          <w:rFonts w:ascii="黑体" w:hAnsi="黑体" w:eastAsia="黑体" w:cs="黑体"/>
          <w:spacing w:val="-35"/>
          <w:sz w:val="21"/>
          <w:szCs w:val="21"/>
        </w:rPr>
        <w:t xml:space="preserve"> </w:t>
      </w:r>
      <w:r>
        <w:rPr>
          <w:rFonts w:ascii="黑体" w:hAnsi="黑体" w:eastAsia="黑体" w:cs="黑体"/>
          <w:spacing w:val="-2"/>
          <w:sz w:val="21"/>
          <w:szCs w:val="21"/>
        </w:rPr>
        <w:t>6  混凝土生产质量控制水平</w:t>
      </w:r>
    </w:p>
    <w:p w14:paraId="3A386EC5">
      <w:pPr>
        <w:spacing w:line="165" w:lineRule="exact"/>
      </w:pPr>
    </w:p>
    <w:tbl>
      <w:tblPr>
        <w:tblStyle w:val="8"/>
        <w:tblW w:w="957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2"/>
        <w:gridCol w:w="1592"/>
        <w:gridCol w:w="1594"/>
        <w:gridCol w:w="1592"/>
        <w:gridCol w:w="1592"/>
        <w:gridCol w:w="1603"/>
      </w:tblGrid>
      <w:tr w14:paraId="2859C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3194" w:type="dxa"/>
            <w:gridSpan w:val="2"/>
            <w:tcBorders>
              <w:top w:val="single" w:color="000000" w:sz="6" w:space="0"/>
              <w:left w:val="single" w:color="000000" w:sz="6" w:space="0"/>
              <w:bottom w:val="single" w:color="000000" w:sz="6" w:space="0"/>
            </w:tcBorders>
            <w:vAlign w:val="top"/>
          </w:tcPr>
          <w:p w14:paraId="3CE7E1DA">
            <w:pPr>
              <w:pStyle w:val="9"/>
              <w:spacing w:before="71" w:line="220" w:lineRule="auto"/>
              <w:ind w:left="608"/>
            </w:pPr>
            <w:r>
              <w:rPr>
                <w:spacing w:val="-1"/>
              </w:rPr>
              <w:t>混凝土生产质量控制水平</w:t>
            </w:r>
          </w:p>
        </w:tc>
        <w:tc>
          <w:tcPr>
            <w:tcW w:w="1594" w:type="dxa"/>
            <w:tcBorders>
              <w:top w:val="single" w:color="000000" w:sz="6" w:space="0"/>
              <w:bottom w:val="single" w:color="000000" w:sz="6" w:space="0"/>
            </w:tcBorders>
            <w:vAlign w:val="top"/>
          </w:tcPr>
          <w:p w14:paraId="7D741158">
            <w:pPr>
              <w:pStyle w:val="9"/>
              <w:spacing w:before="71" w:line="220" w:lineRule="auto"/>
              <w:ind w:left="618"/>
            </w:pPr>
            <w:r>
              <w:rPr>
                <w:spacing w:val="-2"/>
              </w:rPr>
              <w:t>优秀</w:t>
            </w:r>
          </w:p>
        </w:tc>
        <w:tc>
          <w:tcPr>
            <w:tcW w:w="1592" w:type="dxa"/>
            <w:tcBorders>
              <w:top w:val="single" w:color="000000" w:sz="6" w:space="0"/>
              <w:bottom w:val="single" w:color="000000" w:sz="6" w:space="0"/>
            </w:tcBorders>
            <w:vAlign w:val="top"/>
          </w:tcPr>
          <w:p w14:paraId="665904C7">
            <w:pPr>
              <w:pStyle w:val="9"/>
              <w:spacing w:before="71" w:line="220" w:lineRule="auto"/>
              <w:ind w:left="649"/>
            </w:pPr>
            <w:r>
              <w:rPr>
                <w:spacing w:val="-9"/>
              </w:rPr>
              <w:t>良好</w:t>
            </w:r>
          </w:p>
        </w:tc>
        <w:tc>
          <w:tcPr>
            <w:tcW w:w="1592" w:type="dxa"/>
            <w:tcBorders>
              <w:top w:val="single" w:color="000000" w:sz="6" w:space="0"/>
              <w:bottom w:val="single" w:color="000000" w:sz="6" w:space="0"/>
            </w:tcBorders>
            <w:vAlign w:val="top"/>
          </w:tcPr>
          <w:p w14:paraId="36077AAA">
            <w:pPr>
              <w:pStyle w:val="9"/>
              <w:spacing w:before="71" w:line="222" w:lineRule="auto"/>
              <w:ind w:left="626"/>
            </w:pPr>
            <w:r>
              <w:rPr>
                <w:spacing w:val="-5"/>
              </w:rPr>
              <w:t>一般</w:t>
            </w:r>
          </w:p>
        </w:tc>
        <w:tc>
          <w:tcPr>
            <w:tcW w:w="1603" w:type="dxa"/>
            <w:tcBorders>
              <w:top w:val="single" w:color="000000" w:sz="6" w:space="0"/>
              <w:bottom w:val="single" w:color="000000" w:sz="6" w:space="0"/>
              <w:right w:val="single" w:color="000000" w:sz="6" w:space="0"/>
            </w:tcBorders>
            <w:vAlign w:val="top"/>
          </w:tcPr>
          <w:p w14:paraId="7C57736E">
            <w:pPr>
              <w:pStyle w:val="9"/>
              <w:spacing w:before="72" w:line="227" w:lineRule="auto"/>
              <w:ind w:left="719"/>
            </w:pPr>
            <w:r>
              <w:t>差</w:t>
            </w:r>
          </w:p>
        </w:tc>
      </w:tr>
      <w:tr w14:paraId="09EAB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602" w:type="dxa"/>
            <w:vMerge w:val="restart"/>
            <w:tcBorders>
              <w:top w:val="single" w:color="000000" w:sz="6" w:space="0"/>
              <w:left w:val="single" w:color="000000" w:sz="6" w:space="0"/>
              <w:bottom w:val="nil"/>
            </w:tcBorders>
            <w:vAlign w:val="top"/>
          </w:tcPr>
          <w:p w14:paraId="58FFFBDE">
            <w:pPr>
              <w:spacing w:line="310" w:lineRule="auto"/>
              <w:rPr>
                <w:rFonts w:ascii="Arial"/>
                <w:sz w:val="21"/>
              </w:rPr>
            </w:pPr>
          </w:p>
          <w:p w14:paraId="1731D04A">
            <w:pPr>
              <w:pStyle w:val="9"/>
              <w:spacing w:before="59" w:line="322" w:lineRule="auto"/>
              <w:ind w:left="329" w:right="327" w:firstLine="108"/>
            </w:pPr>
            <w:r>
              <w:rPr>
                <w:spacing w:val="-2"/>
              </w:rPr>
              <w:t>抗压强度</w:t>
            </w:r>
            <w:r>
              <w:t xml:space="preserve">  </w:t>
            </w:r>
            <w:r>
              <w:rPr>
                <w:spacing w:val="-3"/>
              </w:rPr>
              <w:t>离差系数</w:t>
            </w:r>
            <w:r>
              <w:rPr>
                <w:spacing w:val="-39"/>
              </w:rPr>
              <w:t xml:space="preserve"> </w:t>
            </w:r>
            <w:r>
              <w:rPr>
                <w:spacing w:val="-3"/>
              </w:rPr>
              <w:t>Cv</w:t>
            </w:r>
          </w:p>
        </w:tc>
        <w:tc>
          <w:tcPr>
            <w:tcW w:w="1592" w:type="dxa"/>
            <w:tcBorders>
              <w:top w:val="single" w:color="000000" w:sz="6" w:space="0"/>
            </w:tcBorders>
            <w:vAlign w:val="top"/>
          </w:tcPr>
          <w:p w14:paraId="4E52500D">
            <w:pPr>
              <w:pStyle w:val="9"/>
              <w:spacing w:before="65" w:line="220" w:lineRule="auto"/>
              <w:ind w:left="109"/>
            </w:pPr>
            <w:r>
              <w:rPr>
                <w:spacing w:val="2"/>
              </w:rPr>
              <w:t>28d龄期抗压强度</w:t>
            </w:r>
          </w:p>
          <w:p w14:paraId="6224DD08">
            <w:pPr>
              <w:pStyle w:val="9"/>
              <w:spacing w:before="97" w:line="220" w:lineRule="auto"/>
              <w:ind w:left="211"/>
            </w:pPr>
            <w:r>
              <w:rPr>
                <w:spacing w:val="-1"/>
              </w:rPr>
              <w:t>平均值≤20MPa</w:t>
            </w:r>
          </w:p>
        </w:tc>
        <w:tc>
          <w:tcPr>
            <w:tcW w:w="1594" w:type="dxa"/>
            <w:tcBorders>
              <w:top w:val="single" w:color="000000" w:sz="6" w:space="0"/>
            </w:tcBorders>
            <w:vAlign w:val="top"/>
          </w:tcPr>
          <w:p w14:paraId="6560E8B7">
            <w:pPr>
              <w:pStyle w:val="9"/>
              <w:spacing w:before="220"/>
              <w:ind w:left="542"/>
            </w:pPr>
            <w:r>
              <w:rPr>
                <w:spacing w:val="13"/>
              </w:rPr>
              <w:t>&lt;0.15</w:t>
            </w:r>
          </w:p>
        </w:tc>
        <w:tc>
          <w:tcPr>
            <w:tcW w:w="1592" w:type="dxa"/>
            <w:tcBorders>
              <w:top w:val="single" w:color="000000" w:sz="6" w:space="0"/>
            </w:tcBorders>
            <w:vAlign w:val="top"/>
          </w:tcPr>
          <w:p w14:paraId="202747A4">
            <w:pPr>
              <w:pStyle w:val="9"/>
              <w:spacing w:before="220"/>
              <w:ind w:left="352"/>
            </w:pPr>
            <w:r>
              <w:rPr>
                <w:spacing w:val="-1"/>
              </w:rPr>
              <w:t>0.15～0.18</w:t>
            </w:r>
          </w:p>
        </w:tc>
        <w:tc>
          <w:tcPr>
            <w:tcW w:w="1592" w:type="dxa"/>
            <w:tcBorders>
              <w:top w:val="single" w:color="000000" w:sz="6" w:space="0"/>
            </w:tcBorders>
            <w:vAlign w:val="top"/>
          </w:tcPr>
          <w:p w14:paraId="339A817A">
            <w:pPr>
              <w:pStyle w:val="9"/>
              <w:spacing w:before="220"/>
              <w:ind w:left="355"/>
            </w:pPr>
            <w:r>
              <w:rPr>
                <w:spacing w:val="-1"/>
              </w:rPr>
              <w:t>0.18～0.22</w:t>
            </w:r>
          </w:p>
        </w:tc>
        <w:tc>
          <w:tcPr>
            <w:tcW w:w="1603" w:type="dxa"/>
            <w:tcBorders>
              <w:top w:val="single" w:color="000000" w:sz="6" w:space="0"/>
              <w:right w:val="single" w:color="000000" w:sz="6" w:space="0"/>
            </w:tcBorders>
            <w:vAlign w:val="top"/>
          </w:tcPr>
          <w:p w14:paraId="567D47CC">
            <w:pPr>
              <w:pStyle w:val="9"/>
              <w:spacing w:before="221" w:line="238" w:lineRule="auto"/>
              <w:ind w:left="555"/>
            </w:pPr>
            <w:r>
              <w:rPr>
                <w:spacing w:val="-5"/>
              </w:rPr>
              <w:t>≥0.22</w:t>
            </w:r>
          </w:p>
        </w:tc>
      </w:tr>
      <w:tr w14:paraId="150B7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1602" w:type="dxa"/>
            <w:vMerge w:val="continue"/>
            <w:tcBorders>
              <w:top w:val="nil"/>
              <w:left w:val="single" w:color="000000" w:sz="6" w:space="0"/>
              <w:bottom w:val="single" w:color="000000" w:sz="6" w:space="0"/>
            </w:tcBorders>
            <w:vAlign w:val="top"/>
          </w:tcPr>
          <w:p w14:paraId="62F96694">
            <w:pPr>
              <w:rPr>
                <w:rFonts w:ascii="Arial"/>
                <w:sz w:val="21"/>
              </w:rPr>
            </w:pPr>
          </w:p>
        </w:tc>
        <w:tc>
          <w:tcPr>
            <w:tcW w:w="1592" w:type="dxa"/>
            <w:tcBorders>
              <w:bottom w:val="single" w:color="000000" w:sz="6" w:space="0"/>
            </w:tcBorders>
            <w:vAlign w:val="top"/>
          </w:tcPr>
          <w:p w14:paraId="28724175">
            <w:pPr>
              <w:pStyle w:val="9"/>
              <w:spacing w:before="74" w:line="220" w:lineRule="auto"/>
              <w:ind w:left="109"/>
            </w:pPr>
            <w:r>
              <w:rPr>
                <w:spacing w:val="2"/>
              </w:rPr>
              <w:t>28d龄期抗压强度</w:t>
            </w:r>
          </w:p>
          <w:p w14:paraId="37B1E725">
            <w:pPr>
              <w:pStyle w:val="9"/>
              <w:spacing w:before="97" w:line="220" w:lineRule="auto"/>
              <w:ind w:left="211"/>
            </w:pPr>
            <w:r>
              <w:rPr>
                <w:spacing w:val="-1"/>
              </w:rPr>
              <w:t>平均值＞20MPa</w:t>
            </w:r>
          </w:p>
        </w:tc>
        <w:tc>
          <w:tcPr>
            <w:tcW w:w="1594" w:type="dxa"/>
            <w:tcBorders>
              <w:bottom w:val="single" w:color="000000" w:sz="6" w:space="0"/>
            </w:tcBorders>
            <w:vAlign w:val="top"/>
          </w:tcPr>
          <w:p w14:paraId="79F82E02">
            <w:pPr>
              <w:pStyle w:val="9"/>
              <w:spacing w:before="230"/>
              <w:ind w:left="542"/>
            </w:pPr>
            <w:r>
              <w:rPr>
                <w:spacing w:val="13"/>
              </w:rPr>
              <w:t>&lt;0.11</w:t>
            </w:r>
          </w:p>
        </w:tc>
        <w:tc>
          <w:tcPr>
            <w:tcW w:w="1592" w:type="dxa"/>
            <w:tcBorders>
              <w:bottom w:val="single" w:color="000000" w:sz="6" w:space="0"/>
            </w:tcBorders>
            <w:vAlign w:val="top"/>
          </w:tcPr>
          <w:p w14:paraId="052AD409">
            <w:pPr>
              <w:pStyle w:val="9"/>
              <w:spacing w:before="230"/>
              <w:ind w:left="352"/>
            </w:pPr>
            <w:r>
              <w:rPr>
                <w:spacing w:val="-1"/>
              </w:rPr>
              <w:t>0.11～0.14</w:t>
            </w:r>
          </w:p>
        </w:tc>
        <w:tc>
          <w:tcPr>
            <w:tcW w:w="1592" w:type="dxa"/>
            <w:tcBorders>
              <w:bottom w:val="single" w:color="000000" w:sz="6" w:space="0"/>
            </w:tcBorders>
            <w:vAlign w:val="top"/>
          </w:tcPr>
          <w:p w14:paraId="4DE7F267">
            <w:pPr>
              <w:pStyle w:val="9"/>
              <w:spacing w:before="230"/>
              <w:ind w:left="355"/>
            </w:pPr>
            <w:r>
              <w:rPr>
                <w:spacing w:val="-1"/>
              </w:rPr>
              <w:t>0.14～0.18</w:t>
            </w:r>
          </w:p>
        </w:tc>
        <w:tc>
          <w:tcPr>
            <w:tcW w:w="1603" w:type="dxa"/>
            <w:tcBorders>
              <w:bottom w:val="single" w:color="000000" w:sz="6" w:space="0"/>
              <w:right w:val="single" w:color="000000" w:sz="6" w:space="0"/>
            </w:tcBorders>
            <w:vAlign w:val="top"/>
          </w:tcPr>
          <w:p w14:paraId="29AA142C">
            <w:pPr>
              <w:pStyle w:val="9"/>
              <w:spacing w:before="230" w:line="238" w:lineRule="auto"/>
              <w:ind w:left="555"/>
            </w:pPr>
            <w:r>
              <w:rPr>
                <w:spacing w:val="-5"/>
              </w:rPr>
              <w:t>≥0.18</w:t>
            </w:r>
          </w:p>
        </w:tc>
      </w:tr>
      <w:tr w14:paraId="711CA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9575" w:type="dxa"/>
            <w:gridSpan w:val="6"/>
            <w:tcBorders>
              <w:top w:val="single" w:color="000000" w:sz="6" w:space="0"/>
              <w:left w:val="single" w:color="000000" w:sz="6" w:space="0"/>
              <w:bottom w:val="single" w:color="000000" w:sz="6" w:space="0"/>
              <w:right w:val="single" w:color="000000" w:sz="6" w:space="0"/>
            </w:tcBorders>
            <w:vAlign w:val="top"/>
          </w:tcPr>
          <w:p w14:paraId="3DFB94FD">
            <w:pPr>
              <w:pStyle w:val="9"/>
              <w:spacing w:before="74" w:line="222" w:lineRule="auto"/>
              <w:ind w:left="471"/>
            </w:pPr>
            <w:r>
              <w:rPr>
                <w:rFonts w:ascii="黑体" w:hAnsi="黑体" w:eastAsia="黑体" w:cs="黑体"/>
                <w:spacing w:val="-1"/>
              </w:rPr>
              <w:t>注：</w:t>
            </w:r>
            <w:r>
              <w:rPr>
                <w:spacing w:val="-1"/>
              </w:rPr>
              <w:t>区间值“0.15～0.18”表示“0.15≤Cv＜0.18</w:t>
            </w:r>
            <w:r>
              <w:rPr>
                <w:spacing w:val="-66"/>
              </w:rPr>
              <w:t xml:space="preserve"> </w:t>
            </w:r>
            <w:r>
              <w:rPr>
                <w:spacing w:val="-2"/>
              </w:rPr>
              <w:t>”。</w:t>
            </w:r>
          </w:p>
        </w:tc>
      </w:tr>
    </w:tbl>
    <w:p w14:paraId="79673305">
      <w:pPr>
        <w:pStyle w:val="2"/>
        <w:spacing w:line="292" w:lineRule="auto"/>
      </w:pPr>
    </w:p>
    <w:p w14:paraId="5A514C6A">
      <w:pPr>
        <w:spacing w:before="68" w:line="275" w:lineRule="auto"/>
        <w:ind w:left="130" w:right="118" w:hanging="10"/>
        <w:rPr>
          <w:rFonts w:ascii="宋体" w:hAnsi="宋体" w:eastAsia="宋体" w:cs="宋体"/>
          <w:sz w:val="21"/>
          <w:szCs w:val="21"/>
        </w:rPr>
      </w:pPr>
      <w:r>
        <w:rPr>
          <w:rFonts w:ascii="黑体" w:hAnsi="黑体" w:eastAsia="黑体" w:cs="黑体"/>
          <w:sz w:val="21"/>
          <w:szCs w:val="21"/>
        </w:rPr>
        <w:t xml:space="preserve">4.3.3  </w:t>
      </w:r>
      <w:r>
        <w:rPr>
          <w:rFonts w:ascii="宋体" w:hAnsi="宋体" w:eastAsia="宋体" w:cs="宋体"/>
          <w:sz w:val="21"/>
          <w:szCs w:val="21"/>
        </w:rPr>
        <w:t>混凝土试验误差应定期进行检查和统计分析，计算方法按</w:t>
      </w:r>
      <w:r>
        <w:rPr>
          <w:rFonts w:ascii="宋体" w:hAnsi="宋体" w:eastAsia="宋体" w:cs="宋体"/>
          <w:spacing w:val="-43"/>
          <w:sz w:val="21"/>
          <w:szCs w:val="21"/>
        </w:rPr>
        <w:t xml:space="preserve"> </w:t>
      </w:r>
      <w:r>
        <w:rPr>
          <w:rFonts w:ascii="宋体" w:hAnsi="宋体" w:eastAsia="宋体" w:cs="宋体"/>
          <w:sz w:val="21"/>
          <w:szCs w:val="21"/>
        </w:rPr>
        <w:t>DL/</w:t>
      </w:r>
      <w:r>
        <w:rPr>
          <w:rFonts w:ascii="宋体" w:hAnsi="宋体" w:eastAsia="宋体" w:cs="宋体"/>
          <w:spacing w:val="-1"/>
          <w:sz w:val="21"/>
          <w:szCs w:val="21"/>
        </w:rPr>
        <w:t>T 5144</w:t>
      </w:r>
      <w:r>
        <w:rPr>
          <w:rFonts w:ascii="宋体" w:hAnsi="宋体" w:eastAsia="宋体" w:cs="宋体"/>
          <w:spacing w:val="-40"/>
          <w:sz w:val="21"/>
          <w:szCs w:val="21"/>
        </w:rPr>
        <w:t xml:space="preserve"> </w:t>
      </w:r>
      <w:r>
        <w:rPr>
          <w:rFonts w:ascii="宋体" w:hAnsi="宋体" w:eastAsia="宋体" w:cs="宋体"/>
          <w:spacing w:val="-1"/>
          <w:sz w:val="21"/>
          <w:szCs w:val="21"/>
        </w:rPr>
        <w:t>进行，试验误差的等级评</w:t>
      </w:r>
      <w:r>
        <w:rPr>
          <w:rFonts w:ascii="宋体" w:hAnsi="宋体" w:eastAsia="宋体" w:cs="宋体"/>
          <w:sz w:val="21"/>
          <w:szCs w:val="21"/>
        </w:rPr>
        <w:t xml:space="preserve"> </w:t>
      </w:r>
      <w:r>
        <w:rPr>
          <w:rFonts w:ascii="宋体" w:hAnsi="宋体" w:eastAsia="宋体" w:cs="宋体"/>
          <w:spacing w:val="-4"/>
          <w:sz w:val="21"/>
          <w:szCs w:val="21"/>
        </w:rPr>
        <w:t>定标准应符合表</w:t>
      </w:r>
      <w:r>
        <w:rPr>
          <w:rFonts w:ascii="宋体" w:hAnsi="宋体" w:eastAsia="宋体" w:cs="宋体"/>
          <w:spacing w:val="-32"/>
          <w:sz w:val="21"/>
          <w:szCs w:val="21"/>
        </w:rPr>
        <w:t xml:space="preserve"> </w:t>
      </w:r>
      <w:r>
        <w:rPr>
          <w:rFonts w:ascii="宋体" w:hAnsi="宋体" w:eastAsia="宋体" w:cs="宋体"/>
          <w:spacing w:val="-4"/>
          <w:sz w:val="21"/>
          <w:szCs w:val="21"/>
        </w:rPr>
        <w:t>7</w:t>
      </w:r>
      <w:r>
        <w:rPr>
          <w:rFonts w:ascii="宋体" w:hAnsi="宋体" w:eastAsia="宋体" w:cs="宋体"/>
          <w:spacing w:val="-43"/>
          <w:sz w:val="21"/>
          <w:szCs w:val="21"/>
        </w:rPr>
        <w:t xml:space="preserve"> </w:t>
      </w:r>
      <w:r>
        <w:rPr>
          <w:rFonts w:ascii="宋体" w:hAnsi="宋体" w:eastAsia="宋体" w:cs="宋体"/>
          <w:spacing w:val="-4"/>
          <w:sz w:val="21"/>
          <w:szCs w:val="21"/>
        </w:rPr>
        <w:t>规定。</w:t>
      </w:r>
    </w:p>
    <w:p w14:paraId="62CB31E0">
      <w:pPr>
        <w:spacing w:before="153" w:line="221" w:lineRule="auto"/>
        <w:ind w:left="3467"/>
        <w:rPr>
          <w:rFonts w:ascii="黑体" w:hAnsi="黑体" w:eastAsia="黑体" w:cs="黑体"/>
          <w:sz w:val="21"/>
          <w:szCs w:val="21"/>
        </w:rPr>
      </w:pPr>
      <w:r>
        <w:rPr>
          <w:rFonts w:ascii="黑体" w:hAnsi="黑体" w:eastAsia="黑体" w:cs="黑体"/>
          <w:spacing w:val="-2"/>
          <w:sz w:val="21"/>
          <w:szCs w:val="21"/>
        </w:rPr>
        <w:t>表</w:t>
      </w:r>
      <w:r>
        <w:rPr>
          <w:rFonts w:ascii="黑体" w:hAnsi="黑体" w:eastAsia="黑体" w:cs="黑体"/>
          <w:spacing w:val="-37"/>
          <w:sz w:val="21"/>
          <w:szCs w:val="21"/>
        </w:rPr>
        <w:t xml:space="preserve"> </w:t>
      </w:r>
      <w:r>
        <w:rPr>
          <w:rFonts w:ascii="黑体" w:hAnsi="黑体" w:eastAsia="黑体" w:cs="黑体"/>
          <w:spacing w:val="-2"/>
          <w:sz w:val="21"/>
          <w:szCs w:val="21"/>
        </w:rPr>
        <w:t>7  试验误差等级评定标准</w:t>
      </w:r>
    </w:p>
    <w:p w14:paraId="6D328551">
      <w:pPr>
        <w:spacing w:line="167" w:lineRule="exact"/>
      </w:pPr>
    </w:p>
    <w:tbl>
      <w:tblPr>
        <w:tblStyle w:val="8"/>
        <w:tblW w:w="957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73"/>
        <w:gridCol w:w="1062"/>
        <w:gridCol w:w="1532"/>
        <w:gridCol w:w="1534"/>
        <w:gridCol w:w="1532"/>
        <w:gridCol w:w="1542"/>
      </w:tblGrid>
      <w:tr w14:paraId="14548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3435" w:type="dxa"/>
            <w:gridSpan w:val="2"/>
            <w:tcBorders>
              <w:top w:val="single" w:color="000000" w:sz="6" w:space="0"/>
              <w:left w:val="single" w:color="000000" w:sz="6" w:space="0"/>
              <w:bottom w:val="single" w:color="000000" w:sz="6" w:space="0"/>
            </w:tcBorders>
            <w:vAlign w:val="top"/>
          </w:tcPr>
          <w:p w14:paraId="20A484A6">
            <w:pPr>
              <w:pStyle w:val="9"/>
              <w:spacing w:before="131" w:line="220" w:lineRule="auto"/>
              <w:ind w:left="1356"/>
            </w:pPr>
            <w:r>
              <w:rPr>
                <w:spacing w:val="-2"/>
              </w:rPr>
              <w:t>试验水平</w:t>
            </w:r>
          </w:p>
        </w:tc>
        <w:tc>
          <w:tcPr>
            <w:tcW w:w="1532" w:type="dxa"/>
            <w:tcBorders>
              <w:top w:val="single" w:color="000000" w:sz="6" w:space="0"/>
              <w:bottom w:val="single" w:color="000000" w:sz="6" w:space="0"/>
            </w:tcBorders>
            <w:vAlign w:val="top"/>
          </w:tcPr>
          <w:p w14:paraId="25786D90">
            <w:pPr>
              <w:pStyle w:val="9"/>
              <w:spacing w:before="131" w:line="220" w:lineRule="auto"/>
              <w:ind w:left="588"/>
            </w:pPr>
            <w:r>
              <w:rPr>
                <w:spacing w:val="-2"/>
              </w:rPr>
              <w:t>优秀</w:t>
            </w:r>
          </w:p>
        </w:tc>
        <w:tc>
          <w:tcPr>
            <w:tcW w:w="1534" w:type="dxa"/>
            <w:tcBorders>
              <w:top w:val="single" w:color="000000" w:sz="6" w:space="0"/>
              <w:bottom w:val="single" w:color="000000" w:sz="6" w:space="0"/>
            </w:tcBorders>
            <w:vAlign w:val="top"/>
          </w:tcPr>
          <w:p w14:paraId="07FCA6E3">
            <w:pPr>
              <w:pStyle w:val="9"/>
              <w:spacing w:before="131" w:line="220" w:lineRule="auto"/>
              <w:ind w:left="620"/>
            </w:pPr>
            <w:r>
              <w:rPr>
                <w:spacing w:val="-9"/>
              </w:rPr>
              <w:t>良好</w:t>
            </w:r>
          </w:p>
        </w:tc>
        <w:tc>
          <w:tcPr>
            <w:tcW w:w="1532" w:type="dxa"/>
            <w:tcBorders>
              <w:top w:val="single" w:color="000000" w:sz="6" w:space="0"/>
              <w:bottom w:val="single" w:color="000000" w:sz="6" w:space="0"/>
            </w:tcBorders>
            <w:vAlign w:val="top"/>
          </w:tcPr>
          <w:p w14:paraId="284F259C">
            <w:pPr>
              <w:pStyle w:val="9"/>
              <w:spacing w:before="131" w:line="222" w:lineRule="auto"/>
              <w:ind w:left="596"/>
            </w:pPr>
            <w:r>
              <w:rPr>
                <w:spacing w:val="-5"/>
              </w:rPr>
              <w:t>一般</w:t>
            </w:r>
          </w:p>
        </w:tc>
        <w:tc>
          <w:tcPr>
            <w:tcW w:w="1542" w:type="dxa"/>
            <w:tcBorders>
              <w:top w:val="single" w:color="000000" w:sz="6" w:space="0"/>
              <w:bottom w:val="single" w:color="000000" w:sz="6" w:space="0"/>
              <w:right w:val="single" w:color="000000" w:sz="6" w:space="0"/>
            </w:tcBorders>
            <w:vAlign w:val="top"/>
          </w:tcPr>
          <w:p w14:paraId="66AD6EA2">
            <w:pPr>
              <w:pStyle w:val="9"/>
              <w:spacing w:before="132" w:line="227" w:lineRule="auto"/>
              <w:ind w:left="688"/>
            </w:pPr>
            <w:r>
              <w:t>差</w:t>
            </w:r>
          </w:p>
        </w:tc>
      </w:tr>
      <w:tr w14:paraId="50E76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2373" w:type="dxa"/>
            <w:vMerge w:val="restart"/>
            <w:tcBorders>
              <w:top w:val="single" w:color="000000" w:sz="6" w:space="0"/>
              <w:left w:val="single" w:color="000000" w:sz="6" w:space="0"/>
              <w:bottom w:val="nil"/>
            </w:tcBorders>
            <w:vAlign w:val="top"/>
          </w:tcPr>
          <w:p w14:paraId="41EAFEC3">
            <w:pPr>
              <w:pStyle w:val="9"/>
              <w:spacing w:before="188" w:line="220" w:lineRule="auto"/>
              <w:ind w:left="532"/>
              <w:rPr>
                <w:sz w:val="9"/>
                <w:szCs w:val="9"/>
              </w:rPr>
            </w:pPr>
            <w:r>
              <w:rPr>
                <w:spacing w:val="-1"/>
              </w:rPr>
              <w:t>盘内变异系数б</w:t>
            </w:r>
            <w:r>
              <w:rPr>
                <w:spacing w:val="-1"/>
                <w:sz w:val="9"/>
                <w:szCs w:val="9"/>
              </w:rPr>
              <w:t>b</w:t>
            </w:r>
          </w:p>
          <w:p w14:paraId="106B0798">
            <w:pPr>
              <w:pStyle w:val="9"/>
              <w:spacing w:before="97"/>
              <w:ind w:left="1135"/>
            </w:pPr>
            <w:r>
              <w:t>%</w:t>
            </w:r>
          </w:p>
        </w:tc>
        <w:tc>
          <w:tcPr>
            <w:tcW w:w="1062" w:type="dxa"/>
            <w:tcBorders>
              <w:top w:val="single" w:color="000000" w:sz="6" w:space="0"/>
            </w:tcBorders>
            <w:vAlign w:val="top"/>
          </w:tcPr>
          <w:p w14:paraId="75592636">
            <w:pPr>
              <w:pStyle w:val="9"/>
              <w:spacing w:before="127" w:line="221" w:lineRule="auto"/>
              <w:ind w:left="354"/>
            </w:pPr>
            <w:r>
              <w:rPr>
                <w:spacing w:val="-3"/>
              </w:rPr>
              <w:t>现场</w:t>
            </w:r>
          </w:p>
        </w:tc>
        <w:tc>
          <w:tcPr>
            <w:tcW w:w="1532" w:type="dxa"/>
            <w:tcBorders>
              <w:top w:val="single" w:color="000000" w:sz="6" w:space="0"/>
            </w:tcBorders>
            <w:vAlign w:val="top"/>
          </w:tcPr>
          <w:p w14:paraId="06F0A160">
            <w:pPr>
              <w:pStyle w:val="9"/>
              <w:spacing w:before="127" w:line="241" w:lineRule="auto"/>
              <w:ind w:left="648"/>
            </w:pPr>
            <w:r>
              <w:rPr>
                <w:spacing w:val="17"/>
                <w:w w:val="116"/>
              </w:rPr>
              <w:t>&lt;4</w:t>
            </w:r>
          </w:p>
        </w:tc>
        <w:tc>
          <w:tcPr>
            <w:tcW w:w="1534" w:type="dxa"/>
            <w:tcBorders>
              <w:top w:val="single" w:color="000000" w:sz="6" w:space="0"/>
            </w:tcBorders>
            <w:vAlign w:val="top"/>
          </w:tcPr>
          <w:p w14:paraId="26749E72">
            <w:pPr>
              <w:pStyle w:val="9"/>
              <w:spacing w:before="127"/>
              <w:ind w:left="591"/>
            </w:pPr>
            <w:r>
              <w:rPr>
                <w:spacing w:val="-2"/>
              </w:rPr>
              <w:t>4～5</w:t>
            </w:r>
          </w:p>
        </w:tc>
        <w:tc>
          <w:tcPr>
            <w:tcW w:w="1532" w:type="dxa"/>
            <w:tcBorders>
              <w:top w:val="single" w:color="000000" w:sz="6" w:space="0"/>
            </w:tcBorders>
            <w:vAlign w:val="top"/>
          </w:tcPr>
          <w:p w14:paraId="41DC50CC">
            <w:pPr>
              <w:pStyle w:val="9"/>
              <w:spacing w:before="127"/>
              <w:ind w:left="597"/>
            </w:pPr>
            <w:r>
              <w:rPr>
                <w:spacing w:val="-3"/>
              </w:rPr>
              <w:t>5～6</w:t>
            </w:r>
          </w:p>
        </w:tc>
        <w:tc>
          <w:tcPr>
            <w:tcW w:w="1542" w:type="dxa"/>
            <w:tcBorders>
              <w:top w:val="single" w:color="000000" w:sz="6" w:space="0"/>
              <w:right w:val="single" w:color="000000" w:sz="6" w:space="0"/>
            </w:tcBorders>
            <w:vAlign w:val="top"/>
          </w:tcPr>
          <w:p w14:paraId="10E8789C">
            <w:pPr>
              <w:pStyle w:val="9"/>
              <w:spacing w:before="127"/>
              <w:ind w:left="658"/>
            </w:pPr>
            <w:r>
              <w:rPr>
                <w:spacing w:val="19"/>
                <w:w w:val="110"/>
              </w:rPr>
              <w:t>&gt;6</w:t>
            </w:r>
          </w:p>
        </w:tc>
      </w:tr>
      <w:tr w14:paraId="28584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2373" w:type="dxa"/>
            <w:vMerge w:val="continue"/>
            <w:tcBorders>
              <w:top w:val="nil"/>
              <w:left w:val="single" w:color="000000" w:sz="6" w:space="0"/>
              <w:bottom w:val="single" w:color="000000" w:sz="6" w:space="0"/>
            </w:tcBorders>
            <w:vAlign w:val="top"/>
          </w:tcPr>
          <w:p w14:paraId="623482CA">
            <w:pPr>
              <w:rPr>
                <w:rFonts w:ascii="Arial"/>
                <w:sz w:val="21"/>
              </w:rPr>
            </w:pPr>
          </w:p>
        </w:tc>
        <w:tc>
          <w:tcPr>
            <w:tcW w:w="1062" w:type="dxa"/>
            <w:tcBorders>
              <w:bottom w:val="single" w:color="000000" w:sz="6" w:space="0"/>
            </w:tcBorders>
            <w:vAlign w:val="top"/>
          </w:tcPr>
          <w:p w14:paraId="4DB41211">
            <w:pPr>
              <w:pStyle w:val="9"/>
              <w:spacing w:before="142" w:line="220" w:lineRule="auto"/>
              <w:ind w:left="355"/>
            </w:pPr>
            <w:r>
              <w:rPr>
                <w:spacing w:val="-3"/>
              </w:rPr>
              <w:t>室内</w:t>
            </w:r>
          </w:p>
        </w:tc>
        <w:tc>
          <w:tcPr>
            <w:tcW w:w="1532" w:type="dxa"/>
            <w:tcBorders>
              <w:bottom w:val="single" w:color="000000" w:sz="6" w:space="0"/>
            </w:tcBorders>
            <w:vAlign w:val="top"/>
          </w:tcPr>
          <w:p w14:paraId="7B0D8563">
            <w:pPr>
              <w:pStyle w:val="9"/>
              <w:spacing w:before="142"/>
              <w:ind w:left="648"/>
            </w:pPr>
            <w:r>
              <w:rPr>
                <w:spacing w:val="21"/>
                <w:w w:val="109"/>
              </w:rPr>
              <w:t>&lt;3</w:t>
            </w:r>
          </w:p>
        </w:tc>
        <w:tc>
          <w:tcPr>
            <w:tcW w:w="1534" w:type="dxa"/>
            <w:tcBorders>
              <w:bottom w:val="single" w:color="000000" w:sz="6" w:space="0"/>
            </w:tcBorders>
            <w:vAlign w:val="top"/>
          </w:tcPr>
          <w:p w14:paraId="70184ABC">
            <w:pPr>
              <w:pStyle w:val="9"/>
              <w:spacing w:before="142"/>
              <w:ind w:left="595"/>
            </w:pPr>
            <w:r>
              <w:rPr>
                <w:spacing w:val="-3"/>
              </w:rPr>
              <w:t>3～4</w:t>
            </w:r>
          </w:p>
        </w:tc>
        <w:tc>
          <w:tcPr>
            <w:tcW w:w="1532" w:type="dxa"/>
            <w:tcBorders>
              <w:bottom w:val="single" w:color="000000" w:sz="6" w:space="0"/>
            </w:tcBorders>
            <w:vAlign w:val="top"/>
          </w:tcPr>
          <w:p w14:paraId="2BFE3BCC">
            <w:pPr>
              <w:pStyle w:val="9"/>
              <w:spacing w:before="142"/>
              <w:ind w:left="593"/>
            </w:pPr>
            <w:r>
              <w:rPr>
                <w:spacing w:val="-2"/>
              </w:rPr>
              <w:t>4～5</w:t>
            </w:r>
          </w:p>
        </w:tc>
        <w:tc>
          <w:tcPr>
            <w:tcW w:w="1542" w:type="dxa"/>
            <w:tcBorders>
              <w:bottom w:val="single" w:color="000000" w:sz="6" w:space="0"/>
              <w:right w:val="single" w:color="000000" w:sz="6" w:space="0"/>
            </w:tcBorders>
            <w:vAlign w:val="top"/>
          </w:tcPr>
          <w:p w14:paraId="46B15585">
            <w:pPr>
              <w:pStyle w:val="9"/>
              <w:spacing w:before="142"/>
              <w:ind w:left="658"/>
            </w:pPr>
            <w:r>
              <w:rPr>
                <w:spacing w:val="21"/>
                <w:w w:val="107"/>
              </w:rPr>
              <w:t>&gt;5</w:t>
            </w:r>
          </w:p>
        </w:tc>
      </w:tr>
    </w:tbl>
    <w:p w14:paraId="716C93B9">
      <w:pPr>
        <w:pStyle w:val="2"/>
        <w:spacing w:line="448" w:lineRule="auto"/>
      </w:pPr>
    </w:p>
    <w:p w14:paraId="4D1FAFE9">
      <w:pPr>
        <w:spacing w:before="69" w:line="221" w:lineRule="auto"/>
        <w:ind w:left="120"/>
        <w:rPr>
          <w:rFonts w:ascii="黑体" w:hAnsi="黑体" w:eastAsia="黑体" w:cs="黑体"/>
          <w:sz w:val="21"/>
          <w:szCs w:val="21"/>
        </w:rPr>
      </w:pPr>
      <w:r>
        <w:rPr>
          <w:rFonts w:ascii="黑体" w:hAnsi="黑体" w:eastAsia="黑体" w:cs="黑体"/>
          <w:spacing w:val="-1"/>
          <w:sz w:val="21"/>
          <w:szCs w:val="21"/>
        </w:rPr>
        <w:t>4.4  混凝土抗渗</w:t>
      </w:r>
    </w:p>
    <w:p w14:paraId="738ED6AD">
      <w:pPr>
        <w:spacing w:before="217" w:line="220" w:lineRule="auto"/>
        <w:ind w:left="548"/>
        <w:rPr>
          <w:rFonts w:ascii="宋体" w:hAnsi="宋体" w:eastAsia="宋体" w:cs="宋体"/>
          <w:sz w:val="21"/>
          <w:szCs w:val="21"/>
        </w:rPr>
      </w:pPr>
      <w:r>
        <w:rPr>
          <w:rFonts w:ascii="宋体" w:hAnsi="宋体" w:eastAsia="宋体" w:cs="宋体"/>
          <w:spacing w:val="-3"/>
          <w:sz w:val="21"/>
          <w:szCs w:val="21"/>
        </w:rPr>
        <w:t>混凝土抗渗等级应满足设计要求。</w:t>
      </w:r>
    </w:p>
    <w:p w14:paraId="256F735D">
      <w:pPr>
        <w:spacing w:before="217" w:line="221" w:lineRule="auto"/>
        <w:ind w:left="120"/>
        <w:rPr>
          <w:rFonts w:ascii="黑体" w:hAnsi="黑体" w:eastAsia="黑体" w:cs="黑体"/>
          <w:sz w:val="21"/>
          <w:szCs w:val="21"/>
        </w:rPr>
      </w:pPr>
      <w:r>
        <w:rPr>
          <w:rFonts w:ascii="黑体" w:hAnsi="黑体" w:eastAsia="黑体" w:cs="黑体"/>
          <w:spacing w:val="-1"/>
          <w:sz w:val="21"/>
          <w:szCs w:val="21"/>
        </w:rPr>
        <w:t>4.5  混凝土抗冻</w:t>
      </w:r>
    </w:p>
    <w:p w14:paraId="2067A62E">
      <w:pPr>
        <w:spacing w:before="217" w:line="220" w:lineRule="auto"/>
        <w:ind w:left="548"/>
        <w:rPr>
          <w:rFonts w:ascii="宋体" w:hAnsi="宋体" w:eastAsia="宋体" w:cs="宋体"/>
          <w:sz w:val="21"/>
          <w:szCs w:val="21"/>
        </w:rPr>
      </w:pPr>
      <w:r>
        <w:rPr>
          <w:rFonts w:ascii="宋体" w:hAnsi="宋体" w:eastAsia="宋体" w:cs="宋体"/>
          <w:spacing w:val="-2"/>
          <w:sz w:val="21"/>
          <w:szCs w:val="21"/>
        </w:rPr>
        <w:t>混凝土抗冻检测结果合格率应不低于</w:t>
      </w:r>
      <w:r>
        <w:rPr>
          <w:rFonts w:ascii="宋体" w:hAnsi="宋体" w:eastAsia="宋体" w:cs="宋体"/>
          <w:spacing w:val="-38"/>
          <w:sz w:val="21"/>
          <w:szCs w:val="21"/>
        </w:rPr>
        <w:t xml:space="preserve"> </w:t>
      </w:r>
      <w:r>
        <w:rPr>
          <w:rFonts w:ascii="宋体" w:hAnsi="宋体" w:eastAsia="宋体" w:cs="宋体"/>
          <w:spacing w:val="-2"/>
          <w:sz w:val="21"/>
          <w:szCs w:val="21"/>
        </w:rPr>
        <w:t>80%。</w:t>
      </w:r>
    </w:p>
    <w:p w14:paraId="714269A7">
      <w:pPr>
        <w:pStyle w:val="2"/>
        <w:spacing w:line="304" w:lineRule="auto"/>
      </w:pPr>
    </w:p>
    <w:p w14:paraId="27E0184A">
      <w:pPr>
        <w:spacing w:before="69" w:line="222" w:lineRule="auto"/>
        <w:ind w:left="120"/>
        <w:outlineLvl w:val="0"/>
        <w:rPr>
          <w:rFonts w:ascii="黑体" w:hAnsi="黑体" w:eastAsia="黑体" w:cs="黑体"/>
          <w:sz w:val="21"/>
          <w:szCs w:val="21"/>
        </w:rPr>
      </w:pPr>
      <w:bookmarkStart w:id="15" w:name="bookmark6"/>
      <w:bookmarkEnd w:id="15"/>
      <w:r>
        <w:rPr>
          <w:rFonts w:ascii="黑体" w:hAnsi="黑体" w:eastAsia="黑体" w:cs="黑体"/>
          <w:spacing w:val="-3"/>
          <w:sz w:val="21"/>
          <w:szCs w:val="21"/>
        </w:rPr>
        <w:t>5</w:t>
      </w:r>
      <w:r>
        <w:rPr>
          <w:rFonts w:ascii="黑体" w:hAnsi="黑体" w:eastAsia="黑体" w:cs="黑体"/>
          <w:spacing w:val="6"/>
          <w:sz w:val="21"/>
          <w:szCs w:val="21"/>
        </w:rPr>
        <w:t xml:space="preserve">  </w:t>
      </w:r>
      <w:r>
        <w:rPr>
          <w:rFonts w:ascii="黑体" w:hAnsi="黑体" w:eastAsia="黑体" w:cs="黑体"/>
          <w:spacing w:val="-3"/>
          <w:sz w:val="21"/>
          <w:szCs w:val="21"/>
        </w:rPr>
        <w:t>质量管理</w:t>
      </w:r>
    </w:p>
    <w:p w14:paraId="41C1BA02">
      <w:pPr>
        <w:pStyle w:val="2"/>
        <w:spacing w:line="300" w:lineRule="auto"/>
      </w:pPr>
    </w:p>
    <w:p w14:paraId="732963B0">
      <w:pPr>
        <w:spacing w:before="69" w:line="256" w:lineRule="auto"/>
        <w:ind w:left="123" w:right="116" w:hanging="3"/>
        <w:rPr>
          <w:rFonts w:ascii="宋体" w:hAnsi="宋体" w:eastAsia="宋体" w:cs="宋体"/>
          <w:sz w:val="21"/>
          <w:szCs w:val="21"/>
        </w:rPr>
      </w:pPr>
      <w:r>
        <w:rPr>
          <w:rFonts w:ascii="黑体" w:hAnsi="黑体" w:eastAsia="黑体" w:cs="黑体"/>
          <w:sz w:val="21"/>
          <w:szCs w:val="21"/>
        </w:rPr>
        <w:t xml:space="preserve">5.1  </w:t>
      </w:r>
      <w:r>
        <w:rPr>
          <w:rFonts w:ascii="宋体" w:hAnsi="宋体" w:eastAsia="宋体" w:cs="宋体"/>
          <w:sz w:val="21"/>
          <w:szCs w:val="21"/>
        </w:rPr>
        <w:t>混凝土施工配合比应由承包商通过试验确定，报请监理工程师审批并经主管部门确认后使用。混</w:t>
      </w:r>
      <w:r>
        <w:rPr>
          <w:rFonts w:ascii="宋体" w:hAnsi="宋体" w:eastAsia="宋体" w:cs="宋体"/>
          <w:spacing w:val="4"/>
          <w:sz w:val="21"/>
          <w:szCs w:val="21"/>
        </w:rPr>
        <w:t xml:space="preserve"> </w:t>
      </w:r>
      <w:r>
        <w:rPr>
          <w:rFonts w:ascii="宋体" w:hAnsi="宋体" w:eastAsia="宋体" w:cs="宋体"/>
          <w:spacing w:val="-4"/>
          <w:sz w:val="21"/>
          <w:szCs w:val="21"/>
        </w:rPr>
        <w:t>凝土施工配料单应由具备资质的试验员或技术人员计算、校核，</w:t>
      </w:r>
      <w:r>
        <w:rPr>
          <w:rFonts w:ascii="宋体" w:hAnsi="宋体" w:eastAsia="宋体" w:cs="宋体"/>
          <w:spacing w:val="-23"/>
          <w:sz w:val="21"/>
          <w:szCs w:val="21"/>
        </w:rPr>
        <w:t xml:space="preserve"> </w:t>
      </w:r>
      <w:r>
        <w:rPr>
          <w:rFonts w:ascii="宋体" w:hAnsi="宋体" w:eastAsia="宋体" w:cs="宋体"/>
          <w:spacing w:val="-4"/>
          <w:sz w:val="21"/>
          <w:szCs w:val="21"/>
        </w:rPr>
        <w:t>计算和校核人员应在配料单上</w:t>
      </w:r>
      <w:r>
        <w:rPr>
          <w:rFonts w:ascii="宋体" w:hAnsi="宋体" w:eastAsia="宋体" w:cs="宋体"/>
          <w:spacing w:val="-5"/>
          <w:sz w:val="21"/>
          <w:szCs w:val="21"/>
        </w:rPr>
        <w:t>签字，经</w:t>
      </w:r>
      <w:r>
        <w:rPr>
          <w:rFonts w:ascii="宋体" w:hAnsi="宋体" w:eastAsia="宋体" w:cs="宋体"/>
          <w:sz w:val="21"/>
          <w:szCs w:val="21"/>
        </w:rPr>
        <w:t xml:space="preserve"> </w:t>
      </w:r>
      <w:r>
        <w:rPr>
          <w:rFonts w:ascii="宋体" w:hAnsi="宋体" w:eastAsia="宋体" w:cs="宋体"/>
          <w:spacing w:val="-3"/>
          <w:sz w:val="21"/>
          <w:szCs w:val="21"/>
        </w:rPr>
        <w:t>监理工程师审核签字后方可使用。</w:t>
      </w:r>
    </w:p>
    <w:p w14:paraId="74991116">
      <w:pPr>
        <w:spacing w:before="63" w:line="256" w:lineRule="auto"/>
        <w:ind w:left="127" w:right="116" w:hanging="7"/>
        <w:rPr>
          <w:rFonts w:ascii="宋体" w:hAnsi="宋体" w:eastAsia="宋体" w:cs="宋体"/>
          <w:sz w:val="21"/>
          <w:szCs w:val="21"/>
        </w:rPr>
      </w:pPr>
      <w:r>
        <w:rPr>
          <w:rFonts w:ascii="黑体" w:hAnsi="黑体" w:eastAsia="黑体" w:cs="黑体"/>
          <w:sz w:val="21"/>
          <w:szCs w:val="21"/>
        </w:rPr>
        <w:t xml:space="preserve">5.2  </w:t>
      </w:r>
      <w:r>
        <w:rPr>
          <w:rFonts w:ascii="宋体" w:hAnsi="宋体" w:eastAsia="宋体" w:cs="宋体"/>
          <w:sz w:val="21"/>
          <w:szCs w:val="21"/>
        </w:rPr>
        <w:t>对混凝土原材料和混凝土检测结果应及时进行统计和分析。对于水泥强度、细骨料细度模数、含</w:t>
      </w:r>
      <w:r>
        <w:rPr>
          <w:rFonts w:ascii="宋体" w:hAnsi="宋体" w:eastAsia="宋体" w:cs="宋体"/>
          <w:spacing w:val="4"/>
          <w:sz w:val="21"/>
          <w:szCs w:val="21"/>
        </w:rPr>
        <w:t xml:space="preserve"> </w:t>
      </w:r>
      <w:r>
        <w:rPr>
          <w:rFonts w:ascii="宋体" w:hAnsi="宋体" w:eastAsia="宋体" w:cs="宋体"/>
          <w:spacing w:val="-4"/>
          <w:sz w:val="21"/>
          <w:szCs w:val="21"/>
        </w:rPr>
        <w:t>水率、石粉含量和混凝土强度等检测项目，</w:t>
      </w:r>
      <w:r>
        <w:rPr>
          <w:rFonts w:ascii="宋体" w:hAnsi="宋体" w:eastAsia="宋体" w:cs="宋体"/>
          <w:spacing w:val="-24"/>
          <w:sz w:val="21"/>
          <w:szCs w:val="21"/>
        </w:rPr>
        <w:t xml:space="preserve"> </w:t>
      </w:r>
      <w:r>
        <w:rPr>
          <w:rFonts w:ascii="宋体" w:hAnsi="宋体" w:eastAsia="宋体" w:cs="宋体"/>
          <w:spacing w:val="-4"/>
          <w:sz w:val="21"/>
          <w:szCs w:val="21"/>
        </w:rPr>
        <w:t>应采用管理图反映质量波动状态，并及时反</w:t>
      </w:r>
      <w:r>
        <w:rPr>
          <w:rFonts w:ascii="宋体" w:hAnsi="宋体" w:eastAsia="宋体" w:cs="宋体"/>
          <w:spacing w:val="-5"/>
          <w:sz w:val="21"/>
          <w:szCs w:val="21"/>
        </w:rPr>
        <w:t>馈到相关网点进</w:t>
      </w:r>
      <w:r>
        <w:rPr>
          <w:rFonts w:ascii="宋体" w:hAnsi="宋体" w:eastAsia="宋体" w:cs="宋体"/>
          <w:sz w:val="21"/>
          <w:szCs w:val="21"/>
        </w:rPr>
        <w:t xml:space="preserve"> </w:t>
      </w:r>
      <w:r>
        <w:rPr>
          <w:rFonts w:ascii="宋体" w:hAnsi="宋体" w:eastAsia="宋体" w:cs="宋体"/>
          <w:spacing w:val="-3"/>
          <w:sz w:val="21"/>
          <w:szCs w:val="21"/>
        </w:rPr>
        <w:t>行调整或修正，以确保工程质量。</w:t>
      </w:r>
    </w:p>
    <w:p w14:paraId="7FE0C648">
      <w:pPr>
        <w:spacing w:before="62" w:line="247" w:lineRule="auto"/>
        <w:ind w:left="124" w:right="119" w:hanging="4"/>
        <w:rPr>
          <w:rFonts w:ascii="宋体" w:hAnsi="宋体" w:eastAsia="宋体" w:cs="宋体"/>
          <w:sz w:val="21"/>
          <w:szCs w:val="21"/>
        </w:rPr>
      </w:pPr>
      <w:r>
        <w:rPr>
          <w:rFonts w:ascii="黑体" w:hAnsi="黑体" w:eastAsia="黑体" w:cs="黑体"/>
          <w:sz w:val="21"/>
          <w:szCs w:val="21"/>
        </w:rPr>
        <w:t xml:space="preserve">5.3  </w:t>
      </w:r>
      <w:r>
        <w:rPr>
          <w:rFonts w:ascii="宋体" w:hAnsi="宋体" w:eastAsia="宋体" w:cs="宋体"/>
          <w:sz w:val="21"/>
          <w:szCs w:val="21"/>
        </w:rPr>
        <w:t>为了有效地实施混凝土质量控制，承包商应提出混凝土质量控制目标，建立、健全混凝土质量保</w:t>
      </w:r>
      <w:r>
        <w:rPr>
          <w:rFonts w:ascii="宋体" w:hAnsi="宋体" w:eastAsia="宋体" w:cs="宋体"/>
          <w:spacing w:val="4"/>
          <w:sz w:val="21"/>
          <w:szCs w:val="21"/>
        </w:rPr>
        <w:t xml:space="preserve"> </w:t>
      </w:r>
      <w:r>
        <w:rPr>
          <w:rFonts w:ascii="宋体" w:hAnsi="宋体" w:eastAsia="宋体" w:cs="宋体"/>
          <w:spacing w:val="-1"/>
          <w:sz w:val="21"/>
          <w:szCs w:val="21"/>
        </w:rPr>
        <w:t>证体系，应配备相应的技术人员和仪器设备，建立、健全技术管理与质量控制制度。</w:t>
      </w:r>
    </w:p>
    <w:p w14:paraId="6CE4555F">
      <w:pPr>
        <w:spacing w:before="61" w:line="247" w:lineRule="auto"/>
        <w:ind w:left="129" w:right="117" w:hanging="9"/>
        <w:rPr>
          <w:rFonts w:ascii="宋体" w:hAnsi="宋体" w:eastAsia="宋体" w:cs="宋体"/>
          <w:sz w:val="21"/>
          <w:szCs w:val="21"/>
        </w:rPr>
      </w:pPr>
      <w:r>
        <w:rPr>
          <w:rFonts w:ascii="黑体" w:hAnsi="黑体" w:eastAsia="黑体" w:cs="黑体"/>
          <w:sz w:val="21"/>
          <w:szCs w:val="21"/>
        </w:rPr>
        <w:t xml:space="preserve">5.4  </w:t>
      </w:r>
      <w:r>
        <w:rPr>
          <w:rFonts w:ascii="宋体" w:hAnsi="宋体" w:eastAsia="宋体" w:cs="宋体"/>
          <w:sz w:val="21"/>
          <w:szCs w:val="21"/>
        </w:rPr>
        <w:t>在混凝土施工期间，应对各工序的各项检验结果及时整理统计分析，并定期(每月、季、年)报主</w:t>
      </w:r>
      <w:r>
        <w:rPr>
          <w:rFonts w:ascii="宋体" w:hAnsi="宋体" w:eastAsia="宋体" w:cs="宋体"/>
          <w:spacing w:val="5"/>
          <w:sz w:val="21"/>
          <w:szCs w:val="21"/>
        </w:rPr>
        <w:t xml:space="preserve"> </w:t>
      </w:r>
      <w:r>
        <w:rPr>
          <w:rFonts w:ascii="宋体" w:hAnsi="宋体" w:eastAsia="宋体" w:cs="宋体"/>
          <w:spacing w:val="-1"/>
          <w:sz w:val="21"/>
          <w:szCs w:val="21"/>
        </w:rPr>
        <w:t>管和有关部门。混凝土原材料或混凝土出现质量问题时，应立即</w:t>
      </w:r>
      <w:r>
        <w:rPr>
          <w:rFonts w:ascii="宋体" w:hAnsi="宋体" w:eastAsia="宋体" w:cs="宋体"/>
          <w:spacing w:val="-2"/>
          <w:sz w:val="21"/>
          <w:szCs w:val="21"/>
        </w:rPr>
        <w:t>上报主管部门。</w:t>
      </w:r>
    </w:p>
    <w:p w14:paraId="2AC9F70C">
      <w:pPr>
        <w:spacing w:before="63" w:line="256" w:lineRule="auto"/>
        <w:ind w:left="124" w:right="119" w:hanging="4"/>
        <w:rPr>
          <w:rFonts w:ascii="宋体" w:hAnsi="宋体" w:eastAsia="宋体" w:cs="宋体"/>
          <w:sz w:val="21"/>
          <w:szCs w:val="21"/>
        </w:rPr>
      </w:pPr>
      <w:r>
        <w:rPr>
          <w:rFonts w:ascii="黑体" w:hAnsi="黑体" w:eastAsia="黑体" w:cs="黑体"/>
          <w:sz w:val="21"/>
          <w:szCs w:val="21"/>
        </w:rPr>
        <w:t xml:space="preserve">5.5  </w:t>
      </w:r>
      <w:r>
        <w:rPr>
          <w:rFonts w:ascii="宋体" w:hAnsi="宋体" w:eastAsia="宋体" w:cs="宋体"/>
          <w:sz w:val="21"/>
          <w:szCs w:val="21"/>
        </w:rPr>
        <w:t>在混凝土生产过程中，应详细填写生产和检测的原始记录。混凝土生产过程中应详细填写工程部</w:t>
      </w:r>
      <w:r>
        <w:rPr>
          <w:rFonts w:ascii="宋体" w:hAnsi="宋体" w:eastAsia="宋体" w:cs="宋体"/>
          <w:spacing w:val="4"/>
          <w:sz w:val="21"/>
          <w:szCs w:val="21"/>
        </w:rPr>
        <w:t xml:space="preserve"> </w:t>
      </w:r>
      <w:r>
        <w:rPr>
          <w:rFonts w:ascii="宋体" w:hAnsi="宋体" w:eastAsia="宋体" w:cs="宋体"/>
          <w:spacing w:val="2"/>
          <w:sz w:val="21"/>
          <w:szCs w:val="21"/>
        </w:rPr>
        <w:t>位、高程、混凝土强度等级、级配、开仓时间、收仓时间、混凝土抽检结果等记录，并有相应人员的</w:t>
      </w:r>
      <w:r>
        <w:rPr>
          <w:rFonts w:ascii="宋体" w:hAnsi="宋体" w:eastAsia="宋体" w:cs="宋体"/>
          <w:spacing w:val="15"/>
          <w:sz w:val="21"/>
          <w:szCs w:val="21"/>
        </w:rPr>
        <w:t xml:space="preserve"> </w:t>
      </w:r>
      <w:r>
        <w:rPr>
          <w:rFonts w:ascii="宋体" w:hAnsi="宋体" w:eastAsia="宋体" w:cs="宋体"/>
          <w:spacing w:val="-4"/>
          <w:sz w:val="21"/>
          <w:szCs w:val="21"/>
        </w:rPr>
        <w:t>签字，做到有效溯源。</w:t>
      </w:r>
    </w:p>
    <w:p w14:paraId="7A66E9C0">
      <w:pPr>
        <w:spacing w:before="62" w:line="222" w:lineRule="auto"/>
        <w:ind w:left="120"/>
        <w:rPr>
          <w:rFonts w:ascii="宋体" w:hAnsi="宋体" w:eastAsia="宋体" w:cs="宋体"/>
          <w:sz w:val="21"/>
          <w:szCs w:val="21"/>
        </w:rPr>
      </w:pPr>
      <w:r>
        <w:rPr>
          <w:rFonts w:ascii="黑体" w:hAnsi="黑体" w:eastAsia="黑体" w:cs="黑体"/>
          <w:spacing w:val="-1"/>
          <w:sz w:val="21"/>
          <w:szCs w:val="21"/>
        </w:rPr>
        <w:t xml:space="preserve">5.6  </w:t>
      </w:r>
      <w:r>
        <w:rPr>
          <w:rFonts w:ascii="宋体" w:hAnsi="宋体" w:eastAsia="宋体" w:cs="宋体"/>
          <w:spacing w:val="-1"/>
          <w:sz w:val="21"/>
          <w:szCs w:val="21"/>
        </w:rPr>
        <w:t>承包商应收集完整的混凝土生产过程的技术资料和质量检测资料，并分类整理存档。</w:t>
      </w:r>
    </w:p>
    <w:p w14:paraId="459C4F26">
      <w:pPr>
        <w:spacing w:line="222" w:lineRule="auto"/>
        <w:rPr>
          <w:rFonts w:ascii="宋体" w:hAnsi="宋体" w:eastAsia="宋体" w:cs="宋体"/>
          <w:sz w:val="21"/>
          <w:szCs w:val="21"/>
        </w:rPr>
        <w:sectPr>
          <w:headerReference r:id="rId16" w:type="default"/>
          <w:footerReference r:id="rId17" w:type="default"/>
          <w:pgSz w:w="11905" w:h="16840"/>
          <w:pgMar w:top="1717" w:right="1014" w:bottom="1344" w:left="1299" w:header="1394" w:footer="1109" w:gutter="0"/>
          <w:pgNumType w:fmt="decimal"/>
          <w:cols w:space="720" w:num="1"/>
        </w:sectPr>
      </w:pPr>
    </w:p>
    <w:p w14:paraId="3B9ADD9D">
      <w:pPr>
        <w:spacing w:before="244" w:line="222" w:lineRule="auto"/>
        <w:ind w:left="124"/>
        <w:outlineLvl w:val="0"/>
        <w:rPr>
          <w:rFonts w:ascii="黑体" w:hAnsi="黑体" w:eastAsia="黑体" w:cs="黑体"/>
          <w:sz w:val="21"/>
          <w:szCs w:val="21"/>
        </w:rPr>
      </w:pPr>
      <w:bookmarkStart w:id="16" w:name="bookmark7"/>
      <w:bookmarkEnd w:id="16"/>
      <w:r>
        <w:rPr>
          <w:rFonts w:ascii="黑体" w:hAnsi="黑体" w:eastAsia="黑体" w:cs="黑体"/>
          <w:spacing w:val="-1"/>
          <w:sz w:val="21"/>
          <w:szCs w:val="21"/>
        </w:rPr>
        <w:t>6  混凝土拌和物的不合格料处理</w:t>
      </w:r>
    </w:p>
    <w:p w14:paraId="21191CDC">
      <w:pPr>
        <w:pStyle w:val="2"/>
        <w:spacing w:line="300" w:lineRule="auto"/>
      </w:pPr>
    </w:p>
    <w:p w14:paraId="07CCDC0A">
      <w:pPr>
        <w:spacing w:before="68" w:line="222" w:lineRule="auto"/>
        <w:ind w:left="124"/>
        <w:rPr>
          <w:rFonts w:ascii="宋体" w:hAnsi="宋体" w:eastAsia="宋体" w:cs="宋体"/>
          <w:sz w:val="21"/>
          <w:szCs w:val="21"/>
        </w:rPr>
      </w:pPr>
      <w:r>
        <w:rPr>
          <w:rFonts w:ascii="黑体" w:hAnsi="黑体" w:eastAsia="黑体" w:cs="黑体"/>
          <w:spacing w:val="-1"/>
          <w:sz w:val="21"/>
          <w:szCs w:val="21"/>
        </w:rPr>
        <w:t xml:space="preserve">6.1  </w:t>
      </w:r>
      <w:r>
        <w:rPr>
          <w:rFonts w:ascii="宋体" w:hAnsi="宋体" w:eastAsia="宋体" w:cs="宋体"/>
          <w:spacing w:val="-1"/>
          <w:sz w:val="21"/>
          <w:szCs w:val="21"/>
        </w:rPr>
        <w:t>混凝土拌和物允许偏差按</w:t>
      </w:r>
      <w:r>
        <w:rPr>
          <w:rFonts w:ascii="宋体" w:hAnsi="宋体" w:eastAsia="宋体" w:cs="宋体"/>
          <w:spacing w:val="-45"/>
          <w:sz w:val="21"/>
          <w:szCs w:val="21"/>
        </w:rPr>
        <w:t xml:space="preserve"> </w:t>
      </w:r>
      <w:r>
        <w:rPr>
          <w:rFonts w:ascii="宋体" w:hAnsi="宋体" w:eastAsia="宋体" w:cs="宋体"/>
          <w:spacing w:val="-1"/>
          <w:sz w:val="21"/>
          <w:szCs w:val="21"/>
        </w:rPr>
        <w:t>4.2</w:t>
      </w:r>
      <w:r>
        <w:rPr>
          <w:rFonts w:ascii="宋体" w:hAnsi="宋体" w:eastAsia="宋体" w:cs="宋体"/>
          <w:spacing w:val="-46"/>
          <w:sz w:val="21"/>
          <w:szCs w:val="21"/>
        </w:rPr>
        <w:t xml:space="preserve"> </w:t>
      </w:r>
      <w:r>
        <w:rPr>
          <w:rFonts w:ascii="宋体" w:hAnsi="宋体" w:eastAsia="宋体" w:cs="宋体"/>
          <w:spacing w:val="-1"/>
          <w:sz w:val="21"/>
          <w:szCs w:val="21"/>
        </w:rPr>
        <w:t>进行控</w:t>
      </w:r>
      <w:r>
        <w:rPr>
          <w:rFonts w:ascii="宋体" w:hAnsi="宋体" w:eastAsia="宋体" w:cs="宋体"/>
          <w:spacing w:val="-2"/>
          <w:sz w:val="21"/>
          <w:szCs w:val="21"/>
        </w:rPr>
        <w:t>制，当出现不合格情况时，按表</w:t>
      </w:r>
      <w:r>
        <w:rPr>
          <w:rFonts w:ascii="宋体" w:hAnsi="宋体" w:eastAsia="宋体" w:cs="宋体"/>
          <w:spacing w:val="-43"/>
          <w:sz w:val="21"/>
          <w:szCs w:val="21"/>
        </w:rPr>
        <w:t xml:space="preserve"> </w:t>
      </w:r>
      <w:r>
        <w:rPr>
          <w:rFonts w:ascii="宋体" w:hAnsi="宋体" w:eastAsia="宋体" w:cs="宋体"/>
          <w:spacing w:val="-2"/>
          <w:sz w:val="21"/>
          <w:szCs w:val="21"/>
        </w:rPr>
        <w:t>8</w:t>
      </w:r>
      <w:r>
        <w:rPr>
          <w:rFonts w:ascii="宋体" w:hAnsi="宋体" w:eastAsia="宋体" w:cs="宋体"/>
          <w:spacing w:val="-43"/>
          <w:sz w:val="21"/>
          <w:szCs w:val="21"/>
        </w:rPr>
        <w:t xml:space="preserve"> </w:t>
      </w:r>
      <w:r>
        <w:rPr>
          <w:rFonts w:ascii="宋体" w:hAnsi="宋体" w:eastAsia="宋体" w:cs="宋体"/>
          <w:spacing w:val="-2"/>
          <w:sz w:val="21"/>
          <w:szCs w:val="21"/>
        </w:rPr>
        <w:t>规定进行处理。</w:t>
      </w:r>
    </w:p>
    <w:p w14:paraId="3CEE7E73">
      <w:pPr>
        <w:spacing w:before="214" w:line="222" w:lineRule="auto"/>
        <w:ind w:left="3047"/>
        <w:rPr>
          <w:rFonts w:ascii="黑体" w:hAnsi="黑体" w:eastAsia="黑体" w:cs="黑体"/>
          <w:sz w:val="21"/>
          <w:szCs w:val="21"/>
        </w:rPr>
      </w:pPr>
      <w:r>
        <w:rPr>
          <w:rFonts w:ascii="黑体" w:hAnsi="黑体" w:eastAsia="黑体" w:cs="黑体"/>
          <w:spacing w:val="-1"/>
          <w:sz w:val="21"/>
          <w:szCs w:val="21"/>
        </w:rPr>
        <w:t>表</w:t>
      </w:r>
      <w:r>
        <w:rPr>
          <w:rFonts w:ascii="黑体" w:hAnsi="黑体" w:eastAsia="黑体" w:cs="黑体"/>
          <w:spacing w:val="-47"/>
          <w:sz w:val="21"/>
          <w:szCs w:val="21"/>
        </w:rPr>
        <w:t xml:space="preserve"> </w:t>
      </w:r>
      <w:r>
        <w:rPr>
          <w:rFonts w:ascii="黑体" w:hAnsi="黑体" w:eastAsia="黑体" w:cs="黑体"/>
          <w:spacing w:val="-1"/>
          <w:sz w:val="21"/>
          <w:szCs w:val="21"/>
        </w:rPr>
        <w:t>8  混凝土拌和物不合格料评定标准</w:t>
      </w:r>
    </w:p>
    <w:p w14:paraId="34E9AEF9">
      <w:pPr>
        <w:spacing w:line="165" w:lineRule="exact"/>
      </w:pPr>
    </w:p>
    <w:tbl>
      <w:tblPr>
        <w:tblStyle w:val="8"/>
        <w:tblW w:w="957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8"/>
        <w:gridCol w:w="544"/>
        <w:gridCol w:w="635"/>
        <w:gridCol w:w="1179"/>
        <w:gridCol w:w="1633"/>
        <w:gridCol w:w="1451"/>
        <w:gridCol w:w="1449"/>
        <w:gridCol w:w="2086"/>
      </w:tblGrid>
      <w:tr w14:paraId="6D375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0" w:hRule="atLeast"/>
        </w:trPr>
        <w:tc>
          <w:tcPr>
            <w:tcW w:w="598" w:type="dxa"/>
            <w:tcBorders>
              <w:top w:val="single" w:color="000000" w:sz="6" w:space="0"/>
              <w:left w:val="single" w:color="000000" w:sz="6" w:space="0"/>
              <w:bottom w:val="single" w:color="000000" w:sz="6" w:space="0"/>
            </w:tcBorders>
            <w:vAlign w:val="top"/>
          </w:tcPr>
          <w:p w14:paraId="79AD5E2C">
            <w:pPr>
              <w:spacing w:line="322" w:lineRule="auto"/>
              <w:rPr>
                <w:rFonts w:ascii="Arial"/>
                <w:sz w:val="21"/>
              </w:rPr>
            </w:pPr>
          </w:p>
          <w:p w14:paraId="155FDF6C">
            <w:pPr>
              <w:pStyle w:val="9"/>
              <w:spacing w:before="59" w:line="222" w:lineRule="auto"/>
              <w:ind w:left="114"/>
            </w:pPr>
            <w:r>
              <w:rPr>
                <w:spacing w:val="-2"/>
              </w:rPr>
              <w:t>序号</w:t>
            </w:r>
          </w:p>
        </w:tc>
        <w:tc>
          <w:tcPr>
            <w:tcW w:w="2358" w:type="dxa"/>
            <w:gridSpan w:val="3"/>
            <w:tcBorders>
              <w:top w:val="single" w:color="000000" w:sz="6" w:space="0"/>
              <w:bottom w:val="single" w:color="000000" w:sz="6" w:space="0"/>
            </w:tcBorders>
            <w:vAlign w:val="top"/>
          </w:tcPr>
          <w:p w14:paraId="58EF8BE4">
            <w:pPr>
              <w:spacing w:line="323" w:lineRule="auto"/>
              <w:rPr>
                <w:rFonts w:ascii="Arial"/>
                <w:sz w:val="21"/>
              </w:rPr>
            </w:pPr>
          </w:p>
          <w:p w14:paraId="7EAE4A65">
            <w:pPr>
              <w:pStyle w:val="9"/>
              <w:spacing w:before="58" w:line="221" w:lineRule="auto"/>
              <w:ind w:left="865"/>
            </w:pPr>
            <w:r>
              <w:rPr>
                <w:spacing w:val="-5"/>
              </w:rPr>
              <w:t>项</w:t>
            </w:r>
            <w:r>
              <w:rPr>
                <w:spacing w:val="13"/>
              </w:rPr>
              <w:t xml:space="preserve">   </w:t>
            </w:r>
            <w:r>
              <w:rPr>
                <w:spacing w:val="-5"/>
              </w:rPr>
              <w:t>目</w:t>
            </w:r>
          </w:p>
        </w:tc>
        <w:tc>
          <w:tcPr>
            <w:tcW w:w="1633" w:type="dxa"/>
            <w:tcBorders>
              <w:top w:val="single" w:color="000000" w:sz="6" w:space="0"/>
              <w:bottom w:val="single" w:color="000000" w:sz="6" w:space="0"/>
            </w:tcBorders>
            <w:vAlign w:val="top"/>
          </w:tcPr>
          <w:p w14:paraId="3F27560E">
            <w:pPr>
              <w:spacing w:line="323" w:lineRule="auto"/>
              <w:rPr>
                <w:rFonts w:ascii="Arial"/>
                <w:sz w:val="21"/>
              </w:rPr>
            </w:pPr>
          </w:p>
          <w:p w14:paraId="0C5E1C07">
            <w:pPr>
              <w:pStyle w:val="9"/>
              <w:spacing w:before="58" w:line="221" w:lineRule="auto"/>
              <w:ind w:left="281"/>
            </w:pPr>
            <w:r>
              <w:rPr>
                <w:spacing w:val="-2"/>
              </w:rPr>
              <w:t>设计要求范围</w:t>
            </w:r>
          </w:p>
        </w:tc>
        <w:tc>
          <w:tcPr>
            <w:tcW w:w="1451" w:type="dxa"/>
            <w:tcBorders>
              <w:top w:val="single" w:color="000000" w:sz="6" w:space="0"/>
              <w:bottom w:val="single" w:color="000000" w:sz="6" w:space="0"/>
            </w:tcBorders>
            <w:vAlign w:val="top"/>
          </w:tcPr>
          <w:p w14:paraId="35E86C7F">
            <w:pPr>
              <w:pStyle w:val="9"/>
              <w:spacing w:before="71" w:line="221" w:lineRule="auto"/>
              <w:ind w:left="189"/>
            </w:pPr>
            <w:r>
              <w:rPr>
                <w:spacing w:val="-1"/>
              </w:rPr>
              <w:t>达到设计要求</w:t>
            </w:r>
          </w:p>
          <w:p w14:paraId="324CC254">
            <w:pPr>
              <w:pStyle w:val="9"/>
              <w:spacing w:before="96" w:line="220" w:lineRule="auto"/>
              <w:ind w:left="194"/>
            </w:pPr>
            <w:r>
              <w:rPr>
                <w:spacing w:val="-2"/>
              </w:rPr>
              <w:t>范围的符合率</w:t>
            </w:r>
          </w:p>
          <w:p w14:paraId="4DD67C66">
            <w:pPr>
              <w:pStyle w:val="9"/>
              <w:spacing w:before="97"/>
              <w:ind w:left="680"/>
            </w:pPr>
            <w:r>
              <w:t>%</w:t>
            </w:r>
          </w:p>
        </w:tc>
        <w:tc>
          <w:tcPr>
            <w:tcW w:w="1449" w:type="dxa"/>
            <w:tcBorders>
              <w:top w:val="single" w:color="000000" w:sz="6" w:space="0"/>
              <w:bottom w:val="single" w:color="000000" w:sz="6" w:space="0"/>
            </w:tcBorders>
            <w:vAlign w:val="top"/>
          </w:tcPr>
          <w:p w14:paraId="52BE1FFC">
            <w:pPr>
              <w:pStyle w:val="9"/>
              <w:spacing w:before="227" w:line="220" w:lineRule="auto"/>
              <w:ind w:left="285"/>
            </w:pPr>
            <w:r>
              <w:rPr>
                <w:spacing w:val="-2"/>
              </w:rPr>
              <w:t>不合格料率</w:t>
            </w:r>
          </w:p>
          <w:p w14:paraId="572A6A00">
            <w:pPr>
              <w:pStyle w:val="9"/>
              <w:spacing w:before="97"/>
              <w:ind w:left="682"/>
            </w:pPr>
            <w:r>
              <w:t>%</w:t>
            </w:r>
          </w:p>
        </w:tc>
        <w:tc>
          <w:tcPr>
            <w:tcW w:w="2086" w:type="dxa"/>
            <w:tcBorders>
              <w:top w:val="single" w:color="000000" w:sz="6" w:space="0"/>
              <w:bottom w:val="single" w:color="000000" w:sz="6" w:space="0"/>
              <w:right w:val="single" w:color="000000" w:sz="6" w:space="0"/>
            </w:tcBorders>
            <w:vAlign w:val="top"/>
          </w:tcPr>
          <w:p w14:paraId="4DFC81B2">
            <w:pPr>
              <w:spacing w:line="323" w:lineRule="auto"/>
              <w:rPr>
                <w:rFonts w:ascii="Arial"/>
                <w:sz w:val="21"/>
              </w:rPr>
            </w:pPr>
          </w:p>
          <w:p w14:paraId="0BF970EE">
            <w:pPr>
              <w:pStyle w:val="9"/>
              <w:spacing w:before="58" w:line="220" w:lineRule="auto"/>
              <w:ind w:left="511"/>
            </w:pPr>
            <w:r>
              <w:rPr>
                <w:spacing w:val="-2"/>
              </w:rPr>
              <w:t>不合格料标准</w:t>
            </w:r>
          </w:p>
        </w:tc>
      </w:tr>
      <w:tr w14:paraId="594AD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598" w:type="dxa"/>
            <w:vMerge w:val="restart"/>
            <w:tcBorders>
              <w:top w:val="single" w:color="000000" w:sz="6" w:space="0"/>
              <w:left w:val="single" w:color="000000" w:sz="6" w:space="0"/>
              <w:bottom w:val="nil"/>
            </w:tcBorders>
            <w:vAlign w:val="top"/>
          </w:tcPr>
          <w:p w14:paraId="067BDCFF">
            <w:pPr>
              <w:spacing w:line="246" w:lineRule="auto"/>
              <w:rPr>
                <w:rFonts w:ascii="Arial"/>
                <w:sz w:val="21"/>
              </w:rPr>
            </w:pPr>
          </w:p>
          <w:p w14:paraId="4D444278">
            <w:pPr>
              <w:spacing w:line="246" w:lineRule="auto"/>
              <w:rPr>
                <w:rFonts w:ascii="Arial"/>
                <w:sz w:val="21"/>
              </w:rPr>
            </w:pPr>
          </w:p>
          <w:p w14:paraId="195D01E7">
            <w:pPr>
              <w:spacing w:line="246" w:lineRule="auto"/>
              <w:rPr>
                <w:rFonts w:ascii="Arial"/>
                <w:sz w:val="21"/>
              </w:rPr>
            </w:pPr>
          </w:p>
          <w:p w14:paraId="0B052E02">
            <w:pPr>
              <w:spacing w:line="246" w:lineRule="auto"/>
              <w:rPr>
                <w:rFonts w:ascii="Arial"/>
                <w:sz w:val="21"/>
              </w:rPr>
            </w:pPr>
          </w:p>
          <w:p w14:paraId="13A71F30">
            <w:pPr>
              <w:pStyle w:val="9"/>
              <w:spacing w:before="59" w:line="242" w:lineRule="auto"/>
              <w:ind w:left="264"/>
            </w:pPr>
            <w:r>
              <w:t>1</w:t>
            </w:r>
          </w:p>
        </w:tc>
        <w:tc>
          <w:tcPr>
            <w:tcW w:w="2358" w:type="dxa"/>
            <w:gridSpan w:val="3"/>
            <w:vMerge w:val="restart"/>
            <w:tcBorders>
              <w:top w:val="single" w:color="000000" w:sz="6" w:space="0"/>
              <w:bottom w:val="nil"/>
            </w:tcBorders>
            <w:vAlign w:val="top"/>
          </w:tcPr>
          <w:p w14:paraId="4E7F0C75">
            <w:pPr>
              <w:spacing w:line="246" w:lineRule="auto"/>
              <w:rPr>
                <w:rFonts w:ascii="Arial"/>
                <w:sz w:val="21"/>
              </w:rPr>
            </w:pPr>
          </w:p>
          <w:p w14:paraId="1AAE1A8A">
            <w:pPr>
              <w:spacing w:line="246" w:lineRule="auto"/>
              <w:rPr>
                <w:rFonts w:ascii="Arial"/>
                <w:sz w:val="21"/>
              </w:rPr>
            </w:pPr>
          </w:p>
          <w:p w14:paraId="612AF445">
            <w:pPr>
              <w:spacing w:line="246" w:lineRule="auto"/>
              <w:rPr>
                <w:rFonts w:ascii="Arial"/>
                <w:sz w:val="21"/>
              </w:rPr>
            </w:pPr>
          </w:p>
          <w:p w14:paraId="77556A9B">
            <w:pPr>
              <w:spacing w:line="246" w:lineRule="auto"/>
              <w:rPr>
                <w:rFonts w:ascii="Arial"/>
                <w:sz w:val="21"/>
              </w:rPr>
            </w:pPr>
          </w:p>
          <w:p w14:paraId="5988770D">
            <w:pPr>
              <w:pStyle w:val="9"/>
              <w:spacing w:before="59" w:line="221" w:lineRule="auto"/>
              <w:ind w:left="907"/>
            </w:pPr>
            <w:r>
              <w:rPr>
                <w:spacing w:val="-2"/>
              </w:rPr>
              <w:t>坍落度</w:t>
            </w:r>
          </w:p>
        </w:tc>
        <w:tc>
          <w:tcPr>
            <w:tcW w:w="1633" w:type="dxa"/>
            <w:tcBorders>
              <w:top w:val="single" w:color="000000" w:sz="6" w:space="0"/>
            </w:tcBorders>
            <w:vAlign w:val="top"/>
          </w:tcPr>
          <w:p w14:paraId="20DBFA52">
            <w:pPr>
              <w:pStyle w:val="9"/>
              <w:spacing w:before="128"/>
              <w:ind w:left="372"/>
            </w:pPr>
            <w:r>
              <w:rPr>
                <w:spacing w:val="-2"/>
              </w:rPr>
              <w:t>30mm～50mm</w:t>
            </w:r>
          </w:p>
        </w:tc>
        <w:tc>
          <w:tcPr>
            <w:tcW w:w="1451" w:type="dxa"/>
            <w:tcBorders>
              <w:top w:val="single" w:color="000000" w:sz="6" w:space="0"/>
            </w:tcBorders>
            <w:vAlign w:val="top"/>
          </w:tcPr>
          <w:p w14:paraId="1E83AC64">
            <w:pPr>
              <w:pStyle w:val="9"/>
              <w:spacing w:before="128"/>
              <w:ind w:left="566"/>
            </w:pPr>
            <w:r>
              <w:rPr>
                <w:spacing w:val="18"/>
              </w:rPr>
              <w:t>&gt;85</w:t>
            </w:r>
          </w:p>
        </w:tc>
        <w:tc>
          <w:tcPr>
            <w:tcW w:w="1449" w:type="dxa"/>
            <w:tcBorders>
              <w:top w:val="single" w:color="000000" w:sz="6" w:space="0"/>
            </w:tcBorders>
            <w:vAlign w:val="top"/>
          </w:tcPr>
          <w:p w14:paraId="27F384B7">
            <w:pPr>
              <w:pStyle w:val="9"/>
              <w:spacing w:before="128"/>
              <w:ind w:left="611"/>
            </w:pPr>
            <w:r>
              <w:rPr>
                <w:spacing w:val="21"/>
                <w:w w:val="109"/>
              </w:rPr>
              <w:t>&lt;5</w:t>
            </w:r>
          </w:p>
        </w:tc>
        <w:tc>
          <w:tcPr>
            <w:tcW w:w="2086" w:type="dxa"/>
            <w:tcBorders>
              <w:top w:val="single" w:color="000000" w:sz="6" w:space="0"/>
              <w:right w:val="single" w:color="000000" w:sz="6" w:space="0"/>
            </w:tcBorders>
            <w:vAlign w:val="top"/>
          </w:tcPr>
          <w:p w14:paraId="008802A9">
            <w:pPr>
              <w:pStyle w:val="9"/>
              <w:spacing w:before="127" w:line="232" w:lineRule="auto"/>
              <w:ind w:left="431"/>
            </w:pPr>
            <w:r>
              <w:rPr>
                <w:spacing w:val="9"/>
              </w:rPr>
              <w:t>&lt;10</w:t>
            </w:r>
            <w:r>
              <w:t>mm</w:t>
            </w:r>
            <w:r>
              <w:rPr>
                <w:spacing w:val="11"/>
              </w:rPr>
              <w:t>，＞</w:t>
            </w:r>
            <w:r>
              <w:rPr>
                <w:spacing w:val="9"/>
              </w:rPr>
              <w:t>60</w:t>
            </w:r>
            <w:r>
              <w:t>mm</w:t>
            </w:r>
          </w:p>
        </w:tc>
      </w:tr>
      <w:tr w14:paraId="3DE2E8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598" w:type="dxa"/>
            <w:vMerge w:val="continue"/>
            <w:tcBorders>
              <w:top w:val="nil"/>
              <w:left w:val="single" w:color="000000" w:sz="6" w:space="0"/>
              <w:bottom w:val="nil"/>
            </w:tcBorders>
            <w:vAlign w:val="top"/>
          </w:tcPr>
          <w:p w14:paraId="5B9B16DE">
            <w:pPr>
              <w:rPr>
                <w:rFonts w:ascii="Arial"/>
                <w:sz w:val="21"/>
              </w:rPr>
            </w:pPr>
          </w:p>
        </w:tc>
        <w:tc>
          <w:tcPr>
            <w:tcW w:w="2358" w:type="dxa"/>
            <w:gridSpan w:val="3"/>
            <w:vMerge w:val="continue"/>
            <w:tcBorders>
              <w:top w:val="nil"/>
              <w:bottom w:val="nil"/>
            </w:tcBorders>
            <w:vAlign w:val="top"/>
          </w:tcPr>
          <w:p w14:paraId="7738BC2D">
            <w:pPr>
              <w:rPr>
                <w:rFonts w:ascii="Arial"/>
                <w:sz w:val="21"/>
              </w:rPr>
            </w:pPr>
          </w:p>
        </w:tc>
        <w:tc>
          <w:tcPr>
            <w:tcW w:w="1633" w:type="dxa"/>
            <w:vAlign w:val="top"/>
          </w:tcPr>
          <w:p w14:paraId="5F838125">
            <w:pPr>
              <w:pStyle w:val="9"/>
              <w:spacing w:before="133"/>
              <w:ind w:left="372"/>
            </w:pPr>
            <w:r>
              <w:rPr>
                <w:spacing w:val="-2"/>
              </w:rPr>
              <w:t>50mm～70mm</w:t>
            </w:r>
          </w:p>
        </w:tc>
        <w:tc>
          <w:tcPr>
            <w:tcW w:w="1451" w:type="dxa"/>
            <w:vAlign w:val="top"/>
          </w:tcPr>
          <w:p w14:paraId="457D5091">
            <w:pPr>
              <w:pStyle w:val="9"/>
              <w:spacing w:before="133"/>
              <w:ind w:left="566"/>
            </w:pPr>
            <w:r>
              <w:rPr>
                <w:spacing w:val="18"/>
              </w:rPr>
              <w:t>&gt;85</w:t>
            </w:r>
          </w:p>
        </w:tc>
        <w:tc>
          <w:tcPr>
            <w:tcW w:w="1449" w:type="dxa"/>
            <w:vAlign w:val="top"/>
          </w:tcPr>
          <w:p w14:paraId="6B20E7B9">
            <w:pPr>
              <w:pStyle w:val="9"/>
              <w:spacing w:before="133"/>
              <w:ind w:left="611"/>
            </w:pPr>
            <w:r>
              <w:rPr>
                <w:spacing w:val="21"/>
                <w:w w:val="109"/>
              </w:rPr>
              <w:t>&lt;5</w:t>
            </w:r>
          </w:p>
        </w:tc>
        <w:tc>
          <w:tcPr>
            <w:tcW w:w="2086" w:type="dxa"/>
            <w:tcBorders>
              <w:right w:val="single" w:color="000000" w:sz="6" w:space="0"/>
            </w:tcBorders>
            <w:vAlign w:val="top"/>
          </w:tcPr>
          <w:p w14:paraId="38699BB2">
            <w:pPr>
              <w:pStyle w:val="9"/>
              <w:spacing w:before="132" w:line="232" w:lineRule="auto"/>
              <w:ind w:left="431"/>
            </w:pPr>
            <w:r>
              <w:rPr>
                <w:spacing w:val="9"/>
              </w:rPr>
              <w:t>&lt;30</w:t>
            </w:r>
            <w:r>
              <w:t>mm</w:t>
            </w:r>
            <w:r>
              <w:rPr>
                <w:spacing w:val="11"/>
              </w:rPr>
              <w:t>，＞</w:t>
            </w:r>
            <w:r>
              <w:rPr>
                <w:spacing w:val="9"/>
              </w:rPr>
              <w:t>90</w:t>
            </w:r>
            <w:r>
              <w:t>mm</w:t>
            </w:r>
          </w:p>
        </w:tc>
      </w:tr>
      <w:tr w14:paraId="56A3E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98" w:type="dxa"/>
            <w:vMerge w:val="continue"/>
            <w:tcBorders>
              <w:top w:val="nil"/>
              <w:left w:val="single" w:color="000000" w:sz="6" w:space="0"/>
              <w:bottom w:val="nil"/>
            </w:tcBorders>
            <w:vAlign w:val="top"/>
          </w:tcPr>
          <w:p w14:paraId="15B37546">
            <w:pPr>
              <w:rPr>
                <w:rFonts w:ascii="Arial"/>
                <w:sz w:val="21"/>
              </w:rPr>
            </w:pPr>
          </w:p>
        </w:tc>
        <w:tc>
          <w:tcPr>
            <w:tcW w:w="2358" w:type="dxa"/>
            <w:gridSpan w:val="3"/>
            <w:vMerge w:val="continue"/>
            <w:tcBorders>
              <w:top w:val="nil"/>
              <w:bottom w:val="nil"/>
            </w:tcBorders>
            <w:vAlign w:val="top"/>
          </w:tcPr>
          <w:p w14:paraId="31799E8E">
            <w:pPr>
              <w:rPr>
                <w:rFonts w:ascii="Arial"/>
                <w:sz w:val="21"/>
              </w:rPr>
            </w:pPr>
          </w:p>
        </w:tc>
        <w:tc>
          <w:tcPr>
            <w:tcW w:w="1633" w:type="dxa"/>
            <w:vAlign w:val="top"/>
          </w:tcPr>
          <w:p w14:paraId="19F4D3CC">
            <w:pPr>
              <w:pStyle w:val="9"/>
              <w:spacing w:before="144"/>
              <w:ind w:left="372"/>
            </w:pPr>
            <w:r>
              <w:rPr>
                <w:spacing w:val="-2"/>
              </w:rPr>
              <w:t>70mm～90mm</w:t>
            </w:r>
          </w:p>
        </w:tc>
        <w:tc>
          <w:tcPr>
            <w:tcW w:w="1451" w:type="dxa"/>
            <w:vAlign w:val="top"/>
          </w:tcPr>
          <w:p w14:paraId="42A63593">
            <w:pPr>
              <w:pStyle w:val="9"/>
              <w:spacing w:before="144"/>
              <w:ind w:left="566"/>
            </w:pPr>
            <w:r>
              <w:rPr>
                <w:spacing w:val="18"/>
              </w:rPr>
              <w:t>&gt;85</w:t>
            </w:r>
          </w:p>
        </w:tc>
        <w:tc>
          <w:tcPr>
            <w:tcW w:w="1449" w:type="dxa"/>
            <w:vAlign w:val="top"/>
          </w:tcPr>
          <w:p w14:paraId="371B0B33">
            <w:pPr>
              <w:pStyle w:val="9"/>
              <w:spacing w:before="144"/>
              <w:ind w:left="611"/>
            </w:pPr>
            <w:r>
              <w:rPr>
                <w:spacing w:val="21"/>
                <w:w w:val="109"/>
              </w:rPr>
              <w:t>&lt;5</w:t>
            </w:r>
          </w:p>
        </w:tc>
        <w:tc>
          <w:tcPr>
            <w:tcW w:w="2086" w:type="dxa"/>
            <w:tcBorders>
              <w:right w:val="single" w:color="000000" w:sz="6" w:space="0"/>
            </w:tcBorders>
            <w:vAlign w:val="top"/>
          </w:tcPr>
          <w:p w14:paraId="5FC5A829">
            <w:pPr>
              <w:pStyle w:val="9"/>
              <w:spacing w:before="143" w:line="232" w:lineRule="auto"/>
              <w:ind w:left="386"/>
            </w:pPr>
            <w:r>
              <w:rPr>
                <w:spacing w:val="8"/>
              </w:rPr>
              <w:t>&lt;50</w:t>
            </w:r>
            <w:r>
              <w:t>mm</w:t>
            </w:r>
            <w:r>
              <w:rPr>
                <w:spacing w:val="9"/>
              </w:rPr>
              <w:t>，＞</w:t>
            </w:r>
            <w:r>
              <w:rPr>
                <w:spacing w:val="8"/>
              </w:rPr>
              <w:t>110</w:t>
            </w:r>
            <w:r>
              <w:t>mm</w:t>
            </w:r>
          </w:p>
        </w:tc>
      </w:tr>
      <w:tr w14:paraId="3158F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598" w:type="dxa"/>
            <w:vMerge w:val="continue"/>
            <w:tcBorders>
              <w:top w:val="nil"/>
              <w:left w:val="single" w:color="000000" w:sz="6" w:space="0"/>
              <w:bottom w:val="nil"/>
            </w:tcBorders>
            <w:vAlign w:val="top"/>
          </w:tcPr>
          <w:p w14:paraId="746C264F">
            <w:pPr>
              <w:rPr>
                <w:rFonts w:ascii="Arial"/>
                <w:sz w:val="21"/>
              </w:rPr>
            </w:pPr>
          </w:p>
        </w:tc>
        <w:tc>
          <w:tcPr>
            <w:tcW w:w="2358" w:type="dxa"/>
            <w:gridSpan w:val="3"/>
            <w:vMerge w:val="continue"/>
            <w:tcBorders>
              <w:top w:val="nil"/>
              <w:bottom w:val="nil"/>
            </w:tcBorders>
            <w:vAlign w:val="top"/>
          </w:tcPr>
          <w:p w14:paraId="6D3DB4EF">
            <w:pPr>
              <w:rPr>
                <w:rFonts w:ascii="Arial"/>
                <w:sz w:val="21"/>
              </w:rPr>
            </w:pPr>
          </w:p>
        </w:tc>
        <w:tc>
          <w:tcPr>
            <w:tcW w:w="1633" w:type="dxa"/>
            <w:vAlign w:val="top"/>
          </w:tcPr>
          <w:p w14:paraId="4FD850FE">
            <w:pPr>
              <w:pStyle w:val="9"/>
              <w:spacing w:before="142"/>
              <w:ind w:left="291"/>
            </w:pPr>
            <w:r>
              <w:rPr>
                <w:spacing w:val="-2"/>
              </w:rPr>
              <w:t>140mm～160mm</w:t>
            </w:r>
          </w:p>
        </w:tc>
        <w:tc>
          <w:tcPr>
            <w:tcW w:w="1451" w:type="dxa"/>
            <w:vAlign w:val="top"/>
          </w:tcPr>
          <w:p w14:paraId="491601D0">
            <w:pPr>
              <w:pStyle w:val="9"/>
              <w:spacing w:before="142"/>
              <w:ind w:left="566"/>
            </w:pPr>
            <w:r>
              <w:rPr>
                <w:spacing w:val="18"/>
              </w:rPr>
              <w:t>&gt;85</w:t>
            </w:r>
          </w:p>
        </w:tc>
        <w:tc>
          <w:tcPr>
            <w:tcW w:w="1449" w:type="dxa"/>
            <w:vAlign w:val="top"/>
          </w:tcPr>
          <w:p w14:paraId="582ACEDF">
            <w:pPr>
              <w:pStyle w:val="9"/>
              <w:spacing w:before="142"/>
              <w:ind w:left="611"/>
            </w:pPr>
            <w:r>
              <w:rPr>
                <w:spacing w:val="21"/>
                <w:w w:val="109"/>
              </w:rPr>
              <w:t>&lt;5</w:t>
            </w:r>
          </w:p>
        </w:tc>
        <w:tc>
          <w:tcPr>
            <w:tcW w:w="2086" w:type="dxa"/>
            <w:tcBorders>
              <w:right w:val="single" w:color="000000" w:sz="6" w:space="0"/>
            </w:tcBorders>
            <w:vAlign w:val="top"/>
          </w:tcPr>
          <w:p w14:paraId="4321890D">
            <w:pPr>
              <w:pStyle w:val="9"/>
              <w:spacing w:before="141" w:line="232" w:lineRule="auto"/>
              <w:ind w:left="341"/>
            </w:pPr>
            <w:r>
              <w:rPr>
                <w:spacing w:val="7"/>
              </w:rPr>
              <w:t>&lt;110</w:t>
            </w:r>
            <w:r>
              <w:t>mm</w:t>
            </w:r>
            <w:r>
              <w:rPr>
                <w:spacing w:val="9"/>
              </w:rPr>
              <w:t>，＞</w:t>
            </w:r>
            <w:r>
              <w:rPr>
                <w:spacing w:val="7"/>
              </w:rPr>
              <w:t>190</w:t>
            </w:r>
            <w:r>
              <w:t>mm</w:t>
            </w:r>
          </w:p>
        </w:tc>
      </w:tr>
      <w:tr w14:paraId="7F073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598" w:type="dxa"/>
            <w:vMerge w:val="continue"/>
            <w:tcBorders>
              <w:top w:val="nil"/>
              <w:left w:val="single" w:color="000000" w:sz="6" w:space="0"/>
            </w:tcBorders>
            <w:vAlign w:val="top"/>
          </w:tcPr>
          <w:p w14:paraId="537B84C6">
            <w:pPr>
              <w:rPr>
                <w:rFonts w:ascii="Arial"/>
                <w:sz w:val="21"/>
              </w:rPr>
            </w:pPr>
          </w:p>
        </w:tc>
        <w:tc>
          <w:tcPr>
            <w:tcW w:w="2358" w:type="dxa"/>
            <w:gridSpan w:val="3"/>
            <w:vMerge w:val="continue"/>
            <w:tcBorders>
              <w:top w:val="nil"/>
            </w:tcBorders>
            <w:vAlign w:val="top"/>
          </w:tcPr>
          <w:p w14:paraId="5591523E">
            <w:pPr>
              <w:rPr>
                <w:rFonts w:ascii="Arial"/>
                <w:sz w:val="21"/>
              </w:rPr>
            </w:pPr>
          </w:p>
        </w:tc>
        <w:tc>
          <w:tcPr>
            <w:tcW w:w="1633" w:type="dxa"/>
            <w:vAlign w:val="top"/>
          </w:tcPr>
          <w:p w14:paraId="0CE091EA">
            <w:pPr>
              <w:pStyle w:val="9"/>
              <w:spacing w:before="146"/>
              <w:ind w:left="291"/>
            </w:pPr>
            <w:r>
              <w:rPr>
                <w:spacing w:val="-2"/>
              </w:rPr>
              <w:t>160mm～180mm</w:t>
            </w:r>
          </w:p>
        </w:tc>
        <w:tc>
          <w:tcPr>
            <w:tcW w:w="1451" w:type="dxa"/>
            <w:vAlign w:val="top"/>
          </w:tcPr>
          <w:p w14:paraId="14243B2F">
            <w:pPr>
              <w:pStyle w:val="9"/>
              <w:spacing w:before="146"/>
              <w:ind w:left="566"/>
            </w:pPr>
            <w:r>
              <w:rPr>
                <w:spacing w:val="18"/>
              </w:rPr>
              <w:t>&gt;85</w:t>
            </w:r>
          </w:p>
        </w:tc>
        <w:tc>
          <w:tcPr>
            <w:tcW w:w="1449" w:type="dxa"/>
            <w:vAlign w:val="top"/>
          </w:tcPr>
          <w:p w14:paraId="42E17B29">
            <w:pPr>
              <w:pStyle w:val="9"/>
              <w:spacing w:before="146"/>
              <w:ind w:left="611"/>
            </w:pPr>
            <w:r>
              <w:rPr>
                <w:spacing w:val="21"/>
                <w:w w:val="109"/>
              </w:rPr>
              <w:t>&lt;5</w:t>
            </w:r>
          </w:p>
        </w:tc>
        <w:tc>
          <w:tcPr>
            <w:tcW w:w="2086" w:type="dxa"/>
            <w:tcBorders>
              <w:right w:val="single" w:color="000000" w:sz="6" w:space="0"/>
            </w:tcBorders>
            <w:vAlign w:val="top"/>
          </w:tcPr>
          <w:p w14:paraId="470B82F4">
            <w:pPr>
              <w:pStyle w:val="9"/>
              <w:spacing w:before="146" w:line="232" w:lineRule="auto"/>
              <w:ind w:left="341"/>
            </w:pPr>
            <w:r>
              <w:rPr>
                <w:spacing w:val="7"/>
              </w:rPr>
              <w:t>&lt;130</w:t>
            </w:r>
            <w:r>
              <w:t>mm</w:t>
            </w:r>
            <w:r>
              <w:rPr>
                <w:spacing w:val="9"/>
              </w:rPr>
              <w:t>，＞</w:t>
            </w:r>
            <w:r>
              <w:rPr>
                <w:spacing w:val="7"/>
              </w:rPr>
              <w:t>210</w:t>
            </w:r>
            <w:r>
              <w:t>mm</w:t>
            </w:r>
          </w:p>
        </w:tc>
      </w:tr>
      <w:tr w14:paraId="11174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598" w:type="dxa"/>
            <w:vMerge w:val="restart"/>
            <w:tcBorders>
              <w:left w:val="single" w:color="000000" w:sz="6" w:space="0"/>
              <w:bottom w:val="nil"/>
            </w:tcBorders>
            <w:vAlign w:val="top"/>
          </w:tcPr>
          <w:p w14:paraId="06CB14B3">
            <w:pPr>
              <w:spacing w:line="268" w:lineRule="auto"/>
              <w:rPr>
                <w:rFonts w:ascii="Arial"/>
                <w:sz w:val="21"/>
              </w:rPr>
            </w:pPr>
          </w:p>
          <w:p w14:paraId="5569304C">
            <w:pPr>
              <w:spacing w:line="269" w:lineRule="auto"/>
              <w:rPr>
                <w:rFonts w:ascii="Arial"/>
                <w:sz w:val="21"/>
              </w:rPr>
            </w:pPr>
          </w:p>
          <w:p w14:paraId="2BA6DEF7">
            <w:pPr>
              <w:pStyle w:val="9"/>
              <w:spacing w:before="59" w:line="242" w:lineRule="auto"/>
              <w:ind w:left="253"/>
            </w:pPr>
            <w:r>
              <w:t>2</w:t>
            </w:r>
          </w:p>
        </w:tc>
        <w:tc>
          <w:tcPr>
            <w:tcW w:w="2358" w:type="dxa"/>
            <w:gridSpan w:val="3"/>
            <w:vMerge w:val="restart"/>
            <w:tcBorders>
              <w:bottom w:val="nil"/>
            </w:tcBorders>
            <w:vAlign w:val="top"/>
          </w:tcPr>
          <w:p w14:paraId="0E64FD48">
            <w:pPr>
              <w:spacing w:line="269" w:lineRule="auto"/>
              <w:rPr>
                <w:rFonts w:ascii="Arial"/>
                <w:sz w:val="21"/>
              </w:rPr>
            </w:pPr>
          </w:p>
          <w:p w14:paraId="042D28EF">
            <w:pPr>
              <w:spacing w:line="269" w:lineRule="auto"/>
              <w:rPr>
                <w:rFonts w:ascii="Arial"/>
                <w:sz w:val="21"/>
              </w:rPr>
            </w:pPr>
          </w:p>
          <w:p w14:paraId="02BBD3F4">
            <w:pPr>
              <w:pStyle w:val="9"/>
              <w:spacing w:before="58" w:line="220" w:lineRule="auto"/>
              <w:ind w:left="908"/>
            </w:pPr>
            <w:r>
              <w:rPr>
                <w:spacing w:val="-2"/>
              </w:rPr>
              <w:t>含气量</w:t>
            </w:r>
          </w:p>
        </w:tc>
        <w:tc>
          <w:tcPr>
            <w:tcW w:w="1633" w:type="dxa"/>
            <w:vAlign w:val="top"/>
          </w:tcPr>
          <w:p w14:paraId="01AEBC3D">
            <w:pPr>
              <w:pStyle w:val="9"/>
              <w:spacing w:before="150"/>
              <w:ind w:left="552"/>
            </w:pPr>
            <w:r>
              <w:rPr>
                <w:spacing w:val="-2"/>
              </w:rPr>
              <w:t>5%～6%</w:t>
            </w:r>
          </w:p>
        </w:tc>
        <w:tc>
          <w:tcPr>
            <w:tcW w:w="1451" w:type="dxa"/>
            <w:vAlign w:val="top"/>
          </w:tcPr>
          <w:p w14:paraId="4FAFE8AB">
            <w:pPr>
              <w:pStyle w:val="9"/>
              <w:spacing w:before="150"/>
              <w:ind w:left="566"/>
            </w:pPr>
            <w:r>
              <w:rPr>
                <w:spacing w:val="18"/>
              </w:rPr>
              <w:t>&gt;85</w:t>
            </w:r>
          </w:p>
        </w:tc>
        <w:tc>
          <w:tcPr>
            <w:tcW w:w="1449" w:type="dxa"/>
            <w:vAlign w:val="top"/>
          </w:tcPr>
          <w:p w14:paraId="7D94C01C">
            <w:pPr>
              <w:pStyle w:val="9"/>
              <w:spacing w:before="149" w:line="225" w:lineRule="auto"/>
              <w:ind w:left="687"/>
            </w:pPr>
            <w:r>
              <w:t>/</w:t>
            </w:r>
          </w:p>
        </w:tc>
        <w:tc>
          <w:tcPr>
            <w:tcW w:w="2086" w:type="dxa"/>
            <w:tcBorders>
              <w:right w:val="single" w:color="000000" w:sz="6" w:space="0"/>
            </w:tcBorders>
            <w:vAlign w:val="top"/>
          </w:tcPr>
          <w:p w14:paraId="5BCB8EDB">
            <w:pPr>
              <w:pStyle w:val="9"/>
              <w:spacing w:before="149" w:line="232" w:lineRule="auto"/>
              <w:ind w:left="611"/>
            </w:pPr>
            <w:r>
              <w:rPr>
                <w:spacing w:val="7"/>
              </w:rPr>
              <w:t>&lt;4%</w:t>
            </w:r>
            <w:r>
              <w:rPr>
                <w:spacing w:val="14"/>
              </w:rPr>
              <w:t>，＞</w:t>
            </w:r>
            <w:r>
              <w:rPr>
                <w:spacing w:val="7"/>
              </w:rPr>
              <w:t>7%</w:t>
            </w:r>
          </w:p>
        </w:tc>
      </w:tr>
      <w:tr w14:paraId="6FEFD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98" w:type="dxa"/>
            <w:vMerge w:val="continue"/>
            <w:tcBorders>
              <w:top w:val="nil"/>
              <w:left w:val="single" w:color="000000" w:sz="6" w:space="0"/>
              <w:bottom w:val="nil"/>
            </w:tcBorders>
            <w:vAlign w:val="top"/>
          </w:tcPr>
          <w:p w14:paraId="1083C57E">
            <w:pPr>
              <w:rPr>
                <w:rFonts w:ascii="Arial"/>
                <w:sz w:val="21"/>
              </w:rPr>
            </w:pPr>
          </w:p>
        </w:tc>
        <w:tc>
          <w:tcPr>
            <w:tcW w:w="2358" w:type="dxa"/>
            <w:gridSpan w:val="3"/>
            <w:vMerge w:val="continue"/>
            <w:tcBorders>
              <w:top w:val="nil"/>
              <w:bottom w:val="nil"/>
            </w:tcBorders>
            <w:vAlign w:val="top"/>
          </w:tcPr>
          <w:p w14:paraId="32FBF545">
            <w:pPr>
              <w:rPr>
                <w:rFonts w:ascii="Arial"/>
                <w:sz w:val="21"/>
              </w:rPr>
            </w:pPr>
          </w:p>
        </w:tc>
        <w:tc>
          <w:tcPr>
            <w:tcW w:w="1633" w:type="dxa"/>
            <w:vAlign w:val="top"/>
          </w:tcPr>
          <w:p w14:paraId="47B0E380">
            <w:pPr>
              <w:pStyle w:val="9"/>
              <w:spacing w:before="138"/>
              <w:ind w:left="547"/>
            </w:pPr>
            <w:r>
              <w:rPr>
                <w:spacing w:val="-2"/>
              </w:rPr>
              <w:t>4%～6%</w:t>
            </w:r>
          </w:p>
        </w:tc>
        <w:tc>
          <w:tcPr>
            <w:tcW w:w="1451" w:type="dxa"/>
            <w:vAlign w:val="top"/>
          </w:tcPr>
          <w:p w14:paraId="62DBF78A">
            <w:pPr>
              <w:pStyle w:val="9"/>
              <w:spacing w:before="138"/>
              <w:ind w:left="566"/>
            </w:pPr>
            <w:r>
              <w:rPr>
                <w:spacing w:val="18"/>
              </w:rPr>
              <w:t>&gt;85</w:t>
            </w:r>
          </w:p>
        </w:tc>
        <w:tc>
          <w:tcPr>
            <w:tcW w:w="1449" w:type="dxa"/>
            <w:vAlign w:val="top"/>
          </w:tcPr>
          <w:p w14:paraId="5F4CE9C1">
            <w:pPr>
              <w:pStyle w:val="9"/>
              <w:spacing w:before="138" w:line="225" w:lineRule="auto"/>
              <w:ind w:left="687"/>
            </w:pPr>
            <w:r>
              <w:t>/</w:t>
            </w:r>
          </w:p>
        </w:tc>
        <w:tc>
          <w:tcPr>
            <w:tcW w:w="2086" w:type="dxa"/>
            <w:tcBorders>
              <w:right w:val="single" w:color="000000" w:sz="6" w:space="0"/>
            </w:tcBorders>
            <w:vAlign w:val="top"/>
          </w:tcPr>
          <w:p w14:paraId="04B4A4F1">
            <w:pPr>
              <w:pStyle w:val="9"/>
              <w:spacing w:before="137" w:line="232" w:lineRule="auto"/>
              <w:ind w:left="611"/>
            </w:pPr>
            <w:r>
              <w:rPr>
                <w:spacing w:val="7"/>
              </w:rPr>
              <w:t>&lt;3%</w:t>
            </w:r>
            <w:r>
              <w:rPr>
                <w:spacing w:val="14"/>
              </w:rPr>
              <w:t>，＞</w:t>
            </w:r>
            <w:r>
              <w:rPr>
                <w:spacing w:val="7"/>
              </w:rPr>
              <w:t>7%</w:t>
            </w:r>
          </w:p>
        </w:tc>
      </w:tr>
      <w:tr w14:paraId="0FB5A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598" w:type="dxa"/>
            <w:vMerge w:val="continue"/>
            <w:tcBorders>
              <w:top w:val="nil"/>
              <w:left w:val="single" w:color="000000" w:sz="6" w:space="0"/>
            </w:tcBorders>
            <w:vAlign w:val="top"/>
          </w:tcPr>
          <w:p w14:paraId="202FE5BA">
            <w:pPr>
              <w:rPr>
                <w:rFonts w:ascii="Arial"/>
                <w:sz w:val="21"/>
              </w:rPr>
            </w:pPr>
          </w:p>
        </w:tc>
        <w:tc>
          <w:tcPr>
            <w:tcW w:w="2358" w:type="dxa"/>
            <w:gridSpan w:val="3"/>
            <w:vMerge w:val="continue"/>
            <w:tcBorders>
              <w:top w:val="nil"/>
            </w:tcBorders>
            <w:vAlign w:val="top"/>
          </w:tcPr>
          <w:p w14:paraId="2F6EA8A3">
            <w:pPr>
              <w:rPr>
                <w:rFonts w:ascii="Arial"/>
                <w:sz w:val="21"/>
              </w:rPr>
            </w:pPr>
          </w:p>
        </w:tc>
        <w:tc>
          <w:tcPr>
            <w:tcW w:w="1633" w:type="dxa"/>
            <w:vAlign w:val="top"/>
          </w:tcPr>
          <w:p w14:paraId="08F4F68D">
            <w:pPr>
              <w:pStyle w:val="9"/>
              <w:spacing w:before="139"/>
              <w:ind w:left="552"/>
            </w:pPr>
            <w:r>
              <w:rPr>
                <w:spacing w:val="-2"/>
              </w:rPr>
              <w:t>3%～4%</w:t>
            </w:r>
          </w:p>
        </w:tc>
        <w:tc>
          <w:tcPr>
            <w:tcW w:w="1451" w:type="dxa"/>
            <w:vAlign w:val="top"/>
          </w:tcPr>
          <w:p w14:paraId="62F48AAE">
            <w:pPr>
              <w:pStyle w:val="9"/>
              <w:spacing w:before="139"/>
              <w:ind w:left="566"/>
            </w:pPr>
            <w:r>
              <w:rPr>
                <w:spacing w:val="18"/>
              </w:rPr>
              <w:t>&gt;85</w:t>
            </w:r>
          </w:p>
        </w:tc>
        <w:tc>
          <w:tcPr>
            <w:tcW w:w="1449" w:type="dxa"/>
            <w:vAlign w:val="top"/>
          </w:tcPr>
          <w:p w14:paraId="3F2E9569">
            <w:pPr>
              <w:pStyle w:val="9"/>
              <w:spacing w:before="139" w:line="225" w:lineRule="auto"/>
              <w:ind w:left="687"/>
            </w:pPr>
            <w:r>
              <w:t>/</w:t>
            </w:r>
          </w:p>
        </w:tc>
        <w:tc>
          <w:tcPr>
            <w:tcW w:w="2086" w:type="dxa"/>
            <w:tcBorders>
              <w:right w:val="single" w:color="000000" w:sz="6" w:space="0"/>
            </w:tcBorders>
            <w:vAlign w:val="top"/>
          </w:tcPr>
          <w:p w14:paraId="3E7A9E36">
            <w:pPr>
              <w:pStyle w:val="9"/>
              <w:spacing w:before="138" w:line="232" w:lineRule="auto"/>
              <w:ind w:left="611"/>
            </w:pPr>
            <w:r>
              <w:rPr>
                <w:spacing w:val="7"/>
              </w:rPr>
              <w:t>&lt;2%</w:t>
            </w:r>
            <w:r>
              <w:rPr>
                <w:spacing w:val="14"/>
              </w:rPr>
              <w:t>，＞</w:t>
            </w:r>
            <w:r>
              <w:rPr>
                <w:spacing w:val="7"/>
              </w:rPr>
              <w:t>5%</w:t>
            </w:r>
          </w:p>
        </w:tc>
      </w:tr>
      <w:tr w14:paraId="087AF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598" w:type="dxa"/>
            <w:vMerge w:val="restart"/>
            <w:tcBorders>
              <w:left w:val="single" w:color="000000" w:sz="6" w:space="0"/>
              <w:bottom w:val="nil"/>
            </w:tcBorders>
            <w:vAlign w:val="top"/>
          </w:tcPr>
          <w:p w14:paraId="56458ACC">
            <w:pPr>
              <w:spacing w:line="314" w:lineRule="auto"/>
              <w:rPr>
                <w:rFonts w:ascii="Arial"/>
                <w:sz w:val="21"/>
              </w:rPr>
            </w:pPr>
          </w:p>
          <w:p w14:paraId="03AB8AF5">
            <w:pPr>
              <w:spacing w:line="314" w:lineRule="auto"/>
              <w:rPr>
                <w:rFonts w:ascii="Arial"/>
                <w:sz w:val="21"/>
              </w:rPr>
            </w:pPr>
          </w:p>
          <w:p w14:paraId="6AD19837">
            <w:pPr>
              <w:spacing w:line="315" w:lineRule="auto"/>
              <w:rPr>
                <w:rFonts w:ascii="Arial"/>
                <w:sz w:val="21"/>
              </w:rPr>
            </w:pPr>
          </w:p>
          <w:p w14:paraId="4751F5D1">
            <w:pPr>
              <w:pStyle w:val="9"/>
              <w:spacing w:before="59"/>
              <w:ind w:left="254"/>
            </w:pPr>
            <w:r>
              <w:t>3</w:t>
            </w:r>
          </w:p>
        </w:tc>
        <w:tc>
          <w:tcPr>
            <w:tcW w:w="1179" w:type="dxa"/>
            <w:gridSpan w:val="2"/>
            <w:vMerge w:val="restart"/>
            <w:tcBorders>
              <w:bottom w:val="nil"/>
            </w:tcBorders>
            <w:vAlign w:val="top"/>
          </w:tcPr>
          <w:p w14:paraId="6357AC73">
            <w:pPr>
              <w:spacing w:line="262" w:lineRule="auto"/>
              <w:rPr>
                <w:rFonts w:ascii="Arial"/>
                <w:sz w:val="21"/>
              </w:rPr>
            </w:pPr>
          </w:p>
          <w:p w14:paraId="2488E06E">
            <w:pPr>
              <w:spacing w:line="262" w:lineRule="auto"/>
              <w:rPr>
                <w:rFonts w:ascii="Arial"/>
                <w:sz w:val="21"/>
              </w:rPr>
            </w:pPr>
          </w:p>
          <w:p w14:paraId="27BB702F">
            <w:pPr>
              <w:spacing w:line="263" w:lineRule="auto"/>
              <w:rPr>
                <w:rFonts w:ascii="Arial"/>
                <w:sz w:val="21"/>
              </w:rPr>
            </w:pPr>
          </w:p>
          <w:p w14:paraId="4E51F604">
            <w:pPr>
              <w:pStyle w:val="9"/>
              <w:spacing w:before="59" w:line="220" w:lineRule="auto"/>
              <w:ind w:left="153"/>
            </w:pPr>
            <w:r>
              <w:rPr>
                <w:spacing w:val="-4"/>
              </w:rPr>
              <w:t>出机混凝土</w:t>
            </w:r>
          </w:p>
          <w:p w14:paraId="7DBDD2CE">
            <w:pPr>
              <w:pStyle w:val="9"/>
              <w:spacing w:before="97" w:line="221" w:lineRule="auto"/>
              <w:ind w:left="409"/>
            </w:pPr>
            <w:r>
              <w:rPr>
                <w:spacing w:val="-3"/>
              </w:rPr>
              <w:t>温度</w:t>
            </w:r>
          </w:p>
        </w:tc>
        <w:tc>
          <w:tcPr>
            <w:tcW w:w="1179" w:type="dxa"/>
            <w:vMerge w:val="restart"/>
            <w:tcBorders>
              <w:bottom w:val="nil"/>
            </w:tcBorders>
            <w:vAlign w:val="top"/>
          </w:tcPr>
          <w:p w14:paraId="1250FD1F">
            <w:pPr>
              <w:spacing w:line="397" w:lineRule="auto"/>
              <w:rPr>
                <w:rFonts w:ascii="Arial"/>
                <w:sz w:val="21"/>
              </w:rPr>
            </w:pPr>
          </w:p>
          <w:p w14:paraId="2EF96E43">
            <w:pPr>
              <w:pStyle w:val="9"/>
              <w:spacing w:before="58" w:line="222" w:lineRule="auto"/>
              <w:ind w:left="140"/>
            </w:pPr>
            <w:r>
              <w:rPr>
                <w:spacing w:val="-2"/>
              </w:rPr>
              <w:t>三、四级配</w:t>
            </w:r>
          </w:p>
        </w:tc>
        <w:tc>
          <w:tcPr>
            <w:tcW w:w="1633" w:type="dxa"/>
            <w:vAlign w:val="top"/>
          </w:tcPr>
          <w:p w14:paraId="3B681573">
            <w:pPr>
              <w:pStyle w:val="9"/>
              <w:spacing w:before="187" w:line="237" w:lineRule="auto"/>
              <w:ind w:left="605"/>
            </w:pPr>
            <w:r>
              <w:rPr>
                <w:spacing w:val="-4"/>
              </w:rPr>
              <w:t>≤7℃</w:t>
            </w:r>
          </w:p>
        </w:tc>
        <w:tc>
          <w:tcPr>
            <w:tcW w:w="1451" w:type="dxa"/>
            <w:vAlign w:val="top"/>
          </w:tcPr>
          <w:p w14:paraId="20AD7BB5">
            <w:pPr>
              <w:pStyle w:val="9"/>
              <w:spacing w:before="188"/>
              <w:ind w:left="566"/>
            </w:pPr>
            <w:r>
              <w:rPr>
                <w:spacing w:val="19"/>
              </w:rPr>
              <w:t>&gt;90</w:t>
            </w:r>
          </w:p>
        </w:tc>
        <w:tc>
          <w:tcPr>
            <w:tcW w:w="1449" w:type="dxa"/>
            <w:vAlign w:val="top"/>
          </w:tcPr>
          <w:p w14:paraId="469C6EBC">
            <w:pPr>
              <w:pStyle w:val="9"/>
              <w:spacing w:before="188" w:line="225" w:lineRule="auto"/>
              <w:ind w:left="687"/>
            </w:pPr>
            <w:r>
              <w:t>/</w:t>
            </w:r>
          </w:p>
        </w:tc>
        <w:tc>
          <w:tcPr>
            <w:tcW w:w="2086" w:type="dxa"/>
            <w:tcBorders>
              <w:right w:val="single" w:color="000000" w:sz="6" w:space="0"/>
            </w:tcBorders>
            <w:vAlign w:val="top"/>
          </w:tcPr>
          <w:p w14:paraId="55FC2814">
            <w:pPr>
              <w:pStyle w:val="9"/>
              <w:spacing w:before="188" w:line="238" w:lineRule="auto"/>
              <w:ind w:left="839"/>
            </w:pPr>
            <w:r>
              <w:rPr>
                <w:spacing w:val="14"/>
              </w:rPr>
              <w:t>&gt;8℃</w:t>
            </w:r>
          </w:p>
        </w:tc>
      </w:tr>
      <w:tr w14:paraId="5295A1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598" w:type="dxa"/>
            <w:vMerge w:val="continue"/>
            <w:tcBorders>
              <w:top w:val="nil"/>
              <w:left w:val="single" w:color="000000" w:sz="6" w:space="0"/>
              <w:bottom w:val="nil"/>
            </w:tcBorders>
            <w:vAlign w:val="top"/>
          </w:tcPr>
          <w:p w14:paraId="787D6BCC">
            <w:pPr>
              <w:rPr>
                <w:rFonts w:ascii="Arial"/>
                <w:sz w:val="21"/>
              </w:rPr>
            </w:pPr>
          </w:p>
        </w:tc>
        <w:tc>
          <w:tcPr>
            <w:tcW w:w="1179" w:type="dxa"/>
            <w:gridSpan w:val="2"/>
            <w:vMerge w:val="continue"/>
            <w:tcBorders>
              <w:top w:val="nil"/>
              <w:bottom w:val="nil"/>
            </w:tcBorders>
            <w:vAlign w:val="top"/>
          </w:tcPr>
          <w:p w14:paraId="62317E3F">
            <w:pPr>
              <w:rPr>
                <w:rFonts w:ascii="Arial"/>
                <w:sz w:val="21"/>
              </w:rPr>
            </w:pPr>
          </w:p>
        </w:tc>
        <w:tc>
          <w:tcPr>
            <w:tcW w:w="1179" w:type="dxa"/>
            <w:vMerge w:val="continue"/>
            <w:tcBorders>
              <w:top w:val="nil"/>
            </w:tcBorders>
            <w:vAlign w:val="top"/>
          </w:tcPr>
          <w:p w14:paraId="48EEF475">
            <w:pPr>
              <w:rPr>
                <w:rFonts w:ascii="Arial"/>
                <w:sz w:val="21"/>
              </w:rPr>
            </w:pPr>
          </w:p>
        </w:tc>
        <w:tc>
          <w:tcPr>
            <w:tcW w:w="1633" w:type="dxa"/>
            <w:vAlign w:val="top"/>
          </w:tcPr>
          <w:p w14:paraId="41E3AEB0">
            <w:pPr>
              <w:pStyle w:val="9"/>
              <w:spacing w:before="188" w:line="237" w:lineRule="auto"/>
              <w:ind w:left="605"/>
            </w:pPr>
            <w:r>
              <w:rPr>
                <w:spacing w:val="-4"/>
              </w:rPr>
              <w:t>≤9℃</w:t>
            </w:r>
          </w:p>
        </w:tc>
        <w:tc>
          <w:tcPr>
            <w:tcW w:w="1451" w:type="dxa"/>
            <w:vAlign w:val="top"/>
          </w:tcPr>
          <w:p w14:paraId="61E4810F">
            <w:pPr>
              <w:pStyle w:val="9"/>
              <w:spacing w:before="188"/>
              <w:ind w:left="566"/>
            </w:pPr>
            <w:r>
              <w:rPr>
                <w:spacing w:val="19"/>
              </w:rPr>
              <w:t>&gt;90</w:t>
            </w:r>
          </w:p>
        </w:tc>
        <w:tc>
          <w:tcPr>
            <w:tcW w:w="1449" w:type="dxa"/>
            <w:vAlign w:val="top"/>
          </w:tcPr>
          <w:p w14:paraId="4D5D7FDD">
            <w:pPr>
              <w:pStyle w:val="9"/>
              <w:spacing w:before="188" w:line="225" w:lineRule="auto"/>
              <w:ind w:left="687"/>
            </w:pPr>
            <w:r>
              <w:t>/</w:t>
            </w:r>
          </w:p>
        </w:tc>
        <w:tc>
          <w:tcPr>
            <w:tcW w:w="2086" w:type="dxa"/>
            <w:tcBorders>
              <w:right w:val="single" w:color="000000" w:sz="6" w:space="0"/>
            </w:tcBorders>
            <w:vAlign w:val="top"/>
          </w:tcPr>
          <w:p w14:paraId="42021E39">
            <w:pPr>
              <w:pStyle w:val="9"/>
              <w:spacing w:before="188" w:line="238" w:lineRule="auto"/>
              <w:ind w:left="794"/>
            </w:pPr>
            <w:r>
              <w:rPr>
                <w:spacing w:val="10"/>
              </w:rPr>
              <w:t>&gt;10℃</w:t>
            </w:r>
          </w:p>
        </w:tc>
      </w:tr>
      <w:tr w14:paraId="17520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598" w:type="dxa"/>
            <w:vMerge w:val="continue"/>
            <w:tcBorders>
              <w:top w:val="nil"/>
              <w:left w:val="single" w:color="000000" w:sz="6" w:space="0"/>
              <w:bottom w:val="nil"/>
            </w:tcBorders>
            <w:vAlign w:val="top"/>
          </w:tcPr>
          <w:p w14:paraId="79FBB875">
            <w:pPr>
              <w:rPr>
                <w:rFonts w:ascii="Arial"/>
                <w:sz w:val="21"/>
              </w:rPr>
            </w:pPr>
          </w:p>
        </w:tc>
        <w:tc>
          <w:tcPr>
            <w:tcW w:w="1179" w:type="dxa"/>
            <w:gridSpan w:val="2"/>
            <w:vMerge w:val="continue"/>
            <w:tcBorders>
              <w:top w:val="nil"/>
              <w:bottom w:val="nil"/>
            </w:tcBorders>
            <w:vAlign w:val="top"/>
          </w:tcPr>
          <w:p w14:paraId="30D90741">
            <w:pPr>
              <w:rPr>
                <w:rFonts w:ascii="Arial"/>
                <w:sz w:val="21"/>
              </w:rPr>
            </w:pPr>
          </w:p>
        </w:tc>
        <w:tc>
          <w:tcPr>
            <w:tcW w:w="1179" w:type="dxa"/>
            <w:vMerge w:val="restart"/>
            <w:tcBorders>
              <w:bottom w:val="nil"/>
            </w:tcBorders>
            <w:vAlign w:val="top"/>
          </w:tcPr>
          <w:p w14:paraId="1D9794CB">
            <w:pPr>
              <w:spacing w:line="398" w:lineRule="auto"/>
              <w:rPr>
                <w:rFonts w:ascii="Arial"/>
                <w:sz w:val="21"/>
              </w:rPr>
            </w:pPr>
          </w:p>
          <w:p w14:paraId="325B991E">
            <w:pPr>
              <w:pStyle w:val="9"/>
              <w:spacing w:before="59" w:line="222" w:lineRule="auto"/>
              <w:ind w:left="142"/>
            </w:pPr>
            <w:r>
              <w:rPr>
                <w:spacing w:val="-4"/>
              </w:rPr>
              <w:t>一、二级配</w:t>
            </w:r>
          </w:p>
        </w:tc>
        <w:tc>
          <w:tcPr>
            <w:tcW w:w="1633" w:type="dxa"/>
            <w:vAlign w:val="top"/>
          </w:tcPr>
          <w:p w14:paraId="092707B3">
            <w:pPr>
              <w:pStyle w:val="9"/>
              <w:spacing w:before="189" w:line="237" w:lineRule="auto"/>
              <w:ind w:left="561"/>
            </w:pPr>
            <w:r>
              <w:rPr>
                <w:spacing w:val="-4"/>
              </w:rPr>
              <w:t>≤12℃</w:t>
            </w:r>
          </w:p>
        </w:tc>
        <w:tc>
          <w:tcPr>
            <w:tcW w:w="1451" w:type="dxa"/>
            <w:vAlign w:val="top"/>
          </w:tcPr>
          <w:p w14:paraId="413DB23D">
            <w:pPr>
              <w:pStyle w:val="9"/>
              <w:spacing w:before="189"/>
              <w:ind w:left="566"/>
            </w:pPr>
            <w:r>
              <w:rPr>
                <w:spacing w:val="18"/>
              </w:rPr>
              <w:t>&gt;85</w:t>
            </w:r>
          </w:p>
        </w:tc>
        <w:tc>
          <w:tcPr>
            <w:tcW w:w="1449" w:type="dxa"/>
            <w:vAlign w:val="top"/>
          </w:tcPr>
          <w:p w14:paraId="616B5268">
            <w:pPr>
              <w:pStyle w:val="9"/>
              <w:spacing w:before="189" w:line="225" w:lineRule="auto"/>
              <w:ind w:left="687"/>
            </w:pPr>
            <w:r>
              <w:t>/</w:t>
            </w:r>
          </w:p>
        </w:tc>
        <w:tc>
          <w:tcPr>
            <w:tcW w:w="2086" w:type="dxa"/>
            <w:tcBorders>
              <w:right w:val="single" w:color="000000" w:sz="6" w:space="0"/>
            </w:tcBorders>
            <w:vAlign w:val="top"/>
          </w:tcPr>
          <w:p w14:paraId="5BFB87A1">
            <w:pPr>
              <w:pStyle w:val="9"/>
              <w:spacing w:before="189" w:line="238" w:lineRule="auto"/>
              <w:ind w:left="794"/>
            </w:pPr>
            <w:r>
              <w:rPr>
                <w:spacing w:val="10"/>
              </w:rPr>
              <w:t>&gt;14℃</w:t>
            </w:r>
          </w:p>
        </w:tc>
      </w:tr>
      <w:tr w14:paraId="3823E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598" w:type="dxa"/>
            <w:vMerge w:val="continue"/>
            <w:tcBorders>
              <w:top w:val="nil"/>
              <w:left w:val="single" w:color="000000" w:sz="6" w:space="0"/>
            </w:tcBorders>
            <w:vAlign w:val="top"/>
          </w:tcPr>
          <w:p w14:paraId="3F0CC3A6">
            <w:pPr>
              <w:rPr>
                <w:rFonts w:ascii="Arial"/>
                <w:sz w:val="21"/>
              </w:rPr>
            </w:pPr>
          </w:p>
        </w:tc>
        <w:tc>
          <w:tcPr>
            <w:tcW w:w="1179" w:type="dxa"/>
            <w:gridSpan w:val="2"/>
            <w:vMerge w:val="continue"/>
            <w:tcBorders>
              <w:top w:val="nil"/>
            </w:tcBorders>
            <w:vAlign w:val="top"/>
          </w:tcPr>
          <w:p w14:paraId="3B128ABE">
            <w:pPr>
              <w:rPr>
                <w:rFonts w:ascii="Arial"/>
                <w:sz w:val="21"/>
              </w:rPr>
            </w:pPr>
          </w:p>
        </w:tc>
        <w:tc>
          <w:tcPr>
            <w:tcW w:w="1179" w:type="dxa"/>
            <w:vMerge w:val="continue"/>
            <w:tcBorders>
              <w:top w:val="nil"/>
            </w:tcBorders>
            <w:vAlign w:val="top"/>
          </w:tcPr>
          <w:p w14:paraId="55D8F623">
            <w:pPr>
              <w:rPr>
                <w:rFonts w:ascii="Arial"/>
                <w:sz w:val="21"/>
              </w:rPr>
            </w:pPr>
          </w:p>
        </w:tc>
        <w:tc>
          <w:tcPr>
            <w:tcW w:w="1633" w:type="dxa"/>
            <w:vAlign w:val="top"/>
          </w:tcPr>
          <w:p w14:paraId="7EAC0175">
            <w:pPr>
              <w:pStyle w:val="9"/>
              <w:spacing w:before="189" w:line="237" w:lineRule="auto"/>
              <w:ind w:left="561"/>
            </w:pPr>
            <w:r>
              <w:rPr>
                <w:spacing w:val="-4"/>
              </w:rPr>
              <w:t>≤14℃</w:t>
            </w:r>
          </w:p>
        </w:tc>
        <w:tc>
          <w:tcPr>
            <w:tcW w:w="1451" w:type="dxa"/>
            <w:vAlign w:val="top"/>
          </w:tcPr>
          <w:p w14:paraId="35C9041E">
            <w:pPr>
              <w:pStyle w:val="9"/>
              <w:spacing w:before="190"/>
              <w:ind w:left="566"/>
            </w:pPr>
            <w:r>
              <w:rPr>
                <w:spacing w:val="18"/>
              </w:rPr>
              <w:t>&gt;85</w:t>
            </w:r>
          </w:p>
        </w:tc>
        <w:tc>
          <w:tcPr>
            <w:tcW w:w="1449" w:type="dxa"/>
            <w:vAlign w:val="top"/>
          </w:tcPr>
          <w:p w14:paraId="19CA5FA6">
            <w:pPr>
              <w:pStyle w:val="9"/>
              <w:spacing w:before="190" w:line="225" w:lineRule="auto"/>
              <w:ind w:left="687"/>
            </w:pPr>
            <w:r>
              <w:t>/</w:t>
            </w:r>
          </w:p>
        </w:tc>
        <w:tc>
          <w:tcPr>
            <w:tcW w:w="2086" w:type="dxa"/>
            <w:tcBorders>
              <w:right w:val="single" w:color="000000" w:sz="6" w:space="0"/>
            </w:tcBorders>
            <w:vAlign w:val="top"/>
          </w:tcPr>
          <w:p w14:paraId="34B5A0CD">
            <w:pPr>
              <w:pStyle w:val="9"/>
              <w:spacing w:before="190" w:line="238" w:lineRule="auto"/>
              <w:ind w:left="794"/>
            </w:pPr>
            <w:r>
              <w:rPr>
                <w:spacing w:val="10"/>
              </w:rPr>
              <w:t>&gt;16℃</w:t>
            </w:r>
          </w:p>
        </w:tc>
      </w:tr>
      <w:tr w14:paraId="2925C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598" w:type="dxa"/>
            <w:vMerge w:val="restart"/>
            <w:tcBorders>
              <w:left w:val="single" w:color="000000" w:sz="6" w:space="0"/>
              <w:bottom w:val="nil"/>
            </w:tcBorders>
            <w:vAlign w:val="top"/>
          </w:tcPr>
          <w:p w14:paraId="5235B179">
            <w:pPr>
              <w:spacing w:line="253" w:lineRule="auto"/>
              <w:rPr>
                <w:rFonts w:ascii="Arial"/>
                <w:sz w:val="21"/>
              </w:rPr>
            </w:pPr>
          </w:p>
          <w:p w14:paraId="2270A1FC">
            <w:pPr>
              <w:spacing w:line="254" w:lineRule="auto"/>
              <w:rPr>
                <w:rFonts w:ascii="Arial"/>
                <w:sz w:val="21"/>
              </w:rPr>
            </w:pPr>
          </w:p>
          <w:p w14:paraId="1AA9CD22">
            <w:pPr>
              <w:spacing w:line="254" w:lineRule="auto"/>
              <w:rPr>
                <w:rFonts w:ascii="Arial"/>
                <w:sz w:val="21"/>
              </w:rPr>
            </w:pPr>
          </w:p>
          <w:p w14:paraId="6CB6903B">
            <w:pPr>
              <w:spacing w:line="254" w:lineRule="auto"/>
              <w:rPr>
                <w:rFonts w:ascii="Arial"/>
                <w:sz w:val="21"/>
              </w:rPr>
            </w:pPr>
          </w:p>
          <w:p w14:paraId="4E04FA5F">
            <w:pPr>
              <w:pStyle w:val="9"/>
              <w:spacing w:before="59" w:line="242" w:lineRule="auto"/>
              <w:ind w:left="250"/>
            </w:pPr>
            <w:r>
              <w:t>4</w:t>
            </w:r>
          </w:p>
        </w:tc>
        <w:tc>
          <w:tcPr>
            <w:tcW w:w="544" w:type="dxa"/>
            <w:vMerge w:val="restart"/>
            <w:tcBorders>
              <w:bottom w:val="nil"/>
            </w:tcBorders>
            <w:textDirection w:val="tbRlV"/>
            <w:vAlign w:val="top"/>
          </w:tcPr>
          <w:p w14:paraId="4671A4D9">
            <w:pPr>
              <w:pStyle w:val="9"/>
              <w:spacing w:before="185" w:line="210" w:lineRule="auto"/>
              <w:ind w:left="612"/>
            </w:pPr>
            <w:r>
              <w:t>称</w:t>
            </w:r>
            <w:r>
              <w:rPr>
                <w:spacing w:val="43"/>
              </w:rPr>
              <w:t xml:space="preserve"> </w:t>
            </w:r>
            <w:r>
              <w:t>量</w:t>
            </w:r>
            <w:r>
              <w:rPr>
                <w:spacing w:val="41"/>
              </w:rPr>
              <w:t xml:space="preserve"> </w:t>
            </w:r>
            <w:r>
              <w:t>误</w:t>
            </w:r>
            <w:r>
              <w:rPr>
                <w:spacing w:val="41"/>
              </w:rPr>
              <w:t xml:space="preserve"> </w:t>
            </w:r>
            <w:r>
              <w:t>差</w:t>
            </w:r>
          </w:p>
        </w:tc>
        <w:tc>
          <w:tcPr>
            <w:tcW w:w="1814" w:type="dxa"/>
            <w:gridSpan w:val="2"/>
            <w:vAlign w:val="top"/>
          </w:tcPr>
          <w:p w14:paraId="090FCD6F">
            <w:pPr>
              <w:pStyle w:val="9"/>
              <w:spacing w:before="145" w:line="220" w:lineRule="auto"/>
              <w:ind w:left="683"/>
            </w:pPr>
            <w:r>
              <w:rPr>
                <w:spacing w:val="-2"/>
              </w:rPr>
              <w:t>水+冰</w:t>
            </w:r>
          </w:p>
        </w:tc>
        <w:tc>
          <w:tcPr>
            <w:tcW w:w="1633" w:type="dxa"/>
            <w:vAlign w:val="top"/>
          </w:tcPr>
          <w:p w14:paraId="52789035">
            <w:pPr>
              <w:pStyle w:val="9"/>
              <w:spacing w:before="144" w:line="236" w:lineRule="auto"/>
              <w:ind w:left="659"/>
            </w:pPr>
            <w:r>
              <w:rPr>
                <w:spacing w:val="-8"/>
              </w:rPr>
              <w:t>±1%</w:t>
            </w:r>
          </w:p>
        </w:tc>
        <w:tc>
          <w:tcPr>
            <w:tcW w:w="1451" w:type="dxa"/>
            <w:vAlign w:val="top"/>
          </w:tcPr>
          <w:p w14:paraId="27FCD0B2">
            <w:pPr>
              <w:pStyle w:val="9"/>
              <w:spacing w:before="145"/>
              <w:ind w:left="566"/>
            </w:pPr>
            <w:r>
              <w:rPr>
                <w:spacing w:val="18"/>
              </w:rPr>
              <w:t>&gt;95</w:t>
            </w:r>
          </w:p>
        </w:tc>
        <w:tc>
          <w:tcPr>
            <w:tcW w:w="1449" w:type="dxa"/>
            <w:vAlign w:val="top"/>
          </w:tcPr>
          <w:p w14:paraId="5E00585D">
            <w:pPr>
              <w:pStyle w:val="9"/>
              <w:spacing w:before="145" w:line="225" w:lineRule="auto"/>
              <w:ind w:left="687"/>
            </w:pPr>
            <w:r>
              <w:t>/</w:t>
            </w:r>
          </w:p>
        </w:tc>
        <w:tc>
          <w:tcPr>
            <w:tcW w:w="2086" w:type="dxa"/>
            <w:tcBorders>
              <w:right w:val="single" w:color="000000" w:sz="6" w:space="0"/>
            </w:tcBorders>
            <w:vAlign w:val="top"/>
          </w:tcPr>
          <w:p w14:paraId="2673BFD5">
            <w:pPr>
              <w:pStyle w:val="9"/>
              <w:spacing w:before="144" w:line="232" w:lineRule="auto"/>
              <w:ind w:left="566"/>
            </w:pPr>
            <w:r>
              <w:rPr>
                <w:spacing w:val="11"/>
              </w:rPr>
              <w:t>&lt;-2%</w:t>
            </w:r>
            <w:r>
              <w:rPr>
                <w:spacing w:val="1"/>
              </w:rPr>
              <w:t>，＞</w:t>
            </w:r>
            <w:r>
              <w:rPr>
                <w:spacing w:val="11"/>
              </w:rPr>
              <w:t>2%</w:t>
            </w:r>
          </w:p>
        </w:tc>
      </w:tr>
      <w:tr w14:paraId="3E34F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598" w:type="dxa"/>
            <w:vMerge w:val="continue"/>
            <w:tcBorders>
              <w:top w:val="nil"/>
              <w:left w:val="single" w:color="000000" w:sz="6" w:space="0"/>
              <w:bottom w:val="nil"/>
            </w:tcBorders>
            <w:vAlign w:val="top"/>
          </w:tcPr>
          <w:p w14:paraId="16C0E867">
            <w:pPr>
              <w:rPr>
                <w:rFonts w:ascii="Arial"/>
                <w:sz w:val="21"/>
              </w:rPr>
            </w:pPr>
          </w:p>
        </w:tc>
        <w:tc>
          <w:tcPr>
            <w:tcW w:w="544" w:type="dxa"/>
            <w:vMerge w:val="continue"/>
            <w:tcBorders>
              <w:top w:val="nil"/>
              <w:bottom w:val="nil"/>
            </w:tcBorders>
            <w:textDirection w:val="tbRlV"/>
            <w:vAlign w:val="top"/>
          </w:tcPr>
          <w:p w14:paraId="0004C82D">
            <w:pPr>
              <w:rPr>
                <w:rFonts w:ascii="Arial"/>
                <w:sz w:val="21"/>
              </w:rPr>
            </w:pPr>
          </w:p>
        </w:tc>
        <w:tc>
          <w:tcPr>
            <w:tcW w:w="1814" w:type="dxa"/>
            <w:gridSpan w:val="2"/>
            <w:vAlign w:val="top"/>
          </w:tcPr>
          <w:p w14:paraId="15503E77">
            <w:pPr>
              <w:pStyle w:val="9"/>
              <w:spacing w:before="155" w:line="220" w:lineRule="auto"/>
              <w:ind w:left="369"/>
            </w:pPr>
            <w:r>
              <w:rPr>
                <w:spacing w:val="-2"/>
              </w:rPr>
              <w:t>水泥、粉煤灰</w:t>
            </w:r>
          </w:p>
        </w:tc>
        <w:tc>
          <w:tcPr>
            <w:tcW w:w="1633" w:type="dxa"/>
            <w:vAlign w:val="top"/>
          </w:tcPr>
          <w:p w14:paraId="30D8FED0">
            <w:pPr>
              <w:pStyle w:val="9"/>
              <w:spacing w:before="154" w:line="236" w:lineRule="auto"/>
              <w:ind w:left="659"/>
            </w:pPr>
            <w:r>
              <w:rPr>
                <w:spacing w:val="-8"/>
              </w:rPr>
              <w:t>±1%</w:t>
            </w:r>
          </w:p>
        </w:tc>
        <w:tc>
          <w:tcPr>
            <w:tcW w:w="1451" w:type="dxa"/>
            <w:vAlign w:val="top"/>
          </w:tcPr>
          <w:p w14:paraId="6F28CAB1">
            <w:pPr>
              <w:pStyle w:val="9"/>
              <w:spacing w:before="155"/>
              <w:ind w:left="566"/>
            </w:pPr>
            <w:r>
              <w:rPr>
                <w:spacing w:val="18"/>
              </w:rPr>
              <w:t>&gt;95</w:t>
            </w:r>
          </w:p>
        </w:tc>
        <w:tc>
          <w:tcPr>
            <w:tcW w:w="1449" w:type="dxa"/>
            <w:vAlign w:val="top"/>
          </w:tcPr>
          <w:p w14:paraId="0661EADD">
            <w:pPr>
              <w:pStyle w:val="9"/>
              <w:spacing w:before="155" w:line="225" w:lineRule="auto"/>
              <w:ind w:left="687"/>
            </w:pPr>
            <w:r>
              <w:t>/</w:t>
            </w:r>
          </w:p>
        </w:tc>
        <w:tc>
          <w:tcPr>
            <w:tcW w:w="2086" w:type="dxa"/>
            <w:tcBorders>
              <w:right w:val="single" w:color="000000" w:sz="6" w:space="0"/>
            </w:tcBorders>
            <w:vAlign w:val="top"/>
          </w:tcPr>
          <w:p w14:paraId="70B0DC27">
            <w:pPr>
              <w:pStyle w:val="9"/>
              <w:spacing w:before="154" w:line="232" w:lineRule="auto"/>
              <w:ind w:left="566"/>
            </w:pPr>
            <w:r>
              <w:rPr>
                <w:spacing w:val="11"/>
              </w:rPr>
              <w:t>&lt;-2%</w:t>
            </w:r>
            <w:r>
              <w:rPr>
                <w:spacing w:val="1"/>
              </w:rPr>
              <w:t>，＞</w:t>
            </w:r>
            <w:r>
              <w:rPr>
                <w:spacing w:val="11"/>
              </w:rPr>
              <w:t>4%</w:t>
            </w:r>
          </w:p>
        </w:tc>
      </w:tr>
      <w:tr w14:paraId="0431A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598" w:type="dxa"/>
            <w:vMerge w:val="continue"/>
            <w:tcBorders>
              <w:top w:val="nil"/>
              <w:left w:val="single" w:color="000000" w:sz="6" w:space="0"/>
              <w:bottom w:val="nil"/>
            </w:tcBorders>
            <w:vAlign w:val="top"/>
          </w:tcPr>
          <w:p w14:paraId="05BC07A4">
            <w:pPr>
              <w:rPr>
                <w:rFonts w:ascii="Arial"/>
                <w:sz w:val="21"/>
              </w:rPr>
            </w:pPr>
          </w:p>
        </w:tc>
        <w:tc>
          <w:tcPr>
            <w:tcW w:w="544" w:type="dxa"/>
            <w:vMerge w:val="continue"/>
            <w:tcBorders>
              <w:top w:val="nil"/>
              <w:bottom w:val="nil"/>
            </w:tcBorders>
            <w:textDirection w:val="tbRlV"/>
            <w:vAlign w:val="top"/>
          </w:tcPr>
          <w:p w14:paraId="7D597D68">
            <w:pPr>
              <w:rPr>
                <w:rFonts w:ascii="Arial"/>
                <w:sz w:val="21"/>
              </w:rPr>
            </w:pPr>
          </w:p>
        </w:tc>
        <w:tc>
          <w:tcPr>
            <w:tcW w:w="1814" w:type="dxa"/>
            <w:gridSpan w:val="2"/>
            <w:vAlign w:val="top"/>
          </w:tcPr>
          <w:p w14:paraId="1E61D82B">
            <w:pPr>
              <w:pStyle w:val="9"/>
              <w:spacing w:before="151" w:line="220" w:lineRule="auto"/>
              <w:ind w:left="277"/>
            </w:pPr>
            <w:r>
              <w:rPr>
                <w:spacing w:val="-1"/>
              </w:rPr>
              <w:t>减水剂、引气剂</w:t>
            </w:r>
          </w:p>
        </w:tc>
        <w:tc>
          <w:tcPr>
            <w:tcW w:w="1633" w:type="dxa"/>
            <w:vAlign w:val="top"/>
          </w:tcPr>
          <w:p w14:paraId="7D3F1CAA">
            <w:pPr>
              <w:pStyle w:val="9"/>
              <w:spacing w:before="151" w:line="236" w:lineRule="auto"/>
              <w:ind w:left="659"/>
            </w:pPr>
            <w:r>
              <w:rPr>
                <w:spacing w:val="-8"/>
              </w:rPr>
              <w:t>±1%</w:t>
            </w:r>
          </w:p>
        </w:tc>
        <w:tc>
          <w:tcPr>
            <w:tcW w:w="1451" w:type="dxa"/>
            <w:vAlign w:val="top"/>
          </w:tcPr>
          <w:p w14:paraId="7919CF46">
            <w:pPr>
              <w:pStyle w:val="9"/>
              <w:spacing w:before="152"/>
              <w:ind w:left="566"/>
            </w:pPr>
            <w:r>
              <w:rPr>
                <w:spacing w:val="18"/>
              </w:rPr>
              <w:t>&gt;95</w:t>
            </w:r>
          </w:p>
        </w:tc>
        <w:tc>
          <w:tcPr>
            <w:tcW w:w="1449" w:type="dxa"/>
            <w:vAlign w:val="top"/>
          </w:tcPr>
          <w:p w14:paraId="19ABEB3E">
            <w:pPr>
              <w:pStyle w:val="9"/>
              <w:spacing w:before="152" w:line="225" w:lineRule="auto"/>
              <w:ind w:left="687"/>
            </w:pPr>
            <w:r>
              <w:t>/</w:t>
            </w:r>
          </w:p>
        </w:tc>
        <w:tc>
          <w:tcPr>
            <w:tcW w:w="2086" w:type="dxa"/>
            <w:tcBorders>
              <w:right w:val="single" w:color="000000" w:sz="6" w:space="0"/>
            </w:tcBorders>
            <w:vAlign w:val="top"/>
          </w:tcPr>
          <w:p w14:paraId="4904141C">
            <w:pPr>
              <w:pStyle w:val="9"/>
              <w:spacing w:before="151" w:line="232" w:lineRule="auto"/>
              <w:ind w:left="566"/>
            </w:pPr>
            <w:r>
              <w:rPr>
                <w:spacing w:val="11"/>
              </w:rPr>
              <w:t>&lt;-2%</w:t>
            </w:r>
            <w:r>
              <w:rPr>
                <w:spacing w:val="1"/>
              </w:rPr>
              <w:t>，＞</w:t>
            </w:r>
            <w:r>
              <w:rPr>
                <w:spacing w:val="11"/>
              </w:rPr>
              <w:t>2%</w:t>
            </w:r>
          </w:p>
        </w:tc>
      </w:tr>
      <w:tr w14:paraId="799FF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598" w:type="dxa"/>
            <w:vMerge w:val="continue"/>
            <w:tcBorders>
              <w:top w:val="nil"/>
              <w:left w:val="single" w:color="000000" w:sz="6" w:space="0"/>
              <w:bottom w:val="nil"/>
            </w:tcBorders>
            <w:vAlign w:val="top"/>
          </w:tcPr>
          <w:p w14:paraId="4A4F406B">
            <w:pPr>
              <w:rPr>
                <w:rFonts w:ascii="Arial"/>
                <w:sz w:val="21"/>
              </w:rPr>
            </w:pPr>
          </w:p>
        </w:tc>
        <w:tc>
          <w:tcPr>
            <w:tcW w:w="544" w:type="dxa"/>
            <w:vMerge w:val="continue"/>
            <w:tcBorders>
              <w:top w:val="nil"/>
              <w:bottom w:val="nil"/>
            </w:tcBorders>
            <w:textDirection w:val="tbRlV"/>
            <w:vAlign w:val="top"/>
          </w:tcPr>
          <w:p w14:paraId="3FD6E9A3">
            <w:pPr>
              <w:rPr>
                <w:rFonts w:ascii="Arial"/>
                <w:sz w:val="21"/>
              </w:rPr>
            </w:pPr>
          </w:p>
        </w:tc>
        <w:tc>
          <w:tcPr>
            <w:tcW w:w="1814" w:type="dxa"/>
            <w:gridSpan w:val="2"/>
            <w:vAlign w:val="top"/>
          </w:tcPr>
          <w:p w14:paraId="53338E94">
            <w:pPr>
              <w:pStyle w:val="9"/>
              <w:spacing w:before="152" w:line="223" w:lineRule="auto"/>
              <w:ind w:left="140"/>
            </w:pPr>
            <w:r>
              <w:rPr>
                <w:spacing w:val="-1"/>
              </w:rPr>
              <w:t>砂、D20、D40、D80</w:t>
            </w:r>
          </w:p>
        </w:tc>
        <w:tc>
          <w:tcPr>
            <w:tcW w:w="1633" w:type="dxa"/>
            <w:vAlign w:val="top"/>
          </w:tcPr>
          <w:p w14:paraId="7EA2A3EC">
            <w:pPr>
              <w:pStyle w:val="9"/>
              <w:spacing w:before="152" w:line="236" w:lineRule="auto"/>
              <w:ind w:left="659"/>
            </w:pPr>
            <w:r>
              <w:rPr>
                <w:spacing w:val="-8"/>
              </w:rPr>
              <w:t>±2%</w:t>
            </w:r>
          </w:p>
        </w:tc>
        <w:tc>
          <w:tcPr>
            <w:tcW w:w="1451" w:type="dxa"/>
            <w:vAlign w:val="top"/>
          </w:tcPr>
          <w:p w14:paraId="4F603891">
            <w:pPr>
              <w:pStyle w:val="9"/>
              <w:spacing w:before="152"/>
              <w:ind w:left="566"/>
            </w:pPr>
            <w:r>
              <w:rPr>
                <w:spacing w:val="19"/>
              </w:rPr>
              <w:t>&gt;90</w:t>
            </w:r>
          </w:p>
        </w:tc>
        <w:tc>
          <w:tcPr>
            <w:tcW w:w="1449" w:type="dxa"/>
            <w:vAlign w:val="top"/>
          </w:tcPr>
          <w:p w14:paraId="12159493">
            <w:pPr>
              <w:pStyle w:val="9"/>
              <w:spacing w:before="152" w:line="225" w:lineRule="auto"/>
              <w:ind w:left="687"/>
            </w:pPr>
            <w:r>
              <w:t>/</w:t>
            </w:r>
          </w:p>
        </w:tc>
        <w:tc>
          <w:tcPr>
            <w:tcW w:w="2086" w:type="dxa"/>
            <w:tcBorders>
              <w:right w:val="single" w:color="000000" w:sz="6" w:space="0"/>
            </w:tcBorders>
            <w:vAlign w:val="top"/>
          </w:tcPr>
          <w:p w14:paraId="0281A064">
            <w:pPr>
              <w:pStyle w:val="9"/>
              <w:spacing w:before="152" w:line="232" w:lineRule="auto"/>
              <w:ind w:left="566"/>
            </w:pPr>
            <w:r>
              <w:rPr>
                <w:spacing w:val="11"/>
              </w:rPr>
              <w:t>&lt;-3%</w:t>
            </w:r>
            <w:r>
              <w:rPr>
                <w:spacing w:val="1"/>
              </w:rPr>
              <w:t>，＞</w:t>
            </w:r>
            <w:r>
              <w:rPr>
                <w:spacing w:val="11"/>
              </w:rPr>
              <w:t>3%</w:t>
            </w:r>
          </w:p>
        </w:tc>
      </w:tr>
      <w:tr w14:paraId="0542E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598" w:type="dxa"/>
            <w:vMerge w:val="continue"/>
            <w:tcBorders>
              <w:top w:val="nil"/>
              <w:left w:val="single" w:color="000000" w:sz="6" w:space="0"/>
              <w:bottom w:val="single" w:color="000000" w:sz="6" w:space="0"/>
            </w:tcBorders>
            <w:vAlign w:val="top"/>
          </w:tcPr>
          <w:p w14:paraId="500F3514">
            <w:pPr>
              <w:rPr>
                <w:rFonts w:ascii="Arial"/>
                <w:sz w:val="21"/>
              </w:rPr>
            </w:pPr>
          </w:p>
        </w:tc>
        <w:tc>
          <w:tcPr>
            <w:tcW w:w="544" w:type="dxa"/>
            <w:vMerge w:val="continue"/>
            <w:tcBorders>
              <w:top w:val="nil"/>
              <w:bottom w:val="single" w:color="000000" w:sz="6" w:space="0"/>
            </w:tcBorders>
            <w:textDirection w:val="tbRlV"/>
            <w:vAlign w:val="top"/>
          </w:tcPr>
          <w:p w14:paraId="6C686F38">
            <w:pPr>
              <w:rPr>
                <w:rFonts w:ascii="Arial"/>
                <w:sz w:val="21"/>
              </w:rPr>
            </w:pPr>
          </w:p>
        </w:tc>
        <w:tc>
          <w:tcPr>
            <w:tcW w:w="1814" w:type="dxa"/>
            <w:gridSpan w:val="2"/>
            <w:tcBorders>
              <w:bottom w:val="single" w:color="000000" w:sz="6" w:space="0"/>
            </w:tcBorders>
            <w:vAlign w:val="top"/>
          </w:tcPr>
          <w:p w14:paraId="23FD9E71">
            <w:pPr>
              <w:pStyle w:val="9"/>
              <w:spacing w:before="149" w:line="223" w:lineRule="auto"/>
              <w:ind w:left="453"/>
            </w:pPr>
            <w:r>
              <w:rPr>
                <w:spacing w:val="-1"/>
              </w:rPr>
              <w:t>D150(D120)</w:t>
            </w:r>
          </w:p>
        </w:tc>
        <w:tc>
          <w:tcPr>
            <w:tcW w:w="1633" w:type="dxa"/>
            <w:tcBorders>
              <w:bottom w:val="single" w:color="000000" w:sz="6" w:space="0"/>
            </w:tcBorders>
            <w:vAlign w:val="top"/>
          </w:tcPr>
          <w:p w14:paraId="25FE6A4C">
            <w:pPr>
              <w:pStyle w:val="9"/>
              <w:spacing w:before="149" w:line="236" w:lineRule="auto"/>
              <w:ind w:left="659"/>
            </w:pPr>
            <w:r>
              <w:rPr>
                <w:spacing w:val="-8"/>
              </w:rPr>
              <w:t>±2%</w:t>
            </w:r>
          </w:p>
        </w:tc>
        <w:tc>
          <w:tcPr>
            <w:tcW w:w="1451" w:type="dxa"/>
            <w:tcBorders>
              <w:bottom w:val="single" w:color="000000" w:sz="6" w:space="0"/>
            </w:tcBorders>
            <w:vAlign w:val="top"/>
          </w:tcPr>
          <w:p w14:paraId="31C5664D">
            <w:pPr>
              <w:pStyle w:val="9"/>
              <w:spacing w:before="149"/>
              <w:ind w:left="566"/>
            </w:pPr>
            <w:r>
              <w:rPr>
                <w:spacing w:val="19"/>
              </w:rPr>
              <w:t>&gt;90</w:t>
            </w:r>
          </w:p>
        </w:tc>
        <w:tc>
          <w:tcPr>
            <w:tcW w:w="1449" w:type="dxa"/>
            <w:tcBorders>
              <w:bottom w:val="single" w:color="000000" w:sz="6" w:space="0"/>
            </w:tcBorders>
            <w:vAlign w:val="top"/>
          </w:tcPr>
          <w:p w14:paraId="7DF1614D">
            <w:pPr>
              <w:pStyle w:val="9"/>
              <w:spacing w:before="149" w:line="225" w:lineRule="auto"/>
              <w:ind w:left="687"/>
            </w:pPr>
            <w:r>
              <w:t>/</w:t>
            </w:r>
          </w:p>
        </w:tc>
        <w:tc>
          <w:tcPr>
            <w:tcW w:w="2086" w:type="dxa"/>
            <w:tcBorders>
              <w:bottom w:val="single" w:color="000000" w:sz="6" w:space="0"/>
              <w:right w:val="single" w:color="000000" w:sz="6" w:space="0"/>
            </w:tcBorders>
            <w:vAlign w:val="top"/>
          </w:tcPr>
          <w:p w14:paraId="50476290">
            <w:pPr>
              <w:pStyle w:val="9"/>
              <w:spacing w:before="148" w:line="232" w:lineRule="auto"/>
              <w:ind w:left="566"/>
            </w:pPr>
            <w:r>
              <w:rPr>
                <w:spacing w:val="11"/>
              </w:rPr>
              <w:t>&lt;-4%</w:t>
            </w:r>
            <w:r>
              <w:rPr>
                <w:spacing w:val="1"/>
              </w:rPr>
              <w:t>，＞</w:t>
            </w:r>
            <w:r>
              <w:rPr>
                <w:spacing w:val="11"/>
              </w:rPr>
              <w:t>5%</w:t>
            </w:r>
          </w:p>
        </w:tc>
      </w:tr>
      <w:tr w14:paraId="3C6D9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3" w:hRule="atLeast"/>
        </w:trPr>
        <w:tc>
          <w:tcPr>
            <w:tcW w:w="9575" w:type="dxa"/>
            <w:gridSpan w:val="8"/>
            <w:tcBorders>
              <w:top w:val="single" w:color="000000" w:sz="6" w:space="0"/>
              <w:left w:val="single" w:color="000000" w:sz="6" w:space="0"/>
              <w:bottom w:val="single" w:color="000000" w:sz="6" w:space="0"/>
              <w:right w:val="single" w:color="000000" w:sz="6" w:space="0"/>
            </w:tcBorders>
            <w:vAlign w:val="top"/>
          </w:tcPr>
          <w:p w14:paraId="11256884">
            <w:pPr>
              <w:pStyle w:val="9"/>
              <w:spacing w:before="74" w:line="222" w:lineRule="auto"/>
              <w:ind w:left="471"/>
            </w:pPr>
            <w:r>
              <w:rPr>
                <w:rFonts w:ascii="黑体" w:hAnsi="黑体" w:eastAsia="黑体" w:cs="黑体"/>
                <w:spacing w:val="-2"/>
              </w:rPr>
              <w:t>注</w:t>
            </w:r>
            <w:r>
              <w:rPr>
                <w:rFonts w:ascii="黑体" w:hAnsi="黑体" w:eastAsia="黑体" w:cs="黑体"/>
                <w:spacing w:val="-25"/>
              </w:rPr>
              <w:t xml:space="preserve"> </w:t>
            </w:r>
            <w:r>
              <w:rPr>
                <w:rFonts w:ascii="黑体" w:hAnsi="黑体" w:eastAsia="黑体" w:cs="黑体"/>
                <w:spacing w:val="-2"/>
              </w:rPr>
              <w:t>1：</w:t>
            </w:r>
            <w:r>
              <w:rPr>
                <w:spacing w:val="-2"/>
              </w:rPr>
              <w:t>第</w:t>
            </w:r>
            <w:r>
              <w:rPr>
                <w:spacing w:val="-25"/>
              </w:rPr>
              <w:t xml:space="preserve"> </w:t>
            </w:r>
            <w:r>
              <w:rPr>
                <w:spacing w:val="-2"/>
              </w:rPr>
              <w:t>1、2、3</w:t>
            </w:r>
            <w:r>
              <w:rPr>
                <w:spacing w:val="-25"/>
              </w:rPr>
              <w:t xml:space="preserve"> </w:t>
            </w:r>
            <w:r>
              <w:rPr>
                <w:spacing w:val="-2"/>
              </w:rPr>
              <w:t>项中，当某项检测值达到不合格料标准时，无法做补救处理，应废弃，已入仓者应挖除。</w:t>
            </w:r>
          </w:p>
          <w:p w14:paraId="48222B00">
            <w:pPr>
              <w:pStyle w:val="9"/>
              <w:spacing w:before="95" w:line="320" w:lineRule="auto"/>
              <w:ind w:left="921" w:right="150" w:hanging="450"/>
            </w:pPr>
            <w:r>
              <w:rPr>
                <w:rFonts w:ascii="黑体" w:hAnsi="黑体" w:eastAsia="黑体" w:cs="黑体"/>
                <w:spacing w:val="-1"/>
              </w:rPr>
              <w:t>注</w:t>
            </w:r>
            <w:r>
              <w:rPr>
                <w:rFonts w:ascii="黑体" w:hAnsi="黑体" w:eastAsia="黑体" w:cs="黑体"/>
                <w:spacing w:val="-29"/>
              </w:rPr>
              <w:t xml:space="preserve"> </w:t>
            </w:r>
            <w:r>
              <w:rPr>
                <w:rFonts w:ascii="黑体" w:hAnsi="黑体" w:eastAsia="黑体" w:cs="黑体"/>
                <w:spacing w:val="-1"/>
              </w:rPr>
              <w:t>2：</w:t>
            </w:r>
            <w:r>
              <w:rPr>
                <w:spacing w:val="-1"/>
              </w:rPr>
              <w:t>第</w:t>
            </w:r>
            <w:r>
              <w:rPr>
                <w:spacing w:val="-39"/>
              </w:rPr>
              <w:t xml:space="preserve"> </w:t>
            </w:r>
            <w:r>
              <w:rPr>
                <w:spacing w:val="-1"/>
              </w:rPr>
              <w:t>4</w:t>
            </w:r>
            <w:r>
              <w:rPr>
                <w:spacing w:val="-36"/>
              </w:rPr>
              <w:t xml:space="preserve"> </w:t>
            </w:r>
            <w:r>
              <w:rPr>
                <w:spacing w:val="-1"/>
              </w:rPr>
              <w:t>项中，当称量误差达到不合格料标准时，应立即通知试验值班人员和监理。当采取补救措施，达到合格</w:t>
            </w:r>
            <w:r>
              <w:t xml:space="preserve"> </w:t>
            </w:r>
            <w:r>
              <w:rPr>
                <w:spacing w:val="-2"/>
              </w:rPr>
              <w:t>混凝土要求时，可用于施工，否则作不合格料处理。</w:t>
            </w:r>
          </w:p>
          <w:p w14:paraId="755A1726">
            <w:pPr>
              <w:pStyle w:val="9"/>
              <w:spacing w:before="1" w:line="282" w:lineRule="auto"/>
              <w:ind w:left="918" w:right="154" w:hanging="447"/>
            </w:pPr>
            <w:r>
              <w:rPr>
                <w:rFonts w:ascii="黑体" w:hAnsi="黑体" w:eastAsia="黑体" w:cs="黑体"/>
                <w:spacing w:val="-1"/>
              </w:rPr>
              <w:t>注</w:t>
            </w:r>
            <w:r>
              <w:rPr>
                <w:rFonts w:ascii="黑体" w:hAnsi="黑体" w:eastAsia="黑体" w:cs="黑体"/>
                <w:spacing w:val="-32"/>
              </w:rPr>
              <w:t xml:space="preserve"> </w:t>
            </w:r>
            <w:r>
              <w:rPr>
                <w:rFonts w:ascii="黑体" w:hAnsi="黑体" w:eastAsia="黑体" w:cs="黑体"/>
                <w:spacing w:val="-1"/>
              </w:rPr>
              <w:t>3：</w:t>
            </w:r>
            <w:r>
              <w:rPr>
                <w:spacing w:val="-1"/>
              </w:rPr>
              <w:t>第</w:t>
            </w:r>
            <w:r>
              <w:rPr>
                <w:spacing w:val="-40"/>
              </w:rPr>
              <w:t xml:space="preserve"> </w:t>
            </w:r>
            <w:r>
              <w:rPr>
                <w:spacing w:val="-1"/>
              </w:rPr>
              <w:t>4</w:t>
            </w:r>
            <w:r>
              <w:rPr>
                <w:spacing w:val="-35"/>
              </w:rPr>
              <w:t xml:space="preserve"> </w:t>
            </w:r>
            <w:r>
              <w:rPr>
                <w:spacing w:val="-1"/>
              </w:rPr>
              <w:t>项中，当某种材料称量超出允许限值，但未达到不合格料标准时，应会同试验人员及时调整并作好详细</w:t>
            </w:r>
            <w:r>
              <w:t xml:space="preserve"> </w:t>
            </w:r>
            <w:r>
              <w:rPr>
                <w:spacing w:val="-8"/>
              </w:rPr>
              <w:t>记录。</w:t>
            </w:r>
          </w:p>
        </w:tc>
      </w:tr>
    </w:tbl>
    <w:p w14:paraId="103C7EE0">
      <w:pPr>
        <w:pStyle w:val="2"/>
        <w:spacing w:line="292" w:lineRule="auto"/>
      </w:pPr>
    </w:p>
    <w:p w14:paraId="11F3BE9A">
      <w:pPr>
        <w:spacing w:before="69" w:line="222" w:lineRule="auto"/>
        <w:ind w:left="124"/>
        <w:rPr>
          <w:rFonts w:ascii="宋体" w:hAnsi="宋体" w:eastAsia="宋体" w:cs="宋体"/>
          <w:sz w:val="21"/>
          <w:szCs w:val="21"/>
        </w:rPr>
      </w:pPr>
      <w:r>
        <w:rPr>
          <w:rFonts w:ascii="黑体" w:hAnsi="黑体" w:eastAsia="黑体" w:cs="黑体"/>
          <w:spacing w:val="-2"/>
          <w:sz w:val="21"/>
          <w:szCs w:val="21"/>
        </w:rPr>
        <w:t xml:space="preserve">6.2  </w:t>
      </w:r>
      <w:r>
        <w:rPr>
          <w:rFonts w:ascii="宋体" w:hAnsi="宋体" w:eastAsia="宋体" w:cs="宋体"/>
          <w:spacing w:val="-2"/>
          <w:sz w:val="21"/>
          <w:szCs w:val="21"/>
        </w:rPr>
        <w:t>混凝土拌和物质量出现下列情况之一者，应按不合格料处理：</w:t>
      </w:r>
    </w:p>
    <w:p w14:paraId="7F3EEAF4">
      <w:pPr>
        <w:spacing w:line="222" w:lineRule="auto"/>
        <w:rPr>
          <w:rFonts w:ascii="宋体" w:hAnsi="宋体" w:eastAsia="宋体" w:cs="宋体"/>
          <w:sz w:val="21"/>
          <w:szCs w:val="21"/>
        </w:rPr>
        <w:sectPr>
          <w:headerReference r:id="rId18" w:type="default"/>
          <w:footerReference r:id="rId19" w:type="default"/>
          <w:pgSz w:w="11905" w:h="16840"/>
          <w:pgMar w:top="1717" w:right="1297" w:bottom="1344" w:left="1016" w:header="1394" w:footer="1109" w:gutter="0"/>
          <w:pgNumType w:fmt="decimal"/>
          <w:cols w:space="720" w:num="1"/>
        </w:sectPr>
      </w:pPr>
    </w:p>
    <w:p w14:paraId="48F3EE64">
      <w:pPr>
        <w:spacing w:before="242" w:line="220" w:lineRule="auto"/>
        <w:jc w:val="right"/>
        <w:rPr>
          <w:rFonts w:ascii="宋体" w:hAnsi="宋体" w:eastAsia="宋体" w:cs="宋体"/>
          <w:sz w:val="21"/>
          <w:szCs w:val="21"/>
        </w:rPr>
      </w:pPr>
      <w:r>
        <w:rPr>
          <w:rFonts w:ascii="宋体" w:hAnsi="宋体" w:eastAsia="宋体" w:cs="宋体"/>
          <w:spacing w:val="-6"/>
          <w:sz w:val="21"/>
          <w:szCs w:val="21"/>
        </w:rPr>
        <w:t>a）</w:t>
      </w:r>
      <w:r>
        <w:rPr>
          <w:rFonts w:ascii="宋体" w:hAnsi="宋体" w:eastAsia="宋体" w:cs="宋体"/>
          <w:spacing w:val="-40"/>
          <w:sz w:val="21"/>
          <w:szCs w:val="21"/>
        </w:rPr>
        <w:t xml:space="preserve"> </w:t>
      </w:r>
      <w:r>
        <w:rPr>
          <w:rFonts w:ascii="宋体" w:hAnsi="宋体" w:eastAsia="宋体" w:cs="宋体"/>
          <w:spacing w:val="-6"/>
          <w:sz w:val="21"/>
          <w:szCs w:val="21"/>
        </w:rPr>
        <w:t>混凝土配料单算错、用错或输入配料指令错误，</w:t>
      </w:r>
      <w:r>
        <w:rPr>
          <w:rFonts w:ascii="宋体" w:hAnsi="宋体" w:eastAsia="宋体" w:cs="宋体"/>
          <w:spacing w:val="-61"/>
          <w:sz w:val="21"/>
          <w:szCs w:val="21"/>
        </w:rPr>
        <w:t xml:space="preserve"> </w:t>
      </w:r>
      <w:r>
        <w:rPr>
          <w:rFonts w:ascii="宋体" w:hAnsi="宋体" w:eastAsia="宋体" w:cs="宋体"/>
          <w:spacing w:val="-6"/>
          <w:sz w:val="21"/>
          <w:szCs w:val="21"/>
        </w:rPr>
        <w:t>无法补救，不能满足质量要求的混凝土拌和物；</w:t>
      </w:r>
    </w:p>
    <w:p w14:paraId="10B2C90A">
      <w:pPr>
        <w:spacing w:before="61" w:line="220" w:lineRule="auto"/>
        <w:ind w:left="417"/>
        <w:rPr>
          <w:rFonts w:ascii="宋体" w:hAnsi="宋体" w:eastAsia="宋体" w:cs="宋体"/>
          <w:sz w:val="21"/>
          <w:szCs w:val="21"/>
        </w:rPr>
      </w:pPr>
      <w:r>
        <w:rPr>
          <w:rFonts w:ascii="宋体" w:hAnsi="宋体" w:eastAsia="宋体" w:cs="宋体"/>
          <w:spacing w:val="-1"/>
          <w:sz w:val="21"/>
          <w:szCs w:val="21"/>
        </w:rPr>
        <w:t>b） 混凝土配料时，任一种材料计量失控或漏配且</w:t>
      </w:r>
      <w:r>
        <w:rPr>
          <w:rFonts w:ascii="宋体" w:hAnsi="宋体" w:eastAsia="宋体" w:cs="宋体"/>
          <w:spacing w:val="-2"/>
          <w:sz w:val="21"/>
          <w:szCs w:val="21"/>
        </w:rPr>
        <w:t>不符合质量要求的混凝土拌和物；</w:t>
      </w:r>
    </w:p>
    <w:p w14:paraId="27B0AAFC">
      <w:pPr>
        <w:spacing w:before="61" w:line="248" w:lineRule="auto"/>
        <w:ind w:left="839" w:right="56" w:hanging="414"/>
        <w:rPr>
          <w:rFonts w:ascii="宋体" w:hAnsi="宋体" w:eastAsia="宋体" w:cs="宋体"/>
          <w:sz w:val="21"/>
          <w:szCs w:val="21"/>
        </w:rPr>
      </w:pPr>
      <w:r>
        <w:rPr>
          <w:rFonts w:ascii="宋体" w:hAnsi="宋体" w:eastAsia="宋体" w:cs="宋体"/>
          <w:spacing w:val="-2"/>
          <w:sz w:val="21"/>
          <w:szCs w:val="21"/>
        </w:rPr>
        <w:t>c）</w:t>
      </w:r>
      <w:r>
        <w:rPr>
          <w:rFonts w:ascii="宋体" w:hAnsi="宋体" w:eastAsia="宋体" w:cs="宋体"/>
          <w:spacing w:val="-23"/>
          <w:sz w:val="21"/>
          <w:szCs w:val="21"/>
        </w:rPr>
        <w:t xml:space="preserve"> </w:t>
      </w:r>
      <w:r>
        <w:rPr>
          <w:rFonts w:ascii="宋体" w:hAnsi="宋体" w:eastAsia="宋体" w:cs="宋体"/>
          <w:spacing w:val="-2"/>
          <w:sz w:val="21"/>
          <w:szCs w:val="21"/>
        </w:rPr>
        <w:t>混凝土原材料经质量验收检验不合格或使用原材料类别与施工配料单不符，严重影响质量的混</w:t>
      </w:r>
      <w:r>
        <w:rPr>
          <w:rFonts w:ascii="宋体" w:hAnsi="宋体" w:eastAsia="宋体" w:cs="宋体"/>
          <w:sz w:val="21"/>
          <w:szCs w:val="21"/>
        </w:rPr>
        <w:t xml:space="preserve"> </w:t>
      </w:r>
      <w:r>
        <w:rPr>
          <w:rFonts w:ascii="宋体" w:hAnsi="宋体" w:eastAsia="宋体" w:cs="宋体"/>
          <w:spacing w:val="-8"/>
          <w:sz w:val="21"/>
          <w:szCs w:val="21"/>
        </w:rPr>
        <w:t>凝土拌和物；</w:t>
      </w:r>
    </w:p>
    <w:p w14:paraId="1932FB43">
      <w:pPr>
        <w:spacing w:before="60" w:line="220" w:lineRule="auto"/>
        <w:ind w:right="7"/>
        <w:jc w:val="right"/>
        <w:rPr>
          <w:rFonts w:ascii="宋体" w:hAnsi="宋体" w:eastAsia="宋体" w:cs="宋体"/>
          <w:sz w:val="21"/>
          <w:szCs w:val="21"/>
        </w:rPr>
      </w:pPr>
      <w:r>
        <w:rPr>
          <w:rFonts w:ascii="宋体" w:hAnsi="宋体" w:eastAsia="宋体" w:cs="宋体"/>
          <w:spacing w:val="-1"/>
          <w:sz w:val="21"/>
          <w:szCs w:val="21"/>
        </w:rPr>
        <w:t>d） 未经拌和楼值班试验人员同意，擅自加水、调改配料量</w:t>
      </w:r>
      <w:r>
        <w:rPr>
          <w:rFonts w:ascii="宋体" w:hAnsi="宋体" w:eastAsia="宋体" w:cs="宋体"/>
          <w:spacing w:val="-2"/>
          <w:sz w:val="21"/>
          <w:szCs w:val="21"/>
        </w:rPr>
        <w:t>造成不符合质量要求的混凝土拌和物；</w:t>
      </w:r>
    </w:p>
    <w:p w14:paraId="0570C567">
      <w:pPr>
        <w:spacing w:before="62" w:line="220" w:lineRule="auto"/>
        <w:ind w:left="425"/>
        <w:rPr>
          <w:rFonts w:ascii="宋体" w:hAnsi="宋体" w:eastAsia="宋体" w:cs="宋体"/>
          <w:sz w:val="21"/>
          <w:szCs w:val="21"/>
        </w:rPr>
      </w:pPr>
      <w:r>
        <w:rPr>
          <w:rFonts w:ascii="宋体" w:hAnsi="宋体" w:eastAsia="宋体" w:cs="宋体"/>
          <w:spacing w:val="-2"/>
          <w:sz w:val="21"/>
          <w:szCs w:val="21"/>
        </w:rPr>
        <w:t>e） 拌和不均匀，夹混生料或冰块等的混凝土拌和物。</w:t>
      </w:r>
    </w:p>
    <w:p w14:paraId="4DEC57EB">
      <w:pPr>
        <w:spacing w:before="62" w:line="222" w:lineRule="auto"/>
        <w:rPr>
          <w:rFonts w:ascii="宋体" w:hAnsi="宋体" w:eastAsia="宋体" w:cs="宋体"/>
          <w:sz w:val="21"/>
          <w:szCs w:val="21"/>
        </w:rPr>
      </w:pPr>
      <w:r>
        <w:rPr>
          <w:rFonts w:ascii="黑体" w:hAnsi="黑体" w:eastAsia="黑体" w:cs="黑体"/>
          <w:spacing w:val="-1"/>
          <w:sz w:val="21"/>
          <w:szCs w:val="21"/>
        </w:rPr>
        <w:t xml:space="preserve">6.3  </w:t>
      </w:r>
      <w:r>
        <w:rPr>
          <w:rFonts w:ascii="宋体" w:hAnsi="宋体" w:eastAsia="宋体" w:cs="宋体"/>
          <w:spacing w:val="-1"/>
          <w:sz w:val="21"/>
          <w:szCs w:val="21"/>
        </w:rPr>
        <w:t>混凝土拌和物不合格料不得入仓，混入仓内的不合格料应作挖除处</w:t>
      </w:r>
      <w:r>
        <w:rPr>
          <w:rFonts w:ascii="宋体" w:hAnsi="宋体" w:eastAsia="宋体" w:cs="宋体"/>
          <w:spacing w:val="-2"/>
          <w:sz w:val="21"/>
          <w:szCs w:val="21"/>
        </w:rPr>
        <w:t>理。</w:t>
      </w:r>
    </w:p>
    <w:p w14:paraId="361825BE">
      <w:pPr>
        <w:spacing w:line="222" w:lineRule="auto"/>
        <w:rPr>
          <w:rFonts w:ascii="宋体" w:hAnsi="宋体" w:eastAsia="宋体" w:cs="宋体"/>
          <w:sz w:val="21"/>
          <w:szCs w:val="21"/>
        </w:rPr>
        <w:sectPr>
          <w:headerReference r:id="rId20" w:type="default"/>
          <w:footerReference r:id="rId21" w:type="default"/>
          <w:pgSz w:w="11905" w:h="16840"/>
          <w:pgMar w:top="1717" w:right="1076" w:bottom="1344" w:left="1424" w:header="1394" w:footer="1109" w:gutter="0"/>
          <w:pgNumType w:fmt="decimal"/>
          <w:cols w:space="720" w:num="1"/>
        </w:sectPr>
      </w:pPr>
    </w:p>
    <w:p w14:paraId="0297732C">
      <w:pPr>
        <w:pStyle w:val="2"/>
      </w:pPr>
    </w:p>
    <w:p w14:paraId="104D4D6E">
      <w:pPr>
        <w:pStyle w:val="2"/>
        <w:spacing w:line="257" w:lineRule="auto"/>
      </w:pPr>
    </w:p>
    <w:p w14:paraId="3ED2891C">
      <w:pPr>
        <w:pStyle w:val="2"/>
        <w:spacing w:line="257" w:lineRule="auto"/>
      </w:pPr>
    </w:p>
    <w:p w14:paraId="42D58C1C">
      <w:pPr>
        <w:spacing w:before="166" w:line="225" w:lineRule="auto"/>
        <w:ind w:left="687"/>
        <w:rPr>
          <w:rFonts w:ascii="黑体" w:hAnsi="黑体" w:eastAsia="黑体" w:cs="黑体"/>
          <w:sz w:val="51"/>
          <w:szCs w:val="51"/>
        </w:rPr>
      </w:pPr>
      <w:r>
        <w:rPr>
          <w:rFonts w:ascii="黑体" w:hAnsi="黑体" w:eastAsia="黑体" w:cs="黑体"/>
          <w:spacing w:val="8"/>
          <w:sz w:val="51"/>
          <w:szCs w:val="51"/>
        </w:rPr>
        <w:t>拱坝混凝土生产质量控制及检验</w:t>
      </w:r>
    </w:p>
    <w:p w14:paraId="2689D98D">
      <w:pPr>
        <w:pStyle w:val="2"/>
        <w:spacing w:line="248" w:lineRule="auto"/>
      </w:pPr>
    </w:p>
    <w:p w14:paraId="5C30D0C2">
      <w:pPr>
        <w:pStyle w:val="2"/>
        <w:spacing w:line="248" w:lineRule="auto"/>
      </w:pPr>
    </w:p>
    <w:p w14:paraId="4FF2D752">
      <w:pPr>
        <w:spacing w:before="156" w:line="220" w:lineRule="auto"/>
        <w:ind w:left="3371"/>
        <w:outlineLvl w:val="0"/>
        <w:rPr>
          <w:rFonts w:ascii="宋体" w:hAnsi="宋体" w:eastAsia="宋体" w:cs="宋体"/>
          <w:sz w:val="48"/>
          <w:szCs w:val="48"/>
        </w:rPr>
      </w:pPr>
      <w:bookmarkStart w:id="17" w:name="bookmark8"/>
      <w:bookmarkEnd w:id="17"/>
      <w:r>
        <w:rPr>
          <w:rFonts w:ascii="宋体" w:hAnsi="宋体" w:eastAsia="宋体" w:cs="宋体"/>
          <w:spacing w:val="-5"/>
          <w:sz w:val="48"/>
          <w:szCs w:val="48"/>
        </w:rPr>
        <w:t>条文说明</w:t>
      </w:r>
    </w:p>
    <w:p w14:paraId="57FD7A23">
      <w:pPr>
        <w:spacing w:line="220" w:lineRule="auto"/>
        <w:rPr>
          <w:rFonts w:ascii="宋体" w:hAnsi="宋体" w:eastAsia="宋体" w:cs="宋体"/>
          <w:sz w:val="48"/>
          <w:szCs w:val="48"/>
        </w:rPr>
        <w:sectPr>
          <w:headerReference r:id="rId22" w:type="default"/>
          <w:footerReference r:id="rId23" w:type="default"/>
          <w:pgSz w:w="11905" w:h="16840"/>
          <w:pgMar w:top="1717" w:right="1132" w:bottom="1344" w:left="1785" w:header="1394" w:footer="1109" w:gutter="0"/>
          <w:pgNumType w:fmt="decimal"/>
          <w:cols w:space="720" w:num="1"/>
        </w:sectPr>
      </w:pPr>
    </w:p>
    <w:p w14:paraId="612DB1D3">
      <w:pPr>
        <w:pStyle w:val="2"/>
      </w:pPr>
    </w:p>
    <w:p w14:paraId="6FF2151F">
      <w:pPr>
        <w:pStyle w:val="2"/>
        <w:spacing w:line="253" w:lineRule="auto"/>
      </w:pPr>
    </w:p>
    <w:p w14:paraId="623A97DB">
      <w:pPr>
        <w:pStyle w:val="2"/>
        <w:spacing w:line="253" w:lineRule="auto"/>
      </w:pPr>
    </w:p>
    <w:p w14:paraId="1FC2F608">
      <w:pPr>
        <w:spacing w:before="104" w:line="222" w:lineRule="auto"/>
        <w:ind w:left="2447"/>
        <w:rPr>
          <w:rFonts w:ascii="黑体" w:hAnsi="黑体" w:eastAsia="黑体" w:cs="黑体"/>
          <w:sz w:val="32"/>
          <w:szCs w:val="32"/>
        </w:rPr>
      </w:pPr>
      <w:r>
        <w:rPr>
          <w:rFonts w:ascii="黑体" w:hAnsi="黑体" w:eastAsia="黑体" w:cs="黑体"/>
          <w:spacing w:val="-1"/>
          <w:sz w:val="32"/>
          <w:szCs w:val="32"/>
        </w:rPr>
        <w:t>拱坝混凝土生产质量控制及检验</w:t>
      </w:r>
    </w:p>
    <w:p w14:paraId="32B9D9F9">
      <w:pPr>
        <w:pStyle w:val="2"/>
        <w:spacing w:line="260" w:lineRule="auto"/>
      </w:pPr>
    </w:p>
    <w:p w14:paraId="559DC18A">
      <w:pPr>
        <w:pStyle w:val="2"/>
        <w:spacing w:line="260" w:lineRule="auto"/>
      </w:pPr>
    </w:p>
    <w:p w14:paraId="1C136F26">
      <w:pPr>
        <w:spacing w:before="69" w:line="223" w:lineRule="auto"/>
        <w:ind w:left="16"/>
        <w:rPr>
          <w:rFonts w:ascii="黑体" w:hAnsi="黑体" w:eastAsia="黑体" w:cs="黑体"/>
          <w:sz w:val="21"/>
          <w:szCs w:val="21"/>
        </w:rPr>
      </w:pPr>
      <w:r>
        <w:rPr>
          <w:rFonts w:ascii="黑体" w:hAnsi="黑体" w:eastAsia="黑体" w:cs="黑体"/>
          <w:spacing w:val="-6"/>
          <w:sz w:val="21"/>
          <w:szCs w:val="21"/>
        </w:rPr>
        <w:t>1</w:t>
      </w:r>
      <w:r>
        <w:rPr>
          <w:rFonts w:ascii="黑体" w:hAnsi="黑体" w:eastAsia="黑体" w:cs="黑体"/>
          <w:spacing w:val="6"/>
          <w:sz w:val="21"/>
          <w:szCs w:val="21"/>
        </w:rPr>
        <w:t xml:space="preserve">  </w:t>
      </w:r>
      <w:r>
        <w:rPr>
          <w:rFonts w:ascii="黑体" w:hAnsi="黑体" w:eastAsia="黑体" w:cs="黑体"/>
          <w:spacing w:val="-6"/>
          <w:sz w:val="21"/>
          <w:szCs w:val="21"/>
        </w:rPr>
        <w:t>适用范围</w:t>
      </w:r>
    </w:p>
    <w:p w14:paraId="4F1E3E96">
      <w:pPr>
        <w:pStyle w:val="2"/>
        <w:spacing w:line="298" w:lineRule="auto"/>
      </w:pPr>
    </w:p>
    <w:p w14:paraId="29047BEB">
      <w:pPr>
        <w:spacing w:before="69" w:line="276" w:lineRule="auto"/>
        <w:ind w:left="5" w:right="9" w:firstLine="420"/>
        <w:jc w:val="both"/>
        <w:rPr>
          <w:rFonts w:ascii="宋体" w:hAnsi="宋体" w:eastAsia="宋体" w:cs="宋体"/>
          <w:sz w:val="21"/>
          <w:szCs w:val="21"/>
        </w:rPr>
      </w:pPr>
      <w:r>
        <w:rPr>
          <w:rFonts w:ascii="宋体" w:hAnsi="宋体" w:eastAsia="宋体" w:cs="宋体"/>
          <w:spacing w:val="-2"/>
          <w:sz w:val="21"/>
          <w:szCs w:val="21"/>
        </w:rPr>
        <w:t>本标准主要参考了 DL/T 5144《水工混凝土施工规范》，</w:t>
      </w:r>
      <w:r>
        <w:rPr>
          <w:rFonts w:ascii="宋体" w:hAnsi="宋体" w:eastAsia="宋体" w:cs="宋体"/>
          <w:spacing w:val="-3"/>
          <w:sz w:val="21"/>
          <w:szCs w:val="21"/>
        </w:rPr>
        <w:t>结合金沙江溪洛渡水电站工程标准《混凝</w:t>
      </w:r>
      <w:r>
        <w:rPr>
          <w:rFonts w:ascii="宋体" w:hAnsi="宋体" w:eastAsia="宋体" w:cs="宋体"/>
          <w:sz w:val="21"/>
          <w:szCs w:val="21"/>
        </w:rPr>
        <w:t xml:space="preserve"> </w:t>
      </w:r>
      <w:r>
        <w:rPr>
          <w:rFonts w:ascii="宋体" w:hAnsi="宋体" w:eastAsia="宋体" w:cs="宋体"/>
          <w:spacing w:val="-2"/>
          <w:sz w:val="21"/>
          <w:szCs w:val="21"/>
        </w:rPr>
        <w:t>土生产质量控制及检验》，以及在实践过程中改进</w:t>
      </w:r>
      <w:r>
        <w:rPr>
          <w:rFonts w:ascii="宋体" w:hAnsi="宋体" w:eastAsia="宋体" w:cs="宋体"/>
          <w:spacing w:val="-3"/>
          <w:sz w:val="21"/>
          <w:szCs w:val="21"/>
        </w:rPr>
        <w:t>措施，并参考国内大型水电站混凝土生产质量控制和</w:t>
      </w:r>
      <w:r>
        <w:rPr>
          <w:rFonts w:ascii="宋体" w:hAnsi="宋体" w:eastAsia="宋体" w:cs="宋体"/>
          <w:sz w:val="21"/>
          <w:szCs w:val="21"/>
        </w:rPr>
        <w:t xml:space="preserve"> </w:t>
      </w:r>
      <w:r>
        <w:rPr>
          <w:rFonts w:ascii="宋体" w:hAnsi="宋体" w:eastAsia="宋体" w:cs="宋体"/>
          <w:spacing w:val="-2"/>
          <w:sz w:val="21"/>
          <w:szCs w:val="21"/>
        </w:rPr>
        <w:t>全面质量管理的经验，为确保和提高水电站混凝土质量而编制。</w:t>
      </w:r>
    </w:p>
    <w:p w14:paraId="5549AC92">
      <w:pPr>
        <w:spacing w:before="308" w:line="222" w:lineRule="auto"/>
        <w:ind w:left="5"/>
        <w:rPr>
          <w:rFonts w:ascii="黑体" w:hAnsi="黑体" w:eastAsia="黑体" w:cs="黑体"/>
          <w:sz w:val="21"/>
          <w:szCs w:val="21"/>
        </w:rPr>
      </w:pPr>
      <w:r>
        <w:rPr>
          <w:rFonts w:ascii="黑体" w:hAnsi="黑体" w:eastAsia="黑体" w:cs="黑体"/>
          <w:spacing w:val="-1"/>
          <w:sz w:val="21"/>
          <w:szCs w:val="21"/>
        </w:rPr>
        <w:t>3  工序质量检验</w:t>
      </w:r>
    </w:p>
    <w:p w14:paraId="7E1F3876">
      <w:pPr>
        <w:pStyle w:val="2"/>
        <w:spacing w:line="300" w:lineRule="auto"/>
      </w:pPr>
    </w:p>
    <w:p w14:paraId="48C05F83">
      <w:pPr>
        <w:spacing w:before="69" w:line="222" w:lineRule="auto"/>
        <w:ind w:left="5"/>
        <w:rPr>
          <w:rFonts w:ascii="宋体" w:hAnsi="宋体" w:eastAsia="宋体" w:cs="宋体"/>
          <w:sz w:val="21"/>
          <w:szCs w:val="21"/>
        </w:rPr>
      </w:pPr>
      <w:r>
        <w:rPr>
          <w:rFonts w:ascii="黑体" w:hAnsi="黑体" w:eastAsia="黑体" w:cs="黑体"/>
          <w:spacing w:val="-3"/>
          <w:sz w:val="21"/>
          <w:szCs w:val="21"/>
        </w:rPr>
        <w:t xml:space="preserve">3.1  </w:t>
      </w:r>
      <w:r>
        <w:rPr>
          <w:rFonts w:ascii="宋体" w:hAnsi="宋体" w:eastAsia="宋体" w:cs="宋体"/>
          <w:spacing w:val="-3"/>
          <w:sz w:val="21"/>
          <w:szCs w:val="21"/>
        </w:rPr>
        <w:t>表</w:t>
      </w:r>
      <w:r>
        <w:rPr>
          <w:rFonts w:ascii="宋体" w:hAnsi="宋体" w:eastAsia="宋体" w:cs="宋体"/>
          <w:spacing w:val="-17"/>
          <w:sz w:val="21"/>
          <w:szCs w:val="21"/>
        </w:rPr>
        <w:t xml:space="preserve"> </w:t>
      </w:r>
      <w:r>
        <w:rPr>
          <w:rFonts w:ascii="宋体" w:hAnsi="宋体" w:eastAsia="宋体" w:cs="宋体"/>
          <w:spacing w:val="-3"/>
          <w:sz w:val="21"/>
          <w:szCs w:val="21"/>
        </w:rPr>
        <w:t>1</w:t>
      </w:r>
      <w:r>
        <w:rPr>
          <w:rFonts w:ascii="宋体" w:hAnsi="宋体" w:eastAsia="宋体" w:cs="宋体"/>
          <w:spacing w:val="-43"/>
          <w:sz w:val="21"/>
          <w:szCs w:val="21"/>
        </w:rPr>
        <w:t xml:space="preserve"> </w:t>
      </w:r>
      <w:r>
        <w:rPr>
          <w:rFonts w:ascii="宋体" w:hAnsi="宋体" w:eastAsia="宋体" w:cs="宋体"/>
          <w:spacing w:val="-3"/>
          <w:sz w:val="21"/>
          <w:szCs w:val="21"/>
        </w:rPr>
        <w:t>规定了混凝土拌制生产质控网点检验内容及要求，说明如下：</w:t>
      </w:r>
    </w:p>
    <w:p w14:paraId="47626E5A">
      <w:pPr>
        <w:spacing w:before="58" w:line="247" w:lineRule="auto"/>
        <w:ind w:left="844" w:right="1" w:hanging="418"/>
        <w:rPr>
          <w:rFonts w:ascii="宋体" w:hAnsi="宋体" w:eastAsia="宋体" w:cs="宋体"/>
          <w:sz w:val="21"/>
          <w:szCs w:val="21"/>
        </w:rPr>
      </w:pPr>
      <w:r>
        <w:rPr>
          <w:rFonts w:ascii="宋体" w:hAnsi="宋体" w:eastAsia="宋体" w:cs="宋体"/>
          <w:spacing w:val="-6"/>
          <w:sz w:val="21"/>
          <w:szCs w:val="21"/>
        </w:rPr>
        <w:t>a） 表</w:t>
      </w:r>
      <w:r>
        <w:rPr>
          <w:rFonts w:ascii="宋体" w:hAnsi="宋体" w:eastAsia="宋体" w:cs="宋体"/>
          <w:spacing w:val="-22"/>
          <w:sz w:val="21"/>
          <w:szCs w:val="21"/>
        </w:rPr>
        <w:t xml:space="preserve"> </w:t>
      </w:r>
      <w:r>
        <w:rPr>
          <w:rFonts w:ascii="宋体" w:hAnsi="宋体" w:eastAsia="宋体" w:cs="宋体"/>
          <w:spacing w:val="-6"/>
          <w:sz w:val="21"/>
          <w:szCs w:val="21"/>
        </w:rPr>
        <w:t>1</w:t>
      </w:r>
      <w:r>
        <w:rPr>
          <w:rFonts w:ascii="宋体" w:hAnsi="宋体" w:eastAsia="宋体" w:cs="宋体"/>
          <w:spacing w:val="-23"/>
          <w:sz w:val="21"/>
          <w:szCs w:val="21"/>
        </w:rPr>
        <w:t xml:space="preserve"> </w:t>
      </w:r>
      <w:r>
        <w:rPr>
          <w:rFonts w:ascii="宋体" w:hAnsi="宋体" w:eastAsia="宋体" w:cs="宋体"/>
          <w:spacing w:val="-6"/>
          <w:sz w:val="21"/>
          <w:szCs w:val="21"/>
        </w:rPr>
        <w:t>中的原材料质控检验是指进入拌和系统储仓（罐、库） 的混凝土原材料，应已经过质量检</w:t>
      </w:r>
      <w:r>
        <w:rPr>
          <w:rFonts w:ascii="宋体" w:hAnsi="宋体" w:eastAsia="宋体" w:cs="宋体"/>
          <w:sz w:val="21"/>
          <w:szCs w:val="21"/>
        </w:rPr>
        <w:t xml:space="preserve"> </w:t>
      </w:r>
      <w:r>
        <w:rPr>
          <w:rFonts w:ascii="宋体" w:hAnsi="宋体" w:eastAsia="宋体" w:cs="宋体"/>
          <w:spacing w:val="-2"/>
          <w:sz w:val="21"/>
          <w:szCs w:val="21"/>
        </w:rPr>
        <w:t>验合格并验收，但在混凝土拌制生产过程中对原材料的检验仍是必要的；</w:t>
      </w:r>
    </w:p>
    <w:p w14:paraId="1F65353D">
      <w:pPr>
        <w:spacing w:before="62" w:line="220" w:lineRule="auto"/>
        <w:ind w:left="422"/>
        <w:rPr>
          <w:rFonts w:ascii="宋体" w:hAnsi="宋体" w:eastAsia="宋体" w:cs="宋体"/>
          <w:sz w:val="21"/>
          <w:szCs w:val="21"/>
        </w:rPr>
      </w:pPr>
      <w:r>
        <w:rPr>
          <w:rFonts w:ascii="宋体" w:hAnsi="宋体" w:eastAsia="宋体" w:cs="宋体"/>
          <w:spacing w:val="-3"/>
          <w:sz w:val="21"/>
          <w:szCs w:val="21"/>
        </w:rPr>
        <w:t>b） 表</w:t>
      </w:r>
      <w:r>
        <w:rPr>
          <w:rFonts w:ascii="宋体" w:hAnsi="宋体" w:eastAsia="宋体" w:cs="宋体"/>
          <w:spacing w:val="-30"/>
          <w:sz w:val="21"/>
          <w:szCs w:val="21"/>
        </w:rPr>
        <w:t xml:space="preserve"> </w:t>
      </w:r>
      <w:r>
        <w:rPr>
          <w:rFonts w:ascii="宋体" w:hAnsi="宋体" w:eastAsia="宋体" w:cs="宋体"/>
          <w:spacing w:val="-3"/>
          <w:sz w:val="21"/>
          <w:szCs w:val="21"/>
        </w:rPr>
        <w:t>1</w:t>
      </w:r>
      <w:r>
        <w:rPr>
          <w:rFonts w:ascii="宋体" w:hAnsi="宋体" w:eastAsia="宋体" w:cs="宋体"/>
          <w:spacing w:val="-24"/>
          <w:sz w:val="21"/>
          <w:szCs w:val="21"/>
        </w:rPr>
        <w:t xml:space="preserve"> </w:t>
      </w:r>
      <w:r>
        <w:rPr>
          <w:rFonts w:ascii="宋体" w:hAnsi="宋体" w:eastAsia="宋体" w:cs="宋体"/>
          <w:spacing w:val="-3"/>
          <w:sz w:val="21"/>
          <w:szCs w:val="21"/>
        </w:rPr>
        <w:t>中的含泥量指的是骨料中粒径小于</w:t>
      </w:r>
      <w:r>
        <w:rPr>
          <w:rFonts w:ascii="宋体" w:hAnsi="宋体" w:eastAsia="宋体" w:cs="宋体"/>
          <w:spacing w:val="-42"/>
          <w:sz w:val="21"/>
          <w:szCs w:val="21"/>
        </w:rPr>
        <w:t xml:space="preserve"> </w:t>
      </w:r>
      <w:r>
        <w:rPr>
          <w:rFonts w:ascii="宋体" w:hAnsi="宋体" w:eastAsia="宋体" w:cs="宋体"/>
          <w:spacing w:val="-3"/>
          <w:sz w:val="21"/>
          <w:szCs w:val="21"/>
        </w:rPr>
        <w:t>0.08mm</w:t>
      </w:r>
      <w:r>
        <w:rPr>
          <w:rFonts w:ascii="宋体" w:hAnsi="宋体" w:eastAsia="宋体" w:cs="宋体"/>
          <w:spacing w:val="-26"/>
          <w:sz w:val="21"/>
          <w:szCs w:val="21"/>
        </w:rPr>
        <w:t xml:space="preserve"> </w:t>
      </w:r>
      <w:r>
        <w:rPr>
          <w:rFonts w:ascii="宋体" w:hAnsi="宋体" w:eastAsia="宋体" w:cs="宋体"/>
          <w:spacing w:val="-3"/>
          <w:sz w:val="21"/>
          <w:szCs w:val="21"/>
        </w:rPr>
        <w:t>的颗粒含量，包</w:t>
      </w:r>
      <w:r>
        <w:rPr>
          <w:rFonts w:ascii="宋体" w:hAnsi="宋体" w:eastAsia="宋体" w:cs="宋体"/>
          <w:spacing w:val="-4"/>
          <w:sz w:val="21"/>
          <w:szCs w:val="21"/>
        </w:rPr>
        <w:t>括黏土、淤泥及细屑；</w:t>
      </w:r>
    </w:p>
    <w:p w14:paraId="2EA1220E">
      <w:pPr>
        <w:spacing w:before="62" w:line="247" w:lineRule="auto"/>
        <w:ind w:left="845" w:hanging="416"/>
        <w:rPr>
          <w:rFonts w:ascii="宋体" w:hAnsi="宋体" w:eastAsia="宋体" w:cs="宋体"/>
          <w:sz w:val="21"/>
          <w:szCs w:val="21"/>
        </w:rPr>
      </w:pPr>
      <w:r>
        <w:rPr>
          <w:rFonts w:ascii="宋体" w:hAnsi="宋体" w:eastAsia="宋体" w:cs="宋体"/>
          <w:spacing w:val="-3"/>
          <w:sz w:val="21"/>
          <w:szCs w:val="21"/>
        </w:rPr>
        <w:t>c）</w:t>
      </w:r>
      <w:r>
        <w:rPr>
          <w:rFonts w:ascii="宋体" w:hAnsi="宋体" w:eastAsia="宋体" w:cs="宋体"/>
          <w:spacing w:val="-24"/>
          <w:sz w:val="21"/>
          <w:szCs w:val="21"/>
        </w:rPr>
        <w:t xml:space="preserve"> </w:t>
      </w:r>
      <w:r>
        <w:rPr>
          <w:rFonts w:ascii="宋体" w:hAnsi="宋体" w:eastAsia="宋体" w:cs="宋体"/>
          <w:spacing w:val="-3"/>
          <w:sz w:val="21"/>
          <w:szCs w:val="21"/>
        </w:rPr>
        <w:t>表</w:t>
      </w:r>
      <w:r>
        <w:rPr>
          <w:rFonts w:ascii="宋体" w:hAnsi="宋体" w:eastAsia="宋体" w:cs="宋体"/>
          <w:spacing w:val="-29"/>
          <w:sz w:val="21"/>
          <w:szCs w:val="21"/>
        </w:rPr>
        <w:t xml:space="preserve"> </w:t>
      </w:r>
      <w:r>
        <w:rPr>
          <w:rFonts w:ascii="宋体" w:hAnsi="宋体" w:eastAsia="宋体" w:cs="宋体"/>
          <w:spacing w:val="-3"/>
          <w:sz w:val="21"/>
          <w:szCs w:val="21"/>
        </w:rPr>
        <w:t>1</w:t>
      </w:r>
      <w:r>
        <w:rPr>
          <w:rFonts w:ascii="宋体" w:hAnsi="宋体" w:eastAsia="宋体" w:cs="宋体"/>
          <w:spacing w:val="-24"/>
          <w:sz w:val="21"/>
          <w:szCs w:val="21"/>
        </w:rPr>
        <w:t xml:space="preserve"> </w:t>
      </w:r>
      <w:r>
        <w:rPr>
          <w:rFonts w:ascii="宋体" w:hAnsi="宋体" w:eastAsia="宋体" w:cs="宋体"/>
          <w:spacing w:val="-3"/>
          <w:sz w:val="21"/>
          <w:szCs w:val="21"/>
        </w:rPr>
        <w:t>中细骨料含水率在必要时应加密检测，具体包括雨雪后、含水率波动大等</w:t>
      </w:r>
      <w:r>
        <w:rPr>
          <w:rFonts w:ascii="宋体" w:hAnsi="宋体" w:eastAsia="宋体" w:cs="宋体"/>
          <w:spacing w:val="-4"/>
          <w:sz w:val="21"/>
          <w:szCs w:val="21"/>
        </w:rPr>
        <w:t>特殊情况时应加</w:t>
      </w:r>
      <w:r>
        <w:rPr>
          <w:rFonts w:ascii="宋体" w:hAnsi="宋体" w:eastAsia="宋体" w:cs="宋体"/>
          <w:sz w:val="21"/>
          <w:szCs w:val="21"/>
        </w:rPr>
        <w:t xml:space="preserve"> </w:t>
      </w:r>
      <w:r>
        <w:rPr>
          <w:rFonts w:ascii="宋体" w:hAnsi="宋体" w:eastAsia="宋体" w:cs="宋体"/>
          <w:spacing w:val="-11"/>
          <w:sz w:val="21"/>
          <w:szCs w:val="21"/>
        </w:rPr>
        <w:t>密检测；</w:t>
      </w:r>
    </w:p>
    <w:p w14:paraId="1A89482B">
      <w:pPr>
        <w:spacing w:before="61" w:line="220" w:lineRule="auto"/>
        <w:ind w:left="429"/>
        <w:rPr>
          <w:rFonts w:ascii="宋体" w:hAnsi="宋体" w:eastAsia="宋体" w:cs="宋体"/>
          <w:sz w:val="21"/>
          <w:szCs w:val="21"/>
        </w:rPr>
      </w:pPr>
      <w:r>
        <w:rPr>
          <w:rFonts w:ascii="宋体" w:hAnsi="宋体" w:eastAsia="宋体" w:cs="宋体"/>
          <w:spacing w:val="-3"/>
          <w:sz w:val="21"/>
          <w:szCs w:val="21"/>
        </w:rPr>
        <w:t>d） 表</w:t>
      </w:r>
      <w:r>
        <w:rPr>
          <w:rFonts w:ascii="宋体" w:hAnsi="宋体" w:eastAsia="宋体" w:cs="宋体"/>
          <w:spacing w:val="-25"/>
          <w:sz w:val="21"/>
          <w:szCs w:val="21"/>
        </w:rPr>
        <w:t xml:space="preserve"> </w:t>
      </w:r>
      <w:r>
        <w:rPr>
          <w:rFonts w:ascii="宋体" w:hAnsi="宋体" w:eastAsia="宋体" w:cs="宋体"/>
          <w:spacing w:val="-3"/>
          <w:sz w:val="21"/>
          <w:szCs w:val="21"/>
        </w:rPr>
        <w:t>1</w:t>
      </w:r>
      <w:r>
        <w:rPr>
          <w:rFonts w:ascii="宋体" w:hAnsi="宋体" w:eastAsia="宋体" w:cs="宋体"/>
          <w:spacing w:val="-23"/>
          <w:sz w:val="21"/>
          <w:szCs w:val="21"/>
        </w:rPr>
        <w:t xml:space="preserve"> </w:t>
      </w:r>
      <w:r>
        <w:rPr>
          <w:rFonts w:ascii="宋体" w:hAnsi="宋体" w:eastAsia="宋体" w:cs="宋体"/>
          <w:spacing w:val="-3"/>
          <w:sz w:val="21"/>
          <w:szCs w:val="21"/>
        </w:rPr>
        <w:t>中配制溶液浓度应每池检测，不合格应采取措施进行调整，合格后才能使用；</w:t>
      </w:r>
    </w:p>
    <w:p w14:paraId="13D773D9">
      <w:pPr>
        <w:spacing w:before="63" w:line="220" w:lineRule="auto"/>
        <w:ind w:left="430"/>
        <w:rPr>
          <w:rFonts w:ascii="宋体" w:hAnsi="宋体" w:eastAsia="宋体" w:cs="宋体"/>
          <w:sz w:val="21"/>
          <w:szCs w:val="21"/>
        </w:rPr>
      </w:pPr>
      <w:r>
        <w:rPr>
          <w:rFonts w:ascii="宋体" w:hAnsi="宋体" w:eastAsia="宋体" w:cs="宋体"/>
          <w:spacing w:val="-4"/>
          <w:sz w:val="21"/>
          <w:szCs w:val="21"/>
        </w:rPr>
        <w:t>e） 表</w:t>
      </w:r>
      <w:r>
        <w:rPr>
          <w:rFonts w:ascii="宋体" w:hAnsi="宋体" w:eastAsia="宋体" w:cs="宋体"/>
          <w:spacing w:val="-25"/>
          <w:sz w:val="21"/>
          <w:szCs w:val="21"/>
        </w:rPr>
        <w:t xml:space="preserve"> </w:t>
      </w:r>
      <w:r>
        <w:rPr>
          <w:rFonts w:ascii="宋体" w:hAnsi="宋体" w:eastAsia="宋体" w:cs="宋体"/>
          <w:spacing w:val="-4"/>
          <w:sz w:val="21"/>
          <w:szCs w:val="21"/>
        </w:rPr>
        <w:t>1</w:t>
      </w:r>
      <w:r>
        <w:rPr>
          <w:rFonts w:ascii="宋体" w:hAnsi="宋体" w:eastAsia="宋体" w:cs="宋体"/>
          <w:spacing w:val="-23"/>
          <w:sz w:val="21"/>
          <w:szCs w:val="21"/>
        </w:rPr>
        <w:t xml:space="preserve"> </w:t>
      </w:r>
      <w:r>
        <w:rPr>
          <w:rFonts w:ascii="宋体" w:hAnsi="宋体" w:eastAsia="宋体" w:cs="宋体"/>
          <w:spacing w:val="-4"/>
          <w:sz w:val="21"/>
          <w:szCs w:val="21"/>
        </w:rPr>
        <w:t>中序号</w:t>
      </w:r>
      <w:r>
        <w:rPr>
          <w:rFonts w:ascii="宋体" w:hAnsi="宋体" w:eastAsia="宋体" w:cs="宋体"/>
          <w:spacing w:val="-43"/>
          <w:sz w:val="21"/>
          <w:szCs w:val="21"/>
        </w:rPr>
        <w:t xml:space="preserve"> </w:t>
      </w:r>
      <w:r>
        <w:rPr>
          <w:rFonts w:ascii="宋体" w:hAnsi="宋体" w:eastAsia="宋体" w:cs="宋体"/>
          <w:spacing w:val="-4"/>
          <w:sz w:val="21"/>
          <w:szCs w:val="21"/>
        </w:rPr>
        <w:t>8</w:t>
      </w:r>
      <w:r>
        <w:rPr>
          <w:rFonts w:ascii="宋体" w:hAnsi="宋体" w:eastAsia="宋体" w:cs="宋体"/>
          <w:spacing w:val="-24"/>
          <w:sz w:val="21"/>
          <w:szCs w:val="21"/>
        </w:rPr>
        <w:t xml:space="preserve"> </w:t>
      </w:r>
      <w:r>
        <w:rPr>
          <w:rFonts w:ascii="宋体" w:hAnsi="宋体" w:eastAsia="宋体" w:cs="宋体"/>
          <w:spacing w:val="-4"/>
          <w:sz w:val="21"/>
          <w:szCs w:val="21"/>
        </w:rPr>
        <w:t>中，拌和时间已在拌和系统中设置，试验人员应每</w:t>
      </w:r>
      <w:r>
        <w:rPr>
          <w:rFonts w:ascii="宋体" w:hAnsi="宋体" w:eastAsia="宋体" w:cs="宋体"/>
          <w:spacing w:val="-45"/>
          <w:sz w:val="21"/>
          <w:szCs w:val="21"/>
        </w:rPr>
        <w:t xml:space="preserve"> </w:t>
      </w:r>
      <w:r>
        <w:rPr>
          <w:rFonts w:ascii="宋体" w:hAnsi="宋体" w:eastAsia="宋体" w:cs="宋体"/>
          <w:spacing w:val="-4"/>
          <w:sz w:val="21"/>
          <w:szCs w:val="21"/>
        </w:rPr>
        <w:t>4</w:t>
      </w:r>
      <w:r>
        <w:rPr>
          <w:rFonts w:ascii="宋体" w:hAnsi="宋体" w:eastAsia="宋体" w:cs="宋体"/>
          <w:spacing w:val="-38"/>
          <w:sz w:val="21"/>
          <w:szCs w:val="21"/>
        </w:rPr>
        <w:t xml:space="preserve"> </w:t>
      </w:r>
      <w:r>
        <w:rPr>
          <w:rFonts w:ascii="宋体" w:hAnsi="宋体" w:eastAsia="宋体" w:cs="宋体"/>
          <w:spacing w:val="-4"/>
          <w:sz w:val="21"/>
          <w:szCs w:val="21"/>
        </w:rPr>
        <w:t>小时复核一次拌和时间；</w:t>
      </w:r>
    </w:p>
    <w:p w14:paraId="590DF585">
      <w:pPr>
        <w:spacing w:before="62" w:line="256" w:lineRule="auto"/>
        <w:ind w:left="845" w:right="2" w:hanging="416"/>
        <w:rPr>
          <w:rFonts w:ascii="宋体" w:hAnsi="宋体" w:eastAsia="宋体" w:cs="宋体"/>
          <w:sz w:val="21"/>
          <w:szCs w:val="21"/>
        </w:rPr>
      </w:pPr>
      <w:r>
        <w:rPr>
          <w:rFonts w:ascii="宋体" w:hAnsi="宋体" w:eastAsia="宋体" w:cs="宋体"/>
          <w:spacing w:val="-3"/>
          <w:sz w:val="21"/>
          <w:szCs w:val="21"/>
        </w:rPr>
        <w:t>f） 表</w:t>
      </w:r>
      <w:r>
        <w:rPr>
          <w:rFonts w:ascii="宋体" w:hAnsi="宋体" w:eastAsia="宋体" w:cs="宋体"/>
          <w:spacing w:val="-13"/>
          <w:sz w:val="21"/>
          <w:szCs w:val="21"/>
        </w:rPr>
        <w:t xml:space="preserve"> </w:t>
      </w:r>
      <w:r>
        <w:rPr>
          <w:rFonts w:ascii="宋体" w:hAnsi="宋体" w:eastAsia="宋体" w:cs="宋体"/>
          <w:spacing w:val="-3"/>
          <w:sz w:val="21"/>
          <w:szCs w:val="21"/>
        </w:rPr>
        <w:t>1</w:t>
      </w:r>
      <w:r>
        <w:rPr>
          <w:rFonts w:ascii="宋体" w:hAnsi="宋体" w:eastAsia="宋体" w:cs="宋体"/>
          <w:spacing w:val="-24"/>
          <w:sz w:val="21"/>
          <w:szCs w:val="21"/>
        </w:rPr>
        <w:t xml:space="preserve"> </w:t>
      </w:r>
      <w:r>
        <w:rPr>
          <w:rFonts w:ascii="宋体" w:hAnsi="宋体" w:eastAsia="宋体" w:cs="宋体"/>
          <w:spacing w:val="-3"/>
          <w:sz w:val="21"/>
          <w:szCs w:val="21"/>
        </w:rPr>
        <w:t>中序号</w:t>
      </w:r>
      <w:r>
        <w:rPr>
          <w:rFonts w:ascii="宋体" w:hAnsi="宋体" w:eastAsia="宋体" w:cs="宋体"/>
          <w:spacing w:val="-28"/>
          <w:sz w:val="21"/>
          <w:szCs w:val="21"/>
        </w:rPr>
        <w:t xml:space="preserve"> </w:t>
      </w:r>
      <w:r>
        <w:rPr>
          <w:rFonts w:ascii="宋体" w:hAnsi="宋体" w:eastAsia="宋体" w:cs="宋体"/>
          <w:spacing w:val="-3"/>
          <w:sz w:val="21"/>
          <w:szCs w:val="21"/>
        </w:rPr>
        <w:t>12</w:t>
      </w:r>
      <w:r>
        <w:rPr>
          <w:rFonts w:ascii="宋体" w:hAnsi="宋体" w:eastAsia="宋体" w:cs="宋体"/>
          <w:spacing w:val="-26"/>
          <w:sz w:val="21"/>
          <w:szCs w:val="21"/>
        </w:rPr>
        <w:t xml:space="preserve"> </w:t>
      </w:r>
      <w:r>
        <w:rPr>
          <w:rFonts w:ascii="宋体" w:hAnsi="宋体" w:eastAsia="宋体" w:cs="宋体"/>
          <w:spacing w:val="-3"/>
          <w:sz w:val="21"/>
          <w:szCs w:val="21"/>
        </w:rPr>
        <w:t>的性能检测，包括混凝土凝结时间、泌水率、坍落度和含气量的损失试验，主</w:t>
      </w:r>
      <w:r>
        <w:rPr>
          <w:rFonts w:ascii="宋体" w:hAnsi="宋体" w:eastAsia="宋体" w:cs="宋体"/>
          <w:sz w:val="21"/>
          <w:szCs w:val="21"/>
        </w:rPr>
        <w:t xml:space="preserve"> </w:t>
      </w:r>
      <w:r>
        <w:rPr>
          <w:rFonts w:ascii="宋体" w:hAnsi="宋体" w:eastAsia="宋体" w:cs="宋体"/>
          <w:spacing w:val="-5"/>
          <w:sz w:val="21"/>
          <w:szCs w:val="21"/>
        </w:rPr>
        <w:t>要针对水泥、粉煤灰、外加剂的品种有变动时。即使原材料质量无重大变动， 但温、湿度及材</w:t>
      </w:r>
      <w:r>
        <w:rPr>
          <w:rFonts w:ascii="宋体" w:hAnsi="宋体" w:eastAsia="宋体" w:cs="宋体"/>
          <w:sz w:val="21"/>
          <w:szCs w:val="21"/>
        </w:rPr>
        <w:t xml:space="preserve"> </w:t>
      </w:r>
      <w:r>
        <w:rPr>
          <w:rFonts w:ascii="宋体" w:hAnsi="宋体" w:eastAsia="宋体" w:cs="宋体"/>
          <w:spacing w:val="-2"/>
          <w:sz w:val="21"/>
          <w:szCs w:val="21"/>
        </w:rPr>
        <w:t>料质量波动必然存在，因此每月进行一次检测是必要</w:t>
      </w:r>
      <w:r>
        <w:rPr>
          <w:rFonts w:ascii="宋体" w:hAnsi="宋体" w:eastAsia="宋体" w:cs="宋体"/>
          <w:spacing w:val="-3"/>
          <w:sz w:val="21"/>
          <w:szCs w:val="21"/>
        </w:rPr>
        <w:t>的；</w:t>
      </w:r>
    </w:p>
    <w:p w14:paraId="47A57FC4">
      <w:pPr>
        <w:spacing w:before="62" w:line="214" w:lineRule="auto"/>
        <w:ind w:left="429"/>
        <w:rPr>
          <w:rFonts w:ascii="宋体" w:hAnsi="宋体" w:eastAsia="宋体" w:cs="宋体"/>
          <w:sz w:val="21"/>
          <w:szCs w:val="21"/>
        </w:rPr>
      </w:pPr>
      <w:r>
        <w:rPr>
          <w:rFonts w:ascii="宋体" w:hAnsi="宋体" w:eastAsia="宋体" w:cs="宋体"/>
          <w:spacing w:val="-5"/>
          <w:sz w:val="21"/>
          <w:szCs w:val="21"/>
        </w:rPr>
        <w:t>g） 表</w:t>
      </w:r>
      <w:r>
        <w:rPr>
          <w:rFonts w:ascii="宋体" w:hAnsi="宋体" w:eastAsia="宋体" w:cs="宋体"/>
          <w:spacing w:val="-30"/>
          <w:sz w:val="21"/>
          <w:szCs w:val="21"/>
        </w:rPr>
        <w:t xml:space="preserve"> </w:t>
      </w:r>
      <w:r>
        <w:rPr>
          <w:rFonts w:ascii="宋体" w:hAnsi="宋体" w:eastAsia="宋体" w:cs="宋体"/>
          <w:spacing w:val="-5"/>
          <w:sz w:val="21"/>
          <w:szCs w:val="21"/>
        </w:rPr>
        <w:t>1</w:t>
      </w:r>
      <w:r>
        <w:rPr>
          <w:rFonts w:ascii="宋体" w:hAnsi="宋体" w:eastAsia="宋体" w:cs="宋体"/>
          <w:spacing w:val="-24"/>
          <w:sz w:val="21"/>
          <w:szCs w:val="21"/>
        </w:rPr>
        <w:t xml:space="preserve"> </w:t>
      </w:r>
      <w:r>
        <w:rPr>
          <w:rFonts w:ascii="宋体" w:hAnsi="宋体" w:eastAsia="宋体" w:cs="宋体"/>
          <w:spacing w:val="-5"/>
          <w:sz w:val="21"/>
          <w:szCs w:val="21"/>
        </w:rPr>
        <w:t>中序号</w:t>
      </w:r>
      <w:r>
        <w:rPr>
          <w:rFonts w:ascii="宋体" w:hAnsi="宋体" w:eastAsia="宋体" w:cs="宋体"/>
          <w:spacing w:val="-28"/>
          <w:sz w:val="21"/>
          <w:szCs w:val="21"/>
        </w:rPr>
        <w:t xml:space="preserve"> </w:t>
      </w:r>
      <w:r>
        <w:rPr>
          <w:rFonts w:ascii="宋体" w:hAnsi="宋体" w:eastAsia="宋体" w:cs="宋体"/>
          <w:spacing w:val="-5"/>
          <w:sz w:val="21"/>
          <w:szCs w:val="21"/>
        </w:rPr>
        <w:t>13</w:t>
      </w:r>
      <w:r>
        <w:rPr>
          <w:rFonts w:ascii="宋体" w:hAnsi="宋体" w:eastAsia="宋体" w:cs="宋体"/>
          <w:spacing w:val="-26"/>
          <w:sz w:val="21"/>
          <w:szCs w:val="21"/>
        </w:rPr>
        <w:t xml:space="preserve"> </w:t>
      </w:r>
      <w:r>
        <w:rPr>
          <w:rFonts w:ascii="宋体" w:hAnsi="宋体" w:eastAsia="宋体" w:cs="宋体"/>
          <w:spacing w:val="-5"/>
          <w:sz w:val="21"/>
          <w:szCs w:val="21"/>
        </w:rPr>
        <w:t>的砂浆是指混凝土浇筑施工缝铺筑</w:t>
      </w:r>
      <w:r>
        <w:rPr>
          <w:rFonts w:ascii="宋体" w:hAnsi="宋体" w:eastAsia="宋体" w:cs="宋体"/>
          <w:spacing w:val="-6"/>
          <w:sz w:val="21"/>
          <w:szCs w:val="21"/>
        </w:rPr>
        <w:t>的接缝砂浆；</w:t>
      </w:r>
    </w:p>
    <w:p w14:paraId="3B49E595">
      <w:pPr>
        <w:spacing w:before="69" w:line="247" w:lineRule="auto"/>
        <w:ind w:left="847" w:hanging="424"/>
        <w:rPr>
          <w:rFonts w:ascii="宋体" w:hAnsi="宋体" w:eastAsia="宋体" w:cs="宋体"/>
          <w:sz w:val="21"/>
          <w:szCs w:val="21"/>
        </w:rPr>
      </w:pPr>
      <w:r>
        <w:rPr>
          <w:rFonts w:ascii="宋体" w:hAnsi="宋体" w:eastAsia="宋体" w:cs="宋体"/>
          <w:spacing w:val="-5"/>
          <w:sz w:val="21"/>
          <w:szCs w:val="21"/>
        </w:rPr>
        <w:t>h） 混凝土施工质量以抗压强度为主要质量控制项目。为及早掌握混凝土强度趋势，</w:t>
      </w:r>
      <w:r>
        <w:rPr>
          <w:rFonts w:ascii="宋体" w:hAnsi="宋体" w:eastAsia="宋体" w:cs="宋体"/>
          <w:spacing w:val="-25"/>
          <w:sz w:val="21"/>
          <w:szCs w:val="21"/>
        </w:rPr>
        <w:t xml:space="preserve"> </w:t>
      </w:r>
      <w:r>
        <w:rPr>
          <w:rFonts w:ascii="宋体" w:hAnsi="宋体" w:eastAsia="宋体" w:cs="宋体"/>
          <w:spacing w:val="-5"/>
          <w:sz w:val="21"/>
          <w:szCs w:val="21"/>
        </w:rPr>
        <w:t>表</w:t>
      </w:r>
      <w:r>
        <w:rPr>
          <w:rFonts w:ascii="宋体" w:hAnsi="宋体" w:eastAsia="宋体" w:cs="宋体"/>
          <w:spacing w:val="-42"/>
          <w:sz w:val="21"/>
          <w:szCs w:val="21"/>
        </w:rPr>
        <w:t xml:space="preserve"> </w:t>
      </w:r>
      <w:r>
        <w:rPr>
          <w:rFonts w:ascii="宋体" w:hAnsi="宋体" w:eastAsia="宋体" w:cs="宋体"/>
          <w:spacing w:val="-5"/>
          <w:sz w:val="21"/>
          <w:szCs w:val="21"/>
        </w:rPr>
        <w:t>2</w:t>
      </w:r>
      <w:r>
        <w:rPr>
          <w:rFonts w:ascii="宋体" w:hAnsi="宋体" w:eastAsia="宋体" w:cs="宋体"/>
          <w:spacing w:val="-23"/>
          <w:sz w:val="21"/>
          <w:szCs w:val="21"/>
        </w:rPr>
        <w:t xml:space="preserve"> </w:t>
      </w:r>
      <w:r>
        <w:rPr>
          <w:rFonts w:ascii="宋体" w:hAnsi="宋体" w:eastAsia="宋体" w:cs="宋体"/>
          <w:spacing w:val="-5"/>
          <w:sz w:val="21"/>
          <w:szCs w:val="21"/>
        </w:rPr>
        <w:t>中规定了</w:t>
      </w:r>
      <w:r>
        <w:rPr>
          <w:rFonts w:ascii="宋体" w:hAnsi="宋体" w:eastAsia="宋体" w:cs="宋体"/>
          <w:sz w:val="21"/>
          <w:szCs w:val="21"/>
        </w:rPr>
        <w:t xml:space="preserve"> </w:t>
      </w:r>
      <w:r>
        <w:rPr>
          <w:rFonts w:ascii="宋体" w:hAnsi="宋体" w:eastAsia="宋体" w:cs="宋体"/>
          <w:spacing w:val="-8"/>
          <w:sz w:val="21"/>
          <w:szCs w:val="21"/>
        </w:rPr>
        <w:t>成型</w:t>
      </w:r>
      <w:r>
        <w:rPr>
          <w:rFonts w:ascii="宋体" w:hAnsi="宋体" w:eastAsia="宋体" w:cs="宋体"/>
          <w:spacing w:val="-38"/>
          <w:sz w:val="21"/>
          <w:szCs w:val="21"/>
        </w:rPr>
        <w:t xml:space="preserve"> </w:t>
      </w:r>
      <w:r>
        <w:rPr>
          <w:rFonts w:ascii="宋体" w:hAnsi="宋体" w:eastAsia="宋体" w:cs="宋体"/>
          <w:spacing w:val="-8"/>
          <w:sz w:val="21"/>
          <w:szCs w:val="21"/>
        </w:rPr>
        <w:t>7d</w:t>
      </w:r>
      <w:r>
        <w:rPr>
          <w:rFonts w:ascii="宋体" w:hAnsi="宋体" w:eastAsia="宋体" w:cs="宋体"/>
          <w:spacing w:val="-39"/>
          <w:sz w:val="21"/>
          <w:szCs w:val="21"/>
        </w:rPr>
        <w:t xml:space="preserve"> </w:t>
      </w:r>
      <w:r>
        <w:rPr>
          <w:rFonts w:ascii="宋体" w:hAnsi="宋体" w:eastAsia="宋体" w:cs="宋体"/>
          <w:spacing w:val="-8"/>
          <w:sz w:val="21"/>
          <w:szCs w:val="21"/>
        </w:rPr>
        <w:t>强度试件；</w:t>
      </w:r>
    </w:p>
    <w:p w14:paraId="43D87E99">
      <w:pPr>
        <w:spacing w:before="61" w:line="256" w:lineRule="auto"/>
        <w:ind w:left="845" w:right="2" w:hanging="406"/>
        <w:rPr>
          <w:rFonts w:ascii="宋体" w:hAnsi="宋体" w:eastAsia="宋体" w:cs="宋体"/>
          <w:sz w:val="21"/>
          <w:szCs w:val="21"/>
        </w:rPr>
      </w:pPr>
      <w:r>
        <w:rPr>
          <w:rFonts w:ascii="宋体" w:hAnsi="宋体" w:eastAsia="宋体" w:cs="宋体"/>
          <w:spacing w:val="-2"/>
          <w:sz w:val="21"/>
          <w:szCs w:val="21"/>
        </w:rPr>
        <w:t>i）</w:t>
      </w:r>
      <w:r>
        <w:rPr>
          <w:rFonts w:ascii="宋体" w:hAnsi="宋体" w:eastAsia="宋体" w:cs="宋体"/>
          <w:spacing w:val="-33"/>
          <w:sz w:val="21"/>
          <w:szCs w:val="21"/>
        </w:rPr>
        <w:t xml:space="preserve"> </w:t>
      </w:r>
      <w:r>
        <w:rPr>
          <w:rFonts w:ascii="宋体" w:hAnsi="宋体" w:eastAsia="宋体" w:cs="宋体"/>
          <w:spacing w:val="-2"/>
          <w:sz w:val="21"/>
          <w:szCs w:val="21"/>
        </w:rPr>
        <w:t>全面性能检验成型是为检验和校核设计的混凝土配合比性能，极限拉伸和抗压弹模除原检测频</w:t>
      </w:r>
      <w:r>
        <w:rPr>
          <w:rFonts w:ascii="宋体" w:hAnsi="宋体" w:eastAsia="宋体" w:cs="宋体"/>
          <w:sz w:val="21"/>
          <w:szCs w:val="21"/>
        </w:rPr>
        <w:t xml:space="preserve"> </w:t>
      </w:r>
      <w:r>
        <w:rPr>
          <w:rFonts w:ascii="宋体" w:hAnsi="宋体" w:eastAsia="宋体" w:cs="宋体"/>
          <w:spacing w:val="-3"/>
          <w:sz w:val="21"/>
          <w:szCs w:val="21"/>
        </w:rPr>
        <w:t>次按照混凝土方量进行取样外，同时每月进行全面性能检验。在混凝土成型的同时应对该混凝</w:t>
      </w:r>
      <w:r>
        <w:rPr>
          <w:rFonts w:ascii="宋体" w:hAnsi="宋体" w:eastAsia="宋体" w:cs="宋体"/>
          <w:spacing w:val="16"/>
          <w:sz w:val="21"/>
          <w:szCs w:val="21"/>
        </w:rPr>
        <w:t xml:space="preserve"> </w:t>
      </w:r>
      <w:r>
        <w:rPr>
          <w:rFonts w:ascii="宋体" w:hAnsi="宋体" w:eastAsia="宋体" w:cs="宋体"/>
          <w:spacing w:val="-1"/>
          <w:sz w:val="21"/>
          <w:szCs w:val="21"/>
        </w:rPr>
        <w:t>土所使用的原材料（骨料、水泥、粉煤灰、外加剂）进行</w:t>
      </w:r>
      <w:r>
        <w:rPr>
          <w:rFonts w:ascii="宋体" w:hAnsi="宋体" w:eastAsia="宋体" w:cs="宋体"/>
          <w:spacing w:val="-2"/>
          <w:sz w:val="21"/>
          <w:szCs w:val="21"/>
        </w:rPr>
        <w:t>全面质量检测。</w:t>
      </w:r>
    </w:p>
    <w:p w14:paraId="23235F8B">
      <w:pPr>
        <w:spacing w:before="64" w:line="275" w:lineRule="auto"/>
        <w:ind w:left="4" w:right="1"/>
        <w:jc w:val="both"/>
        <w:rPr>
          <w:rFonts w:ascii="宋体" w:hAnsi="宋体" w:eastAsia="宋体" w:cs="宋体"/>
          <w:sz w:val="21"/>
          <w:szCs w:val="21"/>
        </w:rPr>
      </w:pPr>
      <w:r>
        <w:rPr>
          <w:rFonts w:ascii="黑体" w:hAnsi="黑体" w:eastAsia="黑体" w:cs="黑体"/>
          <w:spacing w:val="-2"/>
          <w:sz w:val="21"/>
          <w:szCs w:val="21"/>
        </w:rPr>
        <w:t xml:space="preserve">3.2  </w:t>
      </w:r>
      <w:r>
        <w:rPr>
          <w:rFonts w:ascii="宋体" w:hAnsi="宋体" w:eastAsia="宋体" w:cs="宋体"/>
          <w:spacing w:val="-2"/>
          <w:sz w:val="21"/>
          <w:szCs w:val="21"/>
        </w:rPr>
        <w:t>表</w:t>
      </w:r>
      <w:r>
        <w:rPr>
          <w:rFonts w:ascii="宋体" w:hAnsi="宋体" w:eastAsia="宋体" w:cs="宋体"/>
          <w:spacing w:val="-15"/>
          <w:sz w:val="21"/>
          <w:szCs w:val="21"/>
        </w:rPr>
        <w:t xml:space="preserve"> </w:t>
      </w:r>
      <w:r>
        <w:rPr>
          <w:rFonts w:ascii="宋体" w:hAnsi="宋体" w:eastAsia="宋体" w:cs="宋体"/>
          <w:spacing w:val="-2"/>
          <w:sz w:val="21"/>
          <w:szCs w:val="21"/>
        </w:rPr>
        <w:t>1</w:t>
      </w:r>
      <w:r>
        <w:rPr>
          <w:rFonts w:ascii="宋体" w:hAnsi="宋体" w:eastAsia="宋体" w:cs="宋体"/>
          <w:spacing w:val="-40"/>
          <w:sz w:val="21"/>
          <w:szCs w:val="21"/>
        </w:rPr>
        <w:t xml:space="preserve"> </w:t>
      </w:r>
      <w:r>
        <w:rPr>
          <w:rFonts w:ascii="宋体" w:hAnsi="宋体" w:eastAsia="宋体" w:cs="宋体"/>
          <w:spacing w:val="-2"/>
          <w:sz w:val="21"/>
          <w:szCs w:val="21"/>
        </w:rPr>
        <w:t>和表</w:t>
      </w:r>
      <w:r>
        <w:rPr>
          <w:rFonts w:ascii="宋体" w:hAnsi="宋体" w:eastAsia="宋体" w:cs="宋体"/>
          <w:spacing w:val="-39"/>
          <w:sz w:val="21"/>
          <w:szCs w:val="21"/>
        </w:rPr>
        <w:t xml:space="preserve"> </w:t>
      </w:r>
      <w:r>
        <w:rPr>
          <w:rFonts w:ascii="宋体" w:hAnsi="宋体" w:eastAsia="宋体" w:cs="宋体"/>
          <w:spacing w:val="-2"/>
          <w:sz w:val="21"/>
          <w:szCs w:val="21"/>
        </w:rPr>
        <w:t>2</w:t>
      </w:r>
      <w:r>
        <w:rPr>
          <w:rFonts w:ascii="宋体" w:hAnsi="宋体" w:eastAsia="宋体" w:cs="宋体"/>
          <w:spacing w:val="-21"/>
          <w:sz w:val="21"/>
          <w:szCs w:val="21"/>
        </w:rPr>
        <w:t xml:space="preserve"> </w:t>
      </w:r>
      <w:r>
        <w:rPr>
          <w:rFonts w:ascii="宋体" w:hAnsi="宋体" w:eastAsia="宋体" w:cs="宋体"/>
          <w:spacing w:val="-2"/>
          <w:sz w:val="21"/>
          <w:szCs w:val="21"/>
        </w:rPr>
        <w:t>中规定的检验频率均是工程承包商应检验的工作量，工程监理单位的检验工作量不应</w:t>
      </w:r>
      <w:r>
        <w:rPr>
          <w:rFonts w:ascii="宋体" w:hAnsi="宋体" w:eastAsia="宋体" w:cs="宋体"/>
          <w:sz w:val="21"/>
          <w:szCs w:val="21"/>
        </w:rPr>
        <w:t xml:space="preserve"> </w:t>
      </w:r>
      <w:r>
        <w:rPr>
          <w:rFonts w:ascii="宋体" w:hAnsi="宋体" w:eastAsia="宋体" w:cs="宋体"/>
          <w:spacing w:val="-2"/>
          <w:sz w:val="21"/>
          <w:szCs w:val="21"/>
        </w:rPr>
        <w:t>少于承包商检验工作量的</w:t>
      </w:r>
      <w:r>
        <w:rPr>
          <w:rFonts w:ascii="宋体" w:hAnsi="宋体" w:eastAsia="宋体" w:cs="宋体"/>
          <w:spacing w:val="-11"/>
          <w:sz w:val="21"/>
          <w:szCs w:val="21"/>
        </w:rPr>
        <w:t xml:space="preserve"> </w:t>
      </w:r>
      <w:r>
        <w:rPr>
          <w:rFonts w:ascii="宋体" w:hAnsi="宋体" w:eastAsia="宋体" w:cs="宋体"/>
          <w:spacing w:val="-2"/>
          <w:sz w:val="21"/>
          <w:szCs w:val="21"/>
        </w:rPr>
        <w:t>10%，试验中心抗压强度、劈裂抗拉强度等主要质控项目检测频次是承包商检</w:t>
      </w:r>
      <w:r>
        <w:rPr>
          <w:rFonts w:ascii="宋体" w:hAnsi="宋体" w:eastAsia="宋体" w:cs="宋体"/>
          <w:sz w:val="21"/>
          <w:szCs w:val="21"/>
        </w:rPr>
        <w:t xml:space="preserve"> </w:t>
      </w:r>
      <w:r>
        <w:rPr>
          <w:rFonts w:ascii="宋体" w:hAnsi="宋体" w:eastAsia="宋体" w:cs="宋体"/>
          <w:spacing w:val="-5"/>
          <w:sz w:val="21"/>
          <w:szCs w:val="21"/>
        </w:rPr>
        <w:t>验工作量的</w:t>
      </w:r>
      <w:r>
        <w:rPr>
          <w:rFonts w:ascii="宋体" w:hAnsi="宋体" w:eastAsia="宋体" w:cs="宋体"/>
          <w:spacing w:val="-23"/>
          <w:sz w:val="21"/>
          <w:szCs w:val="21"/>
        </w:rPr>
        <w:t xml:space="preserve"> </w:t>
      </w:r>
      <w:r>
        <w:rPr>
          <w:rFonts w:ascii="宋体" w:hAnsi="宋体" w:eastAsia="宋体" w:cs="宋体"/>
          <w:spacing w:val="-5"/>
          <w:sz w:val="21"/>
          <w:szCs w:val="21"/>
        </w:rPr>
        <w:t>10%，其他检测项目，如混凝土抗压弹模、抗冻、抗渗等性能应根据工程实际情况，</w:t>
      </w:r>
      <w:r>
        <w:rPr>
          <w:rFonts w:ascii="宋体" w:hAnsi="宋体" w:eastAsia="宋体" w:cs="宋体"/>
          <w:spacing w:val="45"/>
          <w:sz w:val="21"/>
          <w:szCs w:val="21"/>
        </w:rPr>
        <w:t xml:space="preserve"> </w:t>
      </w:r>
      <w:r>
        <w:rPr>
          <w:rFonts w:ascii="宋体" w:hAnsi="宋体" w:eastAsia="宋体" w:cs="宋体"/>
          <w:spacing w:val="-5"/>
          <w:sz w:val="21"/>
          <w:szCs w:val="21"/>
        </w:rPr>
        <w:t>适当调</w:t>
      </w:r>
      <w:r>
        <w:rPr>
          <w:rFonts w:ascii="宋体" w:hAnsi="宋体" w:eastAsia="宋体" w:cs="宋体"/>
          <w:sz w:val="21"/>
          <w:szCs w:val="21"/>
        </w:rPr>
        <w:t xml:space="preserve"> </w:t>
      </w:r>
      <w:r>
        <w:rPr>
          <w:rFonts w:ascii="宋体" w:hAnsi="宋体" w:eastAsia="宋体" w:cs="宋体"/>
          <w:spacing w:val="-5"/>
          <w:sz w:val="21"/>
          <w:szCs w:val="21"/>
        </w:rPr>
        <w:t>整试验工作量。</w:t>
      </w:r>
    </w:p>
    <w:p w14:paraId="47152F8F">
      <w:pPr>
        <w:spacing w:before="309" w:line="222" w:lineRule="auto"/>
        <w:rPr>
          <w:rFonts w:ascii="黑体" w:hAnsi="黑体" w:eastAsia="黑体" w:cs="黑体"/>
          <w:sz w:val="21"/>
          <w:szCs w:val="21"/>
        </w:rPr>
      </w:pPr>
      <w:r>
        <w:rPr>
          <w:rFonts w:ascii="黑体" w:hAnsi="黑体" w:eastAsia="黑体" w:cs="黑体"/>
          <w:spacing w:val="-3"/>
          <w:sz w:val="21"/>
          <w:szCs w:val="21"/>
        </w:rPr>
        <w:t>4</w:t>
      </w:r>
      <w:r>
        <w:rPr>
          <w:rFonts w:ascii="黑体" w:hAnsi="黑体" w:eastAsia="黑体" w:cs="黑体"/>
          <w:spacing w:val="6"/>
          <w:sz w:val="21"/>
          <w:szCs w:val="21"/>
        </w:rPr>
        <w:t xml:space="preserve">  </w:t>
      </w:r>
      <w:r>
        <w:rPr>
          <w:rFonts w:ascii="黑体" w:hAnsi="黑体" w:eastAsia="黑体" w:cs="黑体"/>
          <w:spacing w:val="-3"/>
          <w:sz w:val="21"/>
          <w:szCs w:val="21"/>
        </w:rPr>
        <w:t>质量要求</w:t>
      </w:r>
    </w:p>
    <w:p w14:paraId="4AC140E9">
      <w:pPr>
        <w:pStyle w:val="2"/>
        <w:spacing w:line="301" w:lineRule="auto"/>
      </w:pPr>
    </w:p>
    <w:p w14:paraId="3BFA15A6">
      <w:pPr>
        <w:spacing w:before="68" w:line="275" w:lineRule="auto"/>
        <w:ind w:left="5" w:right="2" w:hanging="5"/>
        <w:jc w:val="both"/>
        <w:rPr>
          <w:rFonts w:ascii="宋体" w:hAnsi="宋体" w:eastAsia="宋体" w:cs="宋体"/>
          <w:sz w:val="21"/>
          <w:szCs w:val="21"/>
        </w:rPr>
      </w:pPr>
      <w:r>
        <w:rPr>
          <w:rFonts w:ascii="黑体" w:hAnsi="黑体" w:eastAsia="黑体" w:cs="黑体"/>
          <w:sz w:val="21"/>
          <w:szCs w:val="21"/>
        </w:rPr>
        <w:t xml:space="preserve">4.2.3  </w:t>
      </w:r>
      <w:r>
        <w:rPr>
          <w:rFonts w:ascii="宋体" w:hAnsi="宋体" w:eastAsia="宋体" w:cs="宋体"/>
          <w:sz w:val="21"/>
          <w:szCs w:val="21"/>
        </w:rPr>
        <w:t>本标准中符合率是检测结果满足设计要求的比率。根据相关标准并在满足质量指标的前提下，</w:t>
      </w:r>
      <w:r>
        <w:rPr>
          <w:rFonts w:ascii="宋体" w:hAnsi="宋体" w:eastAsia="宋体" w:cs="宋体"/>
          <w:spacing w:val="3"/>
          <w:sz w:val="21"/>
          <w:szCs w:val="21"/>
        </w:rPr>
        <w:t xml:space="preserve"> </w:t>
      </w:r>
      <w:r>
        <w:rPr>
          <w:rFonts w:ascii="宋体" w:hAnsi="宋体" w:eastAsia="宋体" w:cs="宋体"/>
          <w:spacing w:val="-2"/>
          <w:sz w:val="21"/>
          <w:szCs w:val="21"/>
        </w:rPr>
        <w:t>允许出现偏差，大于设计要求而在允许偏差范围内，也可判为合格，但其比率不得超过</w:t>
      </w:r>
      <w:r>
        <w:rPr>
          <w:rFonts w:ascii="宋体" w:hAnsi="宋体" w:eastAsia="宋体" w:cs="宋体"/>
          <w:spacing w:val="-13"/>
          <w:sz w:val="21"/>
          <w:szCs w:val="21"/>
        </w:rPr>
        <w:t xml:space="preserve"> </w:t>
      </w:r>
      <w:r>
        <w:rPr>
          <w:rFonts w:ascii="宋体" w:hAnsi="宋体" w:eastAsia="宋体" w:cs="宋体"/>
          <w:spacing w:val="-2"/>
          <w:sz w:val="21"/>
          <w:szCs w:val="21"/>
        </w:rPr>
        <w:t>10%，超过允许</w:t>
      </w:r>
      <w:r>
        <w:rPr>
          <w:rFonts w:ascii="宋体" w:hAnsi="宋体" w:eastAsia="宋体" w:cs="宋体"/>
          <w:sz w:val="21"/>
          <w:szCs w:val="21"/>
        </w:rPr>
        <w:t xml:space="preserve"> </w:t>
      </w:r>
      <w:r>
        <w:rPr>
          <w:rFonts w:ascii="宋体" w:hAnsi="宋体" w:eastAsia="宋体" w:cs="宋体"/>
          <w:spacing w:val="-2"/>
          <w:sz w:val="21"/>
          <w:szCs w:val="21"/>
        </w:rPr>
        <w:t>偏差范围的为不合格率。统计不合格率是为提高工程质量的一个量</w:t>
      </w:r>
      <w:r>
        <w:rPr>
          <w:rFonts w:ascii="宋体" w:hAnsi="宋体" w:eastAsia="宋体" w:cs="宋体"/>
          <w:spacing w:val="-3"/>
          <w:sz w:val="21"/>
          <w:szCs w:val="21"/>
        </w:rPr>
        <w:t>化指标，凡是不合格料严禁进入工程</w:t>
      </w:r>
      <w:r>
        <w:rPr>
          <w:rFonts w:ascii="宋体" w:hAnsi="宋体" w:eastAsia="宋体" w:cs="宋体"/>
          <w:sz w:val="21"/>
          <w:szCs w:val="21"/>
        </w:rPr>
        <w:t xml:space="preserve"> </w:t>
      </w:r>
      <w:r>
        <w:rPr>
          <w:rFonts w:ascii="宋体" w:hAnsi="宋体" w:eastAsia="宋体" w:cs="宋体"/>
          <w:spacing w:val="-7"/>
          <w:sz w:val="21"/>
          <w:szCs w:val="21"/>
        </w:rPr>
        <w:t>实际应用。</w:t>
      </w:r>
    </w:p>
    <w:p w14:paraId="4070444D">
      <w:pPr>
        <w:spacing w:before="309" w:line="222" w:lineRule="auto"/>
        <w:rPr>
          <w:rFonts w:ascii="黑体" w:hAnsi="黑体" w:eastAsia="黑体" w:cs="黑体"/>
          <w:sz w:val="21"/>
          <w:szCs w:val="21"/>
        </w:rPr>
      </w:pPr>
      <w:r>
        <w:rPr>
          <w:rFonts w:ascii="黑体" w:hAnsi="黑体" w:eastAsia="黑体" w:cs="黑体"/>
          <w:spacing w:val="-3"/>
          <w:sz w:val="21"/>
          <w:szCs w:val="21"/>
        </w:rPr>
        <w:t>5</w:t>
      </w:r>
      <w:r>
        <w:rPr>
          <w:rFonts w:ascii="黑体" w:hAnsi="黑体" w:eastAsia="黑体" w:cs="黑体"/>
          <w:spacing w:val="6"/>
          <w:sz w:val="21"/>
          <w:szCs w:val="21"/>
        </w:rPr>
        <w:t xml:space="preserve">  </w:t>
      </w:r>
      <w:r>
        <w:rPr>
          <w:rFonts w:ascii="黑体" w:hAnsi="黑体" w:eastAsia="黑体" w:cs="黑体"/>
          <w:spacing w:val="-3"/>
          <w:sz w:val="21"/>
          <w:szCs w:val="21"/>
        </w:rPr>
        <w:t>质量管理</w:t>
      </w:r>
    </w:p>
    <w:p w14:paraId="1A75C702">
      <w:pPr>
        <w:spacing w:line="222" w:lineRule="auto"/>
        <w:rPr>
          <w:rFonts w:ascii="黑体" w:hAnsi="黑体" w:eastAsia="黑体" w:cs="黑体"/>
          <w:sz w:val="21"/>
          <w:szCs w:val="21"/>
        </w:rPr>
        <w:sectPr>
          <w:headerReference r:id="rId24" w:type="default"/>
          <w:footerReference r:id="rId25" w:type="default"/>
          <w:pgSz w:w="11905" w:h="16840"/>
          <w:pgMar w:top="1717" w:right="1130" w:bottom="1344" w:left="1419" w:header="1394" w:footer="1108" w:gutter="0"/>
          <w:pgNumType w:fmt="decimal"/>
          <w:cols w:space="720" w:num="1"/>
        </w:sectPr>
      </w:pPr>
    </w:p>
    <w:p w14:paraId="776DE0B5">
      <w:pPr>
        <w:spacing w:before="243" w:line="222" w:lineRule="auto"/>
        <w:rPr>
          <w:rFonts w:ascii="宋体" w:hAnsi="宋体" w:eastAsia="宋体" w:cs="宋体"/>
          <w:sz w:val="21"/>
          <w:szCs w:val="21"/>
        </w:rPr>
      </w:pPr>
      <w:r>
        <w:rPr>
          <w:rFonts w:ascii="黑体" w:hAnsi="黑体" w:eastAsia="黑体" w:cs="黑体"/>
          <w:spacing w:val="-1"/>
          <w:sz w:val="21"/>
          <w:szCs w:val="21"/>
        </w:rPr>
        <w:t xml:space="preserve">5.1  </w:t>
      </w:r>
      <w:r>
        <w:rPr>
          <w:rFonts w:ascii="宋体" w:hAnsi="宋体" w:eastAsia="宋体" w:cs="宋体"/>
          <w:spacing w:val="-1"/>
          <w:sz w:val="21"/>
          <w:szCs w:val="21"/>
        </w:rPr>
        <w:t>为加强质量管理，混凝土施工配料单须由具备相应资质的人员计算、校核、签发。</w:t>
      </w:r>
    </w:p>
    <w:p w14:paraId="26DD1953">
      <w:pPr>
        <w:pStyle w:val="2"/>
        <w:spacing w:line="302" w:lineRule="auto"/>
      </w:pPr>
    </w:p>
    <w:p w14:paraId="3D3CDCE3">
      <w:pPr>
        <w:spacing w:before="68" w:line="222" w:lineRule="auto"/>
        <w:ind w:left="3"/>
        <w:rPr>
          <w:rFonts w:ascii="黑体" w:hAnsi="黑体" w:eastAsia="黑体" w:cs="黑体"/>
          <w:sz w:val="21"/>
          <w:szCs w:val="21"/>
        </w:rPr>
      </w:pPr>
      <w:r>
        <w:rPr>
          <w:rFonts w:ascii="黑体" w:hAnsi="黑体" w:eastAsia="黑体" w:cs="黑体"/>
          <w:spacing w:val="-1"/>
          <w:sz w:val="21"/>
          <w:szCs w:val="21"/>
        </w:rPr>
        <w:t>6  混凝土拌和物的不合格料处理</w:t>
      </w:r>
    </w:p>
    <w:p w14:paraId="595083F4">
      <w:pPr>
        <w:pStyle w:val="2"/>
        <w:spacing w:line="299" w:lineRule="auto"/>
      </w:pPr>
    </w:p>
    <w:p w14:paraId="767F79D6">
      <w:pPr>
        <w:spacing w:before="68" w:line="222" w:lineRule="auto"/>
        <w:ind w:left="3"/>
        <w:rPr>
          <w:rFonts w:ascii="宋体" w:hAnsi="宋体" w:eastAsia="宋体" w:cs="宋体"/>
          <w:sz w:val="21"/>
          <w:szCs w:val="21"/>
        </w:rPr>
      </w:pPr>
      <w:r>
        <w:rPr>
          <w:rFonts w:ascii="黑体" w:hAnsi="黑体" w:eastAsia="黑体" w:cs="黑体"/>
          <w:spacing w:val="-1"/>
          <w:sz w:val="21"/>
          <w:szCs w:val="21"/>
        </w:rPr>
        <w:t xml:space="preserve">6.1  </w:t>
      </w:r>
      <w:r>
        <w:rPr>
          <w:rFonts w:ascii="宋体" w:hAnsi="宋体" w:eastAsia="宋体" w:cs="宋体"/>
          <w:spacing w:val="-1"/>
          <w:sz w:val="21"/>
          <w:szCs w:val="21"/>
        </w:rPr>
        <w:t>为严格控制混凝土质量，本标准明确了不合格料的量化指标，见表</w:t>
      </w:r>
      <w:r>
        <w:rPr>
          <w:rFonts w:ascii="宋体" w:hAnsi="宋体" w:eastAsia="宋体" w:cs="宋体"/>
          <w:spacing w:val="-29"/>
          <w:sz w:val="21"/>
          <w:szCs w:val="21"/>
        </w:rPr>
        <w:t xml:space="preserve"> </w:t>
      </w:r>
      <w:r>
        <w:rPr>
          <w:rFonts w:ascii="宋体" w:hAnsi="宋体" w:eastAsia="宋体" w:cs="宋体"/>
          <w:spacing w:val="-1"/>
          <w:sz w:val="21"/>
          <w:szCs w:val="21"/>
        </w:rPr>
        <w:t>8。</w:t>
      </w:r>
    </w:p>
    <w:p w14:paraId="34FC6834">
      <w:pPr>
        <w:spacing w:before="60" w:line="247" w:lineRule="auto"/>
        <w:ind w:left="3"/>
        <w:rPr>
          <w:rFonts w:hint="eastAsia" w:ascii="宋体" w:hAnsi="宋体" w:eastAsia="宋体" w:cs="宋体"/>
          <w:sz w:val="21"/>
          <w:szCs w:val="21"/>
          <w:lang w:val="en-US" w:eastAsia="zh-CN"/>
        </w:rPr>
      </w:pPr>
      <w:r>
        <w:pict>
          <v:shape id="_x0000_s1028" o:spid="_x0000_s1028" style="position:absolute;left:0pt;margin-left:175.65pt;margin-top:55.1pt;height:1pt;width:116.85pt;z-index:251660288;mso-width-relative:page;mso-height-relative:page;" filled="f" stroked="t" coordsize="2336,20" path="m0,10l2336,10e">
            <v:fill on="f" focussize="0,0"/>
            <v:stroke weight="1pt" color="#000000" miterlimit="10"/>
            <v:imagedata o:title=""/>
            <o:lock v:ext="edit"/>
          </v:shape>
        </w:pict>
      </w:r>
      <w:r>
        <w:rPr>
          <w:rFonts w:ascii="黑体" w:hAnsi="黑体" w:eastAsia="黑体" w:cs="黑体"/>
          <w:spacing w:val="-1"/>
          <w:sz w:val="21"/>
          <w:szCs w:val="21"/>
        </w:rPr>
        <w:t xml:space="preserve">6.2  </w:t>
      </w:r>
      <w:r>
        <w:rPr>
          <w:rFonts w:ascii="宋体" w:hAnsi="宋体" w:eastAsia="宋体" w:cs="宋体"/>
          <w:spacing w:val="-1"/>
          <w:sz w:val="21"/>
          <w:szCs w:val="21"/>
        </w:rPr>
        <w:t>每班开始生产混凝土时，出机混凝土拌和物的坍落度或含气量或温度连续</w:t>
      </w:r>
      <w:r>
        <w:rPr>
          <w:rFonts w:ascii="宋体" w:hAnsi="宋体" w:eastAsia="宋体" w:cs="宋体"/>
          <w:spacing w:val="-18"/>
          <w:sz w:val="21"/>
          <w:szCs w:val="21"/>
        </w:rPr>
        <w:t xml:space="preserve"> </w:t>
      </w:r>
      <w:r>
        <w:rPr>
          <w:rFonts w:ascii="宋体" w:hAnsi="宋体" w:eastAsia="宋体" w:cs="宋体"/>
          <w:spacing w:val="-1"/>
          <w:sz w:val="21"/>
          <w:szCs w:val="21"/>
        </w:rPr>
        <w:t>3</w:t>
      </w:r>
      <w:r>
        <w:rPr>
          <w:rFonts w:ascii="宋体" w:hAnsi="宋体" w:eastAsia="宋体" w:cs="宋体"/>
          <w:spacing w:val="-40"/>
          <w:sz w:val="21"/>
          <w:szCs w:val="21"/>
        </w:rPr>
        <w:t xml:space="preserve"> </w:t>
      </w:r>
      <w:r>
        <w:rPr>
          <w:rFonts w:ascii="宋体" w:hAnsi="宋体" w:eastAsia="宋体" w:cs="宋体"/>
          <w:spacing w:val="-1"/>
          <w:sz w:val="21"/>
          <w:szCs w:val="21"/>
        </w:rPr>
        <w:t>盘抽检结果超过允许</w:t>
      </w:r>
      <w:r>
        <w:rPr>
          <w:rFonts w:ascii="宋体" w:hAnsi="宋体" w:eastAsia="宋体" w:cs="宋体"/>
          <w:sz w:val="21"/>
          <w:szCs w:val="21"/>
        </w:rPr>
        <w:t xml:space="preserve"> </w:t>
      </w:r>
      <w:r>
        <w:rPr>
          <w:rFonts w:ascii="宋体" w:hAnsi="宋体" w:eastAsia="宋体" w:cs="宋体"/>
          <w:spacing w:val="-3"/>
          <w:sz w:val="21"/>
          <w:szCs w:val="21"/>
        </w:rPr>
        <w:t>值的混凝土拌和物应按不</w:t>
      </w:r>
      <w:bookmarkStart w:id="18" w:name="_GoBack"/>
      <w:bookmarkEnd w:id="18"/>
      <w:r>
        <w:rPr>
          <w:rFonts w:ascii="宋体" w:hAnsi="宋体" w:eastAsia="宋体" w:cs="宋体"/>
          <w:spacing w:val="-3"/>
          <w:sz w:val="21"/>
          <w:szCs w:val="21"/>
        </w:rPr>
        <w:t>合格料处理。</w:t>
      </w:r>
    </w:p>
    <w:sectPr>
      <w:headerReference r:id="rId26" w:type="default"/>
      <w:footerReference r:id="rId27" w:type="default"/>
      <w:pgSz w:w="11905" w:h="16840"/>
      <w:pgMar w:top="1717" w:right="1416" w:bottom="1344" w:left="1137" w:header="1394" w:footer="110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BA873">
    <w:pPr>
      <w:spacing w:line="231" w:lineRule="auto"/>
      <w:ind w:left="9076"/>
      <w:rPr>
        <w:rFonts w:ascii="宋体" w:hAnsi="宋体" w:eastAsia="宋体" w:cs="宋体"/>
        <w:sz w:val="18"/>
        <w:szCs w:val="18"/>
      </w:rPr>
    </w:pPr>
    <w:r>
      <w:rPr>
        <w:rFonts w:ascii="宋体" w:hAnsi="宋体" w:eastAsia="宋体" w:cs="宋体"/>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35194">
    <w:pPr>
      <w:spacing w:line="231" w:lineRule="auto"/>
      <w:ind w:left="232"/>
      <w:rPr>
        <w:rFonts w:ascii="宋体" w:hAnsi="宋体" w:eastAsia="宋体" w:cs="宋体"/>
        <w:sz w:val="18"/>
        <w:szCs w:val="18"/>
      </w:rPr>
    </w:pPr>
    <w:r>
      <w:rPr>
        <w:rFonts w:ascii="宋体" w:hAnsi="宋体" w:eastAsia="宋体" w:cs="宋体"/>
        <w:spacing w:val="-5"/>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E5846">
    <w:pPr>
      <w:spacing w:line="231" w:lineRule="auto"/>
      <w:ind w:left="9124"/>
      <w:rPr>
        <w:rFonts w:ascii="宋体" w:hAnsi="宋体" w:eastAsia="宋体" w:cs="宋体"/>
        <w:sz w:val="18"/>
        <w:szCs w:val="18"/>
      </w:rPr>
    </w:pPr>
    <w:r>
      <w:rPr>
        <w:rFonts w:ascii="宋体" w:hAnsi="宋体" w:eastAsia="宋体" w:cs="宋体"/>
        <w:sz w:val="18"/>
        <w:szCs w:val="18"/>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0791">
    <w:pPr>
      <w:spacing w:line="231" w:lineRule="auto"/>
      <w:ind w:left="347"/>
      <w:rPr>
        <w:rFonts w:ascii="宋体" w:hAnsi="宋体" w:eastAsia="宋体" w:cs="宋体"/>
        <w:sz w:val="18"/>
        <w:szCs w:val="18"/>
      </w:rPr>
    </w:pPr>
    <w:r>
      <w:rPr>
        <w:rFonts w:ascii="宋体" w:hAnsi="宋体" w:eastAsia="宋体" w:cs="宋体"/>
        <w:sz w:val="18"/>
        <w:szCs w:val="18"/>
      </w:rPr>
      <w:t>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B534F">
    <w:pPr>
      <w:spacing w:line="230" w:lineRule="auto"/>
      <w:ind w:left="9195"/>
      <w:rPr>
        <w:rFonts w:ascii="宋体" w:hAnsi="宋体" w:eastAsia="宋体" w:cs="宋体"/>
        <w:sz w:val="18"/>
        <w:szCs w:val="18"/>
      </w:rPr>
    </w:pPr>
    <w:r>
      <w:rPr>
        <w:rFonts w:ascii="宋体" w:hAnsi="宋体" w:eastAsia="宋体" w:cs="宋体"/>
        <w:sz w:val="18"/>
        <w:szCs w:val="18"/>
      </w:rPr>
      <w:t>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12C18">
    <w:pPr>
      <w:spacing w:line="231" w:lineRule="auto"/>
      <w:ind w:left="344"/>
      <w:rPr>
        <w:rFonts w:ascii="宋体" w:hAnsi="宋体" w:eastAsia="宋体" w:cs="宋体"/>
        <w:sz w:val="18"/>
        <w:szCs w:val="18"/>
      </w:rPr>
    </w:pPr>
    <w:r>
      <w:rPr>
        <w:rFonts w:ascii="宋体" w:hAnsi="宋体" w:eastAsia="宋体" w:cs="宋体"/>
        <w:sz w:val="18"/>
        <w:szCs w:val="18"/>
      </w:rPr>
      <w:t>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4BD2E">
    <w:pPr>
      <w:spacing w:line="230" w:lineRule="auto"/>
      <w:ind w:left="9195"/>
      <w:rPr>
        <w:rFonts w:ascii="宋体" w:hAnsi="宋体" w:eastAsia="宋体" w:cs="宋体"/>
        <w:sz w:val="18"/>
        <w:szCs w:val="18"/>
      </w:rPr>
    </w:pPr>
    <w:r>
      <w:rPr>
        <w:rFonts w:ascii="宋体" w:hAnsi="宋体" w:eastAsia="宋体" w:cs="宋体"/>
        <w:sz w:val="18"/>
        <w:szCs w:val="18"/>
      </w:rPr>
      <w:t>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2ED16">
    <w:pPr>
      <w:spacing w:line="230" w:lineRule="auto"/>
      <w:ind w:left="346"/>
      <w:rPr>
        <w:rFonts w:ascii="宋体" w:hAnsi="宋体" w:eastAsia="宋体" w:cs="宋体"/>
        <w:sz w:val="18"/>
        <w:szCs w:val="18"/>
      </w:rPr>
    </w:pPr>
    <w:r>
      <w:rPr>
        <w:rFonts w:ascii="宋体" w:hAnsi="宋体" w:eastAsia="宋体" w:cs="宋体"/>
        <w:sz w:val="18"/>
        <w:szCs w:val="18"/>
      </w:rPr>
      <w:t>6</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68F86">
    <w:pPr>
      <w:spacing w:line="230" w:lineRule="auto"/>
      <w:ind w:left="9071"/>
      <w:rPr>
        <w:rFonts w:ascii="宋体" w:hAnsi="宋体" w:eastAsia="宋体" w:cs="宋体"/>
        <w:sz w:val="18"/>
        <w:szCs w:val="18"/>
      </w:rPr>
    </w:pPr>
    <w:r>
      <w:rPr>
        <w:rFonts w:ascii="宋体" w:hAnsi="宋体" w:eastAsia="宋体" w:cs="宋体"/>
        <w:sz w:val="18"/>
        <w:szCs w:val="18"/>
      </w:rPr>
      <w:t>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54FA7">
    <w:pPr>
      <w:spacing w:line="230" w:lineRule="auto"/>
      <w:ind w:left="8706"/>
      <w:rPr>
        <w:rFonts w:ascii="宋体" w:hAnsi="宋体" w:eastAsia="宋体" w:cs="宋体"/>
        <w:sz w:val="18"/>
        <w:szCs w:val="18"/>
      </w:rPr>
    </w:pPr>
    <w:r>
      <w:rPr>
        <w:rFonts w:ascii="宋体" w:hAnsi="宋体" w:eastAsia="宋体" w:cs="宋体"/>
        <w:sz w:val="18"/>
        <w:szCs w:val="18"/>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A1B59">
    <w:pPr>
      <w:spacing w:line="231" w:lineRule="auto"/>
      <w:ind w:left="8995"/>
      <w:rPr>
        <w:rFonts w:ascii="宋体" w:hAnsi="宋体" w:eastAsia="宋体" w:cs="宋体"/>
        <w:sz w:val="18"/>
        <w:szCs w:val="18"/>
      </w:rPr>
    </w:pPr>
    <w:r>
      <w:rPr>
        <w:rFonts w:ascii="宋体" w:hAnsi="宋体" w:eastAsia="宋体" w:cs="宋体"/>
        <w:spacing w:val="-6"/>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441C7">
    <w:pPr>
      <w:spacing w:line="231" w:lineRule="auto"/>
      <w:ind w:left="237"/>
      <w:rPr>
        <w:rFonts w:ascii="宋体" w:hAnsi="宋体" w:eastAsia="宋体" w:cs="宋体"/>
        <w:sz w:val="18"/>
        <w:szCs w:val="18"/>
      </w:rPr>
    </w:pPr>
    <w:r>
      <w:rPr>
        <w:rFonts w:ascii="宋体" w:hAnsi="宋体" w:eastAsia="宋体" w:cs="宋体"/>
        <w:spacing w:val="-6"/>
        <w:sz w:val="18"/>
        <w:szCs w:val="18"/>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B0ADC">
    <w:pPr>
      <w:pStyle w:val="2"/>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83ABE">
    <w:pPr>
      <w:spacing w:before="54" w:line="227" w:lineRule="auto"/>
      <w:jc w:val="right"/>
      <w:rPr>
        <w:rFonts w:ascii="黑体" w:hAnsi="黑体" w:eastAsia="黑体" w:cs="黑体"/>
        <w:sz w:val="21"/>
        <w:szCs w:val="21"/>
      </w:rPr>
    </w:pPr>
    <w:r>
      <w:fldChar w:fldCharType="begin"/>
    </w:r>
    <w:r>
      <w:instrText xml:space="preserve"> STYLEREF  标准文件_文件编号  \* MERGEFORMAT </w:instrText>
    </w:r>
    <w:r>
      <w:fldChar w:fldCharType="separate"/>
    </w:r>
    <w:r>
      <w:t>T/COSOCC XXXX—XXXX</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7D23B">
    <w:pPr>
      <w:pStyle w:val="4"/>
      <w:jc w:val="right"/>
    </w:pPr>
    <w:r>
      <w:rPr>
        <w:rFonts w:hint="eastAsia"/>
      </w:rPr>
      <w:t>T/COSOCC XXXX—XXXX</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B6A80">
    <w:pPr>
      <w:pStyle w:val="4"/>
      <w:jc w:val="right"/>
      <w:rPr>
        <w:sz w:val="21"/>
      </w:rPr>
    </w:pPr>
    <w:r>
      <w:rPr>
        <w:rFonts w:hint="eastAsia"/>
        <w:sz w:val="21"/>
      </w:rPr>
      <w:t>T/COSOCC XXXX—XXXX</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EDE9D">
    <w:pPr>
      <w:pStyle w:val="4"/>
      <w:jc w:val="right"/>
      <w:rPr>
        <w:rFonts w:ascii="黑体" w:hAnsi="黑体" w:eastAsia="黑体" w:cs="黑体"/>
        <w:spacing w:val="-3"/>
        <w:sz w:val="21"/>
        <w:szCs w:val="21"/>
      </w:rPr>
    </w:pPr>
    <w:r>
      <w:rPr>
        <w:rFonts w:hint="eastAsia" w:ascii="黑体" w:hAnsi="黑体" w:eastAsia="黑体" w:cs="黑体"/>
        <w:spacing w:val="-3"/>
        <w:sz w:val="21"/>
        <w:szCs w:val="21"/>
      </w:rPr>
      <w:t>T/COSOCC XXXX—XXXX</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2695D">
    <w:pPr>
      <w:spacing w:before="54" w:line="227" w:lineRule="auto"/>
      <w:jc w:val="right"/>
      <w:rPr>
        <w:rFonts w:ascii="黑体" w:hAnsi="黑体" w:eastAsia="黑体" w:cs="黑体"/>
        <w:sz w:val="21"/>
        <w:szCs w:val="21"/>
      </w:rPr>
    </w:pPr>
    <w:r>
      <w:rPr>
        <w:rFonts w:hint="eastAsia" w:ascii="黑体" w:hAnsi="黑体" w:eastAsia="黑体" w:cs="黑体"/>
        <w:spacing w:val="-3"/>
        <w:sz w:val="21"/>
        <w:szCs w:val="21"/>
      </w:rPr>
      <w:t>T/COSOCC XXXX—XXXX</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95490">
    <w:pPr>
      <w:pStyle w:val="4"/>
      <w:jc w:val="right"/>
      <w:rPr>
        <w:rFonts w:hint="eastAsia"/>
      </w:rPr>
    </w:pPr>
    <w:r>
      <w:rPr>
        <w:rFonts w:hint="eastAsia"/>
      </w:rPr>
      <w:t>T/COSOCC XXXX—XXXX</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21C56">
    <w:pPr>
      <w:pStyle w:val="4"/>
      <w:jc w:val="right"/>
      <w:rPr>
        <w:rFonts w:ascii="黑体" w:hAnsi="黑体" w:eastAsia="黑体" w:cs="黑体"/>
        <w:spacing w:val="-3"/>
        <w:sz w:val="21"/>
        <w:szCs w:val="21"/>
      </w:rPr>
    </w:pPr>
    <w:r>
      <w:rPr>
        <w:rFonts w:hint="eastAsia" w:ascii="黑体" w:hAnsi="黑体" w:eastAsia="黑体" w:cs="黑体"/>
        <w:spacing w:val="-3"/>
        <w:sz w:val="21"/>
        <w:szCs w:val="21"/>
      </w:rPr>
      <w:t>T/COSOCC XXXX—XXXX</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6FFD6">
    <w:pPr>
      <w:pStyle w:val="4"/>
      <w:jc w:val="right"/>
      <w:rPr>
        <w:rFonts w:ascii="黑体" w:hAnsi="黑体" w:eastAsia="黑体" w:cs="黑体"/>
        <w:spacing w:val="-3"/>
        <w:sz w:val="21"/>
        <w:szCs w:val="21"/>
      </w:rPr>
    </w:pPr>
    <w:r>
      <w:rPr>
        <w:rFonts w:hint="eastAsia" w:ascii="黑体" w:hAnsi="黑体" w:eastAsia="黑体" w:cs="黑体"/>
        <w:spacing w:val="-3"/>
        <w:sz w:val="21"/>
        <w:szCs w:val="21"/>
      </w:rPr>
      <w:t>T/COSOCC XXXX—XXXX</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15EEC">
    <w:pPr>
      <w:pStyle w:val="4"/>
      <w:jc w:val="right"/>
      <w:rPr>
        <w:rFonts w:ascii="黑体" w:hAnsi="黑体" w:eastAsia="黑体" w:cs="黑体"/>
        <w:spacing w:val="-3"/>
        <w:sz w:val="21"/>
        <w:szCs w:val="21"/>
      </w:rPr>
    </w:pPr>
    <w:r>
      <w:rPr>
        <w:rFonts w:hint="eastAsia" w:ascii="黑体" w:hAnsi="黑体" w:eastAsia="黑体" w:cs="黑体"/>
        <w:spacing w:val="-3"/>
        <w:sz w:val="21"/>
        <w:szCs w:val="21"/>
      </w:rPr>
      <w:t>T/COSOCC XXXX—XXXX</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62A09">
    <w:pPr>
      <w:pStyle w:val="4"/>
      <w:jc w:val="right"/>
      <w:rPr>
        <w:rFonts w:ascii="黑体" w:hAnsi="黑体" w:eastAsia="黑体" w:cs="黑体"/>
        <w:spacing w:val="-3"/>
        <w:sz w:val="21"/>
        <w:szCs w:val="21"/>
      </w:rPr>
    </w:pPr>
    <w:r>
      <w:rPr>
        <w:rFonts w:hint="eastAsia" w:ascii="黑体" w:hAnsi="黑体" w:eastAsia="黑体" w:cs="黑体"/>
        <w:spacing w:val="-3"/>
        <w:sz w:val="21"/>
        <w:szCs w:val="21"/>
      </w:rPr>
      <w:t>T/COSOCC XXXX—XXXX</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362EE2"/>
    <w:rsid w:val="00757B94"/>
    <w:rsid w:val="04142532"/>
    <w:rsid w:val="04FF37ED"/>
    <w:rsid w:val="077C7917"/>
    <w:rsid w:val="0F576D67"/>
    <w:rsid w:val="116A12F0"/>
    <w:rsid w:val="17A20A1F"/>
    <w:rsid w:val="19670897"/>
    <w:rsid w:val="22D95913"/>
    <w:rsid w:val="27626944"/>
    <w:rsid w:val="2B59472D"/>
    <w:rsid w:val="34794C2F"/>
    <w:rsid w:val="34FD6DF9"/>
    <w:rsid w:val="437A45BD"/>
    <w:rsid w:val="43A01F8C"/>
    <w:rsid w:val="47F24F8E"/>
    <w:rsid w:val="4B265C65"/>
    <w:rsid w:val="4F685F7D"/>
    <w:rsid w:val="59B0321A"/>
    <w:rsid w:val="61F77588"/>
    <w:rsid w:val="658C5C66"/>
    <w:rsid w:val="693764BC"/>
    <w:rsid w:val="69784594"/>
    <w:rsid w:val="74FB755E"/>
    <w:rsid w:val="7F5E40E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99"/>
    <w:pPr>
      <w:tabs>
        <w:tab w:val="center" w:pos="4153"/>
        <w:tab w:val="right" w:pos="8306"/>
      </w:tabs>
      <w:adjustRightInd/>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18"/>
      <w:szCs w:val="18"/>
      <w:lang w:val="en-US" w:eastAsia="en-US" w:bidi="ar-SA"/>
    </w:rPr>
  </w:style>
  <w:style w:type="paragraph" w:customStyle="1" w:styleId="1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1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2">
    <w:name w:val="标准文件_文件编号"/>
    <w:basedOn w:val="13"/>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3">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
    <w:name w:val="标准文件_替换文件编号"/>
    <w:basedOn w:val="12"/>
    <w:qFormat/>
    <w:uiPriority w:val="0"/>
    <w:pPr>
      <w:spacing w:before="57"/>
    </w:pPr>
    <w:rPr>
      <w:sz w:val="21"/>
    </w:rPr>
  </w:style>
  <w:style w:type="paragraph" w:customStyle="1" w:styleId="15">
    <w:name w:val="标准文件_文件名称"/>
    <w:basedOn w:val="13"/>
    <w:next w:val="13"/>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6">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7">
    <w:name w:val="其他发布部门"/>
    <w:basedOn w:val="18"/>
    <w:qFormat/>
    <w:uiPriority w:val="0"/>
    <w:pPr>
      <w:framePr w:wrap="around"/>
      <w:spacing w:line="0" w:lineRule="atLeast"/>
    </w:pPr>
    <w:rPr>
      <w:rFonts w:ascii="黑体" w:eastAsia="黑体"/>
      <w:b w:val="0"/>
    </w:rPr>
  </w:style>
  <w:style w:type="paragraph" w:customStyle="1" w:styleId="18">
    <w:name w:val="发布部门"/>
    <w:next w:val="13"/>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character" w:customStyle="1" w:styleId="19">
    <w:name w:val="发布"/>
    <w:basedOn w:val="7"/>
    <w:qFormat/>
    <w:uiPriority w:val="0"/>
    <w:rPr>
      <w:rFonts w:ascii="黑体" w:eastAsia="黑体"/>
      <w:spacing w:val="85"/>
      <w:w w:val="100"/>
      <w:position w:val="3"/>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921</Words>
  <Characters>1073</Characters>
  <TotalTime>10</TotalTime>
  <ScaleCrop>false</ScaleCrop>
  <LinksUpToDate>false</LinksUpToDate>
  <CharactersWithSpaces>1235</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2015-07-16T16:42:00Z</dcterms:created>
  <dc:creator>safety</dc:creator>
  <cp:lastModifiedBy>薛飞</cp:lastModifiedBy>
  <dcterms:modified xsi:type="dcterms:W3CDTF">2025-09-24T01:50:54Z</dcterms:modified>
  <dc:title>&lt;4D6963726F736F667420576F7264202D20C8FDCFBFD6CAB0B2A1B232303135A1B3323239BAC5B1EAD7BC31A1AA44A3A843B0E6D0DEB6A9A3A92E646F63&gt;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2025-09-23T17:59:13Z</vt:filetime>
  </property>
  <property fmtid="{D5CDD505-2E9C-101B-9397-08002B2CF9AE}" pid="4" name="KSOProductBuildVer">
    <vt:lpwstr>2052-12.1.0.22529</vt:lpwstr>
  </property>
  <property fmtid="{D5CDD505-2E9C-101B-9397-08002B2CF9AE}" pid="5" name="ICV">
    <vt:lpwstr>1F5BA49417AE49A29FDD6B87CC4C169F_13</vt:lpwstr>
  </property>
  <property fmtid="{D5CDD505-2E9C-101B-9397-08002B2CF9AE}" pid="6" name="KSOTemplateDocerSaveRecord">
    <vt:lpwstr>eyJoZGlkIjoiMjJlM2JkODg0ZmE3MzgwM2ViOWY5ZTE3M2YzOWI0OGMiLCJ1c2VySWQiOiI5NTk2ODI5NzQifQ==</vt:lpwstr>
  </property>
</Properties>
</file>