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82A6EE">
      <w:pPr>
        <w:spacing w:before="173" w:line="214" w:lineRule="auto"/>
        <w:ind w:left="1219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spacing w:val="-38"/>
          <w:sz w:val="50"/>
          <w:szCs w:val="50"/>
        </w:rPr>
        <w:t>二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3A93471E">
      <w:pPr>
        <w:pStyle w:val="2"/>
        <w:spacing w:line="315" w:lineRule="auto"/>
      </w:pPr>
    </w:p>
    <w:p w14:paraId="46E70961">
      <w:pPr>
        <w:pStyle w:val="2"/>
        <w:spacing w:line="316" w:lineRule="auto"/>
      </w:pPr>
    </w:p>
    <w:p w14:paraId="5AF1BA8F">
      <w:pPr>
        <w:spacing w:before="72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56E90">
      <w:pPr>
        <w:pStyle w:val="2"/>
        <w:spacing w:line="292" w:lineRule="auto"/>
      </w:pPr>
    </w:p>
    <w:p w14:paraId="16484650">
      <w:pPr>
        <w:pStyle w:val="2"/>
        <w:spacing w:line="293" w:lineRule="auto"/>
      </w:pPr>
    </w:p>
    <w:p w14:paraId="4D4DF7D6">
      <w:pPr>
        <w:spacing w:before="162" w:line="221" w:lineRule="auto"/>
        <w:ind w:left="216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54"/>
          <w:sz w:val="50"/>
          <w:szCs w:val="50"/>
        </w:rPr>
        <w:t>考点1:路堤试验路段</w:t>
      </w:r>
    </w:p>
    <w:p w14:paraId="00482A26">
      <w:pPr>
        <w:spacing w:before="388" w:line="366" w:lineRule="auto"/>
        <w:ind w:left="2131" w:right="1504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14"/>
          <w:sz w:val="50"/>
          <w:szCs w:val="50"/>
        </w:rPr>
        <w:t>【考点星级】★★★★</w:t>
      </w:r>
      <w:r>
        <w:rPr>
          <w:rFonts w:ascii="宋体" w:hAnsi="宋体" w:eastAsia="宋体" w:cs="宋体"/>
          <w:spacing w:val="8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50"/>
          <w:szCs w:val="50"/>
        </w:rPr>
        <w:t>【考点分值】</w:t>
      </w:r>
      <w:r>
        <w:rPr>
          <w:rFonts w:ascii="宋体" w:hAnsi="宋体" w:eastAsia="宋体" w:cs="宋体"/>
          <w:spacing w:val="-3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"/>
          <w:sz w:val="50"/>
          <w:szCs w:val="50"/>
        </w:rPr>
        <w:t>1-</w:t>
      </w:r>
      <w:r>
        <w:rPr>
          <w:rFonts w:ascii="宋体" w:hAnsi="宋体" w:eastAsia="宋体" w:cs="宋体"/>
          <w:spacing w:val="-14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"/>
          <w:sz w:val="50"/>
          <w:szCs w:val="50"/>
        </w:rPr>
        <w:t>5分</w:t>
      </w:r>
    </w:p>
    <w:p w14:paraId="630857EF">
      <w:pPr>
        <w:spacing w:before="35" w:line="372" w:lineRule="auto"/>
        <w:ind w:left="2245" w:right="1947" w:firstLine="98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试验路段应选择地质条件、路基断面形式等具有代表性的地段，长度宜不小</w:t>
      </w:r>
      <w:r>
        <w:rPr>
          <w:rFonts w:ascii="宋体" w:hAnsi="宋体" w:eastAsia="宋体" w:cs="宋体"/>
          <w:spacing w:val="8"/>
          <w:sz w:val="50"/>
          <w:szCs w:val="50"/>
        </w:rPr>
        <w:t xml:space="preserve"> 于200</w:t>
      </w:r>
      <w:r>
        <w:rPr>
          <w:rFonts w:ascii="Times New Roman" w:hAnsi="Times New Roman" w:eastAsia="Times New Roman" w:cs="Times New Roman"/>
          <w:spacing w:val="8"/>
          <w:sz w:val="50"/>
          <w:szCs w:val="50"/>
        </w:rPr>
        <w:t>m</w:t>
      </w:r>
      <w:r>
        <w:rPr>
          <w:rFonts w:ascii="宋体" w:hAnsi="宋体" w:eastAsia="宋体" w:cs="宋体"/>
          <w:spacing w:val="8"/>
          <w:sz w:val="50"/>
          <w:szCs w:val="50"/>
        </w:rPr>
        <w:t>。下列情况应进行试验路段施工：</w:t>
      </w:r>
    </w:p>
    <w:p w14:paraId="451D3935">
      <w:pPr>
        <w:spacing w:before="21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8"/>
          <w:sz w:val="50"/>
          <w:szCs w:val="50"/>
        </w:rPr>
        <w:t>(1)二级及二级以上公路路堤。</w:t>
      </w:r>
    </w:p>
    <w:p w14:paraId="6E29E68F">
      <w:pPr>
        <w:spacing w:before="381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9"/>
          <w:sz w:val="50"/>
          <w:szCs w:val="50"/>
        </w:rPr>
        <w:t>(2)填石路堤、土石路堤。</w:t>
      </w:r>
    </w:p>
    <w:p w14:paraId="43517A8A">
      <w:pPr>
        <w:pStyle w:val="2"/>
        <w:spacing w:line="247" w:lineRule="auto"/>
      </w:pPr>
    </w:p>
    <w:p w14:paraId="5E78BC6A">
      <w:pPr>
        <w:spacing w:before="162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43"/>
          <w:sz w:val="50"/>
          <w:szCs w:val="50"/>
        </w:rPr>
        <w:t>(3)特殊路基。</w:t>
      </w:r>
    </w:p>
    <w:p w14:paraId="64CB2BCF">
      <w:pPr>
        <w:pStyle w:val="2"/>
        <w:spacing w:line="285" w:lineRule="auto"/>
      </w:pPr>
    </w:p>
    <w:p w14:paraId="2D5B2D68">
      <w:pPr>
        <w:spacing w:before="163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5"/>
          <w:sz w:val="50"/>
          <w:szCs w:val="50"/>
        </w:rPr>
        <w:t>(4)拟采用新技术、新工艺、新材料、新设备的路基。</w:t>
      </w:r>
    </w:p>
    <w:p w14:paraId="2D47B162">
      <w:pPr>
        <w:spacing w:before="368" w:line="221" w:lineRule="auto"/>
        <w:ind w:left="2159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1"/>
          <w:sz w:val="50"/>
          <w:szCs w:val="50"/>
        </w:rPr>
        <w:t>路堤试验路段施工总结宜包括下列内容：</w:t>
      </w:r>
    </w:p>
    <w:p w14:paraId="48298BF0">
      <w:pPr>
        <w:pStyle w:val="2"/>
        <w:spacing w:line="281" w:lineRule="auto"/>
      </w:pPr>
    </w:p>
    <w:p w14:paraId="2902AE46">
      <w:pPr>
        <w:spacing w:before="163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0"/>
          <w:sz w:val="50"/>
          <w:szCs w:val="50"/>
        </w:rPr>
        <w:t>(1)填料试验、检测报告等。</w:t>
      </w:r>
    </w:p>
    <w:p w14:paraId="5188C677">
      <w:pPr>
        <w:spacing w:before="170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0"/>
          <w:sz w:val="50"/>
          <w:szCs w:val="50"/>
        </w:rPr>
        <w:t>(2)压实工艺主要参数，如机械组合；压实机械规格、松铺厚度、碾压遍数、碾</w:t>
      </w:r>
    </w:p>
    <w:p w14:paraId="5546DE00">
      <w:pPr>
        <w:pStyle w:val="2"/>
        <w:spacing w:line="466" w:lineRule="auto"/>
      </w:pPr>
    </w:p>
    <w:p w14:paraId="4F5E1B3B">
      <w:pPr>
        <w:spacing w:before="162" w:line="220" w:lineRule="auto"/>
        <w:ind w:left="2159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5"/>
          <w:sz w:val="50"/>
          <w:szCs w:val="50"/>
        </w:rPr>
        <w:t>压速度、最佳含水率及碾压时含水率范围等。</w:t>
      </w:r>
    </w:p>
    <w:p w14:paraId="24AC7690">
      <w:pPr>
        <w:pStyle w:val="2"/>
        <w:spacing w:line="267" w:lineRule="auto"/>
      </w:pPr>
    </w:p>
    <w:p w14:paraId="294E3E1E">
      <w:pPr>
        <w:spacing w:before="163" w:line="222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6"/>
          <w:sz w:val="50"/>
          <w:szCs w:val="50"/>
        </w:rPr>
        <w:t>(3)过程工艺控制方法及质量控制标准。</w:t>
      </w:r>
    </w:p>
    <w:p w14:paraId="716FEFD4">
      <w:pPr>
        <w:spacing w:before="384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0"/>
          <w:sz w:val="50"/>
          <w:szCs w:val="50"/>
        </w:rPr>
        <w:t>(4)施工组织方案及工艺的优化。</w:t>
      </w:r>
    </w:p>
    <w:p w14:paraId="134951A4">
      <w:pPr>
        <w:pStyle w:val="2"/>
        <w:spacing w:line="264" w:lineRule="auto"/>
      </w:pPr>
    </w:p>
    <w:p w14:paraId="1A98F45D">
      <w:pPr>
        <w:spacing w:before="163" w:line="222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2"/>
          <w:sz w:val="50"/>
          <w:szCs w:val="50"/>
        </w:rPr>
        <w:t>(5)原始记录、过程记录。</w:t>
      </w:r>
    </w:p>
    <w:p w14:paraId="53A555DA">
      <w:pPr>
        <w:pStyle w:val="2"/>
        <w:spacing w:line="258" w:lineRule="auto"/>
      </w:pPr>
    </w:p>
    <w:p w14:paraId="57443356">
      <w:pPr>
        <w:spacing w:before="163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5"/>
          <w:sz w:val="50"/>
          <w:szCs w:val="50"/>
        </w:rPr>
        <w:t>(6)安全保障措施。</w:t>
      </w:r>
    </w:p>
    <w:p w14:paraId="2242AA3D">
      <w:pPr>
        <w:pStyle w:val="2"/>
        <w:spacing w:line="271" w:lineRule="auto"/>
      </w:pPr>
    </w:p>
    <w:p w14:paraId="4E67F8EB">
      <w:pPr>
        <w:spacing w:before="164" w:line="222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43"/>
          <w:sz w:val="50"/>
          <w:szCs w:val="50"/>
        </w:rPr>
        <w:t>(7)环保措施。</w:t>
      </w:r>
    </w:p>
    <w:p w14:paraId="093BA9EA">
      <w:pPr>
        <w:pStyle w:val="2"/>
        <w:spacing w:line="296" w:lineRule="auto"/>
      </w:pPr>
    </w:p>
    <w:p w14:paraId="701F98EB">
      <w:pPr>
        <w:pStyle w:val="2"/>
        <w:spacing w:line="296" w:lineRule="auto"/>
      </w:pPr>
    </w:p>
    <w:p w14:paraId="6EF1C866">
      <w:pPr>
        <w:pStyle w:val="2"/>
        <w:spacing w:line="296" w:lineRule="auto"/>
      </w:pPr>
    </w:p>
    <w:p w14:paraId="24A3791F">
      <w:pPr>
        <w:pStyle w:val="2"/>
        <w:spacing w:line="297" w:lineRule="auto"/>
      </w:pPr>
    </w:p>
    <w:p w14:paraId="7C6CF84C">
      <w:pPr>
        <w:spacing w:before="163" w:line="221" w:lineRule="auto"/>
        <w:ind w:left="216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50"/>
          <w:sz w:val="50"/>
          <w:szCs w:val="50"/>
        </w:rPr>
        <w:t>考点2:原地基处理要求</w:t>
      </w:r>
    </w:p>
    <w:p w14:paraId="675069B3">
      <w:pPr>
        <w:pStyle w:val="2"/>
        <w:spacing w:line="262" w:lineRule="auto"/>
      </w:pPr>
    </w:p>
    <w:p w14:paraId="4780C314">
      <w:pPr>
        <w:spacing w:before="163" w:line="214" w:lineRule="auto"/>
        <w:ind w:left="2131"/>
        <w:rPr>
          <w:sz w:val="50"/>
          <w:szCs w:val="50"/>
        </w:rPr>
      </w:pPr>
      <w:r>
        <w:rPr>
          <w:rFonts w:ascii="宋体" w:hAnsi="宋体" w:eastAsia="宋体" w:cs="宋体"/>
          <w:b/>
          <w:bCs/>
          <w:spacing w:val="-18"/>
          <w:sz w:val="50"/>
          <w:szCs w:val="50"/>
        </w:rPr>
        <w:t>【考点星级】</w:t>
      </w:r>
      <w:r>
        <w:rPr>
          <w:rFonts w:ascii="宋体" w:hAnsi="宋体" w:eastAsia="宋体" w:cs="宋体"/>
          <w:spacing w:val="-18"/>
          <w:sz w:val="50"/>
          <w:szCs w:val="50"/>
        </w:rPr>
        <w:t xml:space="preserve"> </w:t>
      </w:r>
      <w:r>
        <w:rPr>
          <w:position w:val="-12"/>
          <w:sz w:val="50"/>
          <w:szCs w:val="50"/>
        </w:rPr>
        <w:drawing>
          <wp:inline distT="0" distB="0" distL="0" distR="0">
            <wp:extent cx="680720" cy="34480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0848" cy="345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BAFBA">
      <w:pPr>
        <w:pStyle w:val="2"/>
        <w:spacing w:line="305" w:lineRule="auto"/>
      </w:pPr>
    </w:p>
    <w:p w14:paraId="50B91A04">
      <w:pPr>
        <w:spacing w:before="162" w:line="221" w:lineRule="auto"/>
        <w:ind w:left="213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-11"/>
          <w:sz w:val="50"/>
          <w:szCs w:val="50"/>
        </w:rPr>
        <w:t>【考点分值】</w:t>
      </w:r>
      <w:r>
        <w:rPr>
          <w:rFonts w:ascii="宋体" w:hAnsi="宋体" w:eastAsia="宋体" w:cs="宋体"/>
          <w:spacing w:val="-60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11"/>
          <w:sz w:val="50"/>
          <w:szCs w:val="50"/>
        </w:rPr>
        <w:t>1</w:t>
      </w:r>
      <w:r>
        <w:rPr>
          <w:rFonts w:ascii="宋体" w:hAnsi="宋体" w:eastAsia="宋体" w:cs="宋体"/>
          <w:spacing w:val="-147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11"/>
          <w:sz w:val="50"/>
          <w:szCs w:val="50"/>
        </w:rPr>
        <w:t>-</w:t>
      </w:r>
      <w:r>
        <w:rPr>
          <w:rFonts w:ascii="宋体" w:hAnsi="宋体" w:eastAsia="宋体" w:cs="宋体"/>
          <w:spacing w:val="-138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11"/>
          <w:sz w:val="50"/>
          <w:szCs w:val="50"/>
        </w:rPr>
        <w:t>2分</w:t>
      </w:r>
    </w:p>
    <w:p w14:paraId="21F04C33">
      <w:pPr>
        <w:spacing w:before="373" w:line="221" w:lineRule="auto"/>
        <w:ind w:left="2159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4"/>
          <w:sz w:val="50"/>
          <w:szCs w:val="50"/>
        </w:rPr>
        <w:t>路基范围内的原地基应在路基施工前按下列要求进行处理：</w:t>
      </w:r>
    </w:p>
    <w:p w14:paraId="641677D8">
      <w:pPr>
        <w:pStyle w:val="2"/>
        <w:spacing w:line="247" w:lineRule="auto"/>
      </w:pPr>
    </w:p>
    <w:p w14:paraId="743471CF">
      <w:pPr>
        <w:spacing w:before="163" w:line="389" w:lineRule="auto"/>
        <w:ind w:left="2159" w:right="1964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(1)地基表层碾压处理压实度控制标准为：二级及</w:t>
      </w:r>
      <w:r>
        <w:rPr>
          <w:rFonts w:ascii="宋体" w:hAnsi="宋体" w:eastAsia="宋体" w:cs="宋体"/>
          <w:spacing w:val="20"/>
          <w:sz w:val="50"/>
          <w:szCs w:val="50"/>
        </w:rPr>
        <w:t>二级以上公路一般土质应不小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6"/>
          <w:sz w:val="50"/>
          <w:szCs w:val="50"/>
        </w:rPr>
        <w:t>于90%;三、四级公路应不小于85%。低路堤应对地基表层土进行超挖、分层回填</w:t>
      </w:r>
    </w:p>
    <w:p w14:paraId="5700F65D">
      <w:pPr>
        <w:pStyle w:val="2"/>
        <w:spacing w:line="307" w:lineRule="auto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12159615</wp:posOffset>
            </wp:positionH>
            <wp:positionV relativeFrom="paragraph">
              <wp:posOffset>117475</wp:posOffset>
            </wp:positionV>
            <wp:extent cx="720090" cy="54229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0229" cy="54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6CCC9D">
      <w:pPr>
        <w:pStyle w:val="2"/>
        <w:spacing w:line="274" w:lineRule="auto"/>
      </w:pPr>
    </w:p>
    <w:p w14:paraId="2DAF8606">
      <w:pPr>
        <w:pStyle w:val="2"/>
        <w:spacing w:line="274" w:lineRule="auto"/>
      </w:pPr>
    </w:p>
    <w:p w14:paraId="7F169D1B">
      <w:pPr>
        <w:pStyle w:val="2"/>
        <w:spacing w:line="274" w:lineRule="auto"/>
      </w:pPr>
    </w:p>
    <w:p w14:paraId="2185CEF5">
      <w:pPr>
        <w:pStyle w:val="2"/>
        <w:spacing w:line="274" w:lineRule="auto"/>
      </w:pPr>
    </w:p>
    <w:p w14:paraId="6295548D">
      <w:pPr>
        <w:spacing w:before="164" w:line="214" w:lineRule="auto"/>
        <w:ind w:left="574"/>
        <w:rPr>
          <w:rFonts w:hint="eastAsia" w:ascii="Times New Roman" w:hAnsi="Times New Roman" w:eastAsia="黑体" w:cs="Times New Roman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10"/>
          <w:sz w:val="50"/>
          <w:szCs w:val="50"/>
        </w:rPr>
        <w:t>名师面授精华、央企内训、考点串讲、习题模考、考前三页纸、绝密押题联系</w:t>
      </w:r>
      <w:r>
        <w:rPr>
          <w:rFonts w:ascii="Times New Roman" w:hAnsi="Times New Roman" w:eastAsia="Times New Roman" w:cs="Times New Roman"/>
          <w:b/>
          <w:bCs/>
          <w:spacing w:val="-10"/>
          <w:sz w:val="50"/>
          <w:szCs w:val="50"/>
        </w:rPr>
        <w:t>Q</w:t>
      </w:r>
      <w:r>
        <w:rPr>
          <w:rFonts w:ascii="Times New Roman" w:hAnsi="Times New Roman" w:eastAsia="Times New Roman" w:cs="Times New Roman"/>
          <w:b/>
          <w:bCs/>
          <w:spacing w:val="-11"/>
          <w:sz w:val="50"/>
          <w:szCs w:val="50"/>
        </w:rPr>
        <w:t>Q/</w:t>
      </w:r>
      <w:r>
        <w:rPr>
          <w:rFonts w:ascii="黑体" w:hAnsi="黑体" w:eastAsia="黑体" w:cs="黑体"/>
          <w:b/>
          <w:bCs/>
          <w:spacing w:val="-11"/>
          <w:sz w:val="50"/>
          <w:szCs w:val="50"/>
        </w:rPr>
        <w:t>微信：</w:t>
      </w:r>
    </w:p>
    <w:p w14:paraId="5D7CE3A5">
      <w:pPr>
        <w:spacing w:line="214" w:lineRule="auto"/>
        <w:rPr>
          <w:rFonts w:ascii="Times New Roman" w:hAnsi="Times New Roman" w:eastAsia="Times New Roman" w:cs="Times New Roman"/>
          <w:sz w:val="50"/>
          <w:szCs w:val="50"/>
        </w:rPr>
        <w:sectPr>
          <w:headerReference r:id="rId5" w:type="default"/>
          <w:pgSz w:w="22389" w:h="31681"/>
          <w:pgMar w:top="1" w:right="7" w:bottom="0" w:left="0" w:header="0" w:footer="0" w:gutter="0"/>
          <w:cols w:space="720" w:num="1"/>
        </w:sectPr>
      </w:pPr>
    </w:p>
    <w:p w14:paraId="195EF08C">
      <w:pPr>
        <w:pStyle w:val="2"/>
        <w:spacing w:line="350" w:lineRule="auto"/>
        <w:rPr>
          <w:rFonts w:hint="eastAsia" w:eastAsia="黑体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6B1B9DC1">
      <w:pPr>
        <w:pStyle w:val="2"/>
        <w:spacing w:line="351" w:lineRule="auto"/>
      </w:pPr>
    </w:p>
    <w:p w14:paraId="5072235E">
      <w:pPr>
        <w:spacing w:before="49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8E0FB">
      <w:pPr>
        <w:pStyle w:val="2"/>
        <w:spacing w:line="296" w:lineRule="auto"/>
      </w:pPr>
    </w:p>
    <w:p w14:paraId="02AECFAD">
      <w:pPr>
        <w:pStyle w:val="2"/>
        <w:spacing w:line="296" w:lineRule="auto"/>
      </w:pPr>
    </w:p>
    <w:p w14:paraId="1B58EE45">
      <w:pPr>
        <w:spacing w:before="162" w:line="221" w:lineRule="auto"/>
        <w:ind w:left="2159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5"/>
          <w:sz w:val="50"/>
          <w:szCs w:val="50"/>
        </w:rPr>
        <w:t>压实，其处理深度应不小于路床厚度。</w:t>
      </w:r>
    </w:p>
    <w:p w14:paraId="2268D537">
      <w:pPr>
        <w:pStyle w:val="2"/>
        <w:spacing w:line="298" w:lineRule="auto"/>
      </w:pPr>
    </w:p>
    <w:p w14:paraId="39290817">
      <w:pPr>
        <w:pStyle w:val="2"/>
        <w:spacing w:line="298" w:lineRule="auto"/>
      </w:pPr>
    </w:p>
    <w:p w14:paraId="3F51ED9A">
      <w:pPr>
        <w:pStyle w:val="2"/>
        <w:spacing w:line="298" w:lineRule="auto"/>
      </w:pPr>
    </w:p>
    <w:p w14:paraId="74CD8173">
      <w:pPr>
        <w:pStyle w:val="2"/>
        <w:spacing w:line="298" w:lineRule="auto"/>
      </w:pPr>
    </w:p>
    <w:p w14:paraId="68C4C01F">
      <w:pPr>
        <w:spacing w:before="163" w:line="220" w:lineRule="auto"/>
        <w:ind w:left="216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44"/>
          <w:sz w:val="50"/>
          <w:szCs w:val="50"/>
        </w:rPr>
        <w:t>考点3:路基爆破施工技术</w:t>
      </w:r>
    </w:p>
    <w:p w14:paraId="68414214">
      <w:pPr>
        <w:pStyle w:val="2"/>
        <w:spacing w:line="269" w:lineRule="auto"/>
      </w:pPr>
    </w:p>
    <w:p w14:paraId="21062662">
      <w:pPr>
        <w:spacing w:before="163" w:line="372" w:lineRule="auto"/>
        <w:ind w:left="2131" w:right="155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14"/>
          <w:sz w:val="50"/>
          <w:szCs w:val="50"/>
        </w:rPr>
        <w:t>【考点星级】★★★</w:t>
      </w:r>
      <w:r>
        <w:rPr>
          <w:rFonts w:ascii="宋体" w:hAnsi="宋体" w:eastAsia="宋体" w:cs="宋体"/>
          <w:spacing w:val="7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2"/>
          <w:sz w:val="50"/>
          <w:szCs w:val="50"/>
        </w:rPr>
        <w:t>【考点分值】</w:t>
      </w:r>
      <w:r>
        <w:rPr>
          <w:rFonts w:ascii="宋体" w:hAnsi="宋体" w:eastAsia="宋体" w:cs="宋体"/>
          <w:spacing w:val="2"/>
          <w:sz w:val="50"/>
          <w:szCs w:val="50"/>
        </w:rPr>
        <w:t>1÷2分</w:t>
      </w:r>
    </w:p>
    <w:p w14:paraId="670BC9CF">
      <w:pPr>
        <w:spacing w:before="2" w:line="371" w:lineRule="auto"/>
        <w:ind w:left="2159" w:right="1966" w:firstLine="107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根据各种工程目的和要求，路基常用的爆破施工</w:t>
      </w:r>
      <w:r>
        <w:rPr>
          <w:rFonts w:ascii="宋体" w:hAnsi="宋体" w:eastAsia="宋体" w:cs="宋体"/>
          <w:spacing w:val="20"/>
          <w:sz w:val="50"/>
          <w:szCs w:val="50"/>
        </w:rPr>
        <w:t>技术分为：光面爆破、预裂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4"/>
          <w:sz w:val="50"/>
          <w:szCs w:val="50"/>
        </w:rPr>
        <w:t>爆破、微差爆破和定向爆破。</w:t>
      </w:r>
    </w:p>
    <w:p w14:paraId="19B4A14F">
      <w:pPr>
        <w:spacing w:before="27" w:line="322" w:lineRule="auto"/>
        <w:ind w:left="2159" w:right="2005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(1)光面爆破：在开挖限界的周边适当排列一定间隔的炮孔</w:t>
      </w:r>
      <w:r>
        <w:rPr>
          <w:rFonts w:ascii="宋体" w:hAnsi="宋体" w:eastAsia="宋体" w:cs="宋体"/>
          <w:spacing w:val="20"/>
          <w:sz w:val="50"/>
          <w:szCs w:val="50"/>
        </w:rPr>
        <w:t>，或在有侧向临空面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0"/>
          <w:sz w:val="50"/>
          <w:szCs w:val="50"/>
        </w:rPr>
        <w:t>的情况下，用控制抵抗线和药量的方法进行爆破，使之形成一个光滑、平整的边</w:t>
      </w:r>
      <w:r>
        <w:rPr>
          <w:rFonts w:ascii="宋体" w:hAnsi="宋体" w:eastAsia="宋体" w:cs="宋体"/>
          <w:spacing w:val="10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7"/>
          <w:sz w:val="50"/>
          <w:szCs w:val="50"/>
        </w:rPr>
        <w:t>坡。</w:t>
      </w:r>
    </w:p>
    <w:p w14:paraId="08DD2589">
      <w:pPr>
        <w:spacing w:before="215" w:line="344" w:lineRule="auto"/>
        <w:ind w:left="2159" w:right="1775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(2)预裂爆破：在开挖限界处按适当间隔排列炮孔，在没有</w:t>
      </w:r>
      <w:r>
        <w:rPr>
          <w:rFonts w:ascii="宋体" w:hAnsi="宋体" w:eastAsia="宋体" w:cs="宋体"/>
          <w:spacing w:val="20"/>
          <w:sz w:val="50"/>
          <w:szCs w:val="50"/>
        </w:rPr>
        <w:t>侧局临空面和最小抵</w:t>
      </w:r>
      <w:r>
        <w:rPr>
          <w:rFonts w:ascii="宋体" w:hAnsi="宋体" w:eastAsia="宋体" w:cs="宋体"/>
          <w:sz w:val="50"/>
          <w:szCs w:val="50"/>
        </w:rPr>
        <w:t xml:space="preserve">  </w:t>
      </w:r>
      <w:r>
        <w:rPr>
          <w:rFonts w:ascii="宋体" w:hAnsi="宋体" w:eastAsia="宋体" w:cs="宋体"/>
          <w:spacing w:val="18"/>
          <w:sz w:val="50"/>
          <w:szCs w:val="50"/>
        </w:rPr>
        <w:t>抗线的情况下，用控制药量的方法，预先炸出一条裂缝，使拟爆体与山体分开，</w:t>
      </w:r>
      <w:r>
        <w:rPr>
          <w:rFonts w:ascii="宋体" w:hAnsi="宋体" w:eastAsia="宋体" w:cs="宋体"/>
          <w:sz w:val="50"/>
          <w:szCs w:val="50"/>
        </w:rPr>
        <w:t xml:space="preserve">  </w:t>
      </w:r>
      <w:r>
        <w:rPr>
          <w:rFonts w:ascii="宋体" w:hAnsi="宋体" w:eastAsia="宋体" w:cs="宋体"/>
          <w:spacing w:val="12"/>
          <w:sz w:val="50"/>
          <w:szCs w:val="50"/>
        </w:rPr>
        <w:t>作为隔震减震带，起保护开挖限界以外山体或建筑物和减弱地震对其破坏的作用。</w:t>
      </w:r>
    </w:p>
    <w:p w14:paraId="19EE18AD">
      <w:pPr>
        <w:spacing w:before="399" w:line="291" w:lineRule="auto"/>
        <w:ind w:left="2159" w:right="2027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48"/>
          <w:sz w:val="50"/>
          <w:szCs w:val="50"/>
        </w:rPr>
        <w:t>(3)微差爆破：两相邻药包或前后排药包以若干毫秒的时间间隔(一般为</w:t>
      </w:r>
      <w:r>
        <w:rPr>
          <w:rFonts w:ascii="宋体" w:hAnsi="宋体" w:eastAsia="宋体" w:cs="宋体"/>
          <w:spacing w:val="47"/>
          <w:sz w:val="50"/>
          <w:szCs w:val="50"/>
        </w:rPr>
        <w:t>15~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>75</w:t>
      </w:r>
      <w:r>
        <w:rPr>
          <w:rFonts w:ascii="Times New Roman" w:hAnsi="Times New Roman" w:eastAsia="Times New Roman" w:cs="Times New Roman"/>
          <w:sz w:val="50"/>
          <w:szCs w:val="50"/>
        </w:rPr>
        <w:t>ms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 xml:space="preserve">)  </w:t>
      </w:r>
      <w:r>
        <w:rPr>
          <w:rFonts w:ascii="宋体" w:hAnsi="宋体" w:eastAsia="宋体" w:cs="宋体"/>
          <w:spacing w:val="15"/>
          <w:sz w:val="50"/>
          <w:szCs w:val="50"/>
        </w:rPr>
        <w:t>依次起爆，称为微差爆破，亦称毫秒</w:t>
      </w:r>
      <w:r>
        <w:rPr>
          <w:rFonts w:ascii="宋体" w:hAnsi="宋体" w:eastAsia="宋体" w:cs="宋体"/>
          <w:spacing w:val="14"/>
          <w:sz w:val="50"/>
          <w:szCs w:val="50"/>
        </w:rPr>
        <w:t>爆破。</w:t>
      </w:r>
    </w:p>
    <w:p w14:paraId="7911DD4F">
      <w:pPr>
        <w:pStyle w:val="2"/>
        <w:spacing w:line="296" w:lineRule="auto"/>
      </w:pPr>
    </w:p>
    <w:p w14:paraId="19062851">
      <w:pPr>
        <w:spacing w:before="163" w:line="299" w:lineRule="auto"/>
        <w:ind w:left="2159" w:right="2005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(4)定向爆破：利用爆能将大量土石方按照指定的方向，搬</w:t>
      </w:r>
      <w:r>
        <w:rPr>
          <w:rFonts w:ascii="宋体" w:hAnsi="宋体" w:eastAsia="宋体" w:cs="宋体"/>
          <w:spacing w:val="20"/>
          <w:sz w:val="50"/>
          <w:szCs w:val="50"/>
        </w:rPr>
        <w:t>移到一定的位置并堆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3"/>
          <w:sz w:val="50"/>
          <w:szCs w:val="50"/>
        </w:rPr>
        <w:t>积成路堤的一种爆破施工方法，称为定向爆破。</w:t>
      </w:r>
    </w:p>
    <w:p w14:paraId="6093E844">
      <w:pPr>
        <w:pStyle w:val="2"/>
        <w:spacing w:line="248" w:lineRule="auto"/>
      </w:pPr>
    </w:p>
    <w:p w14:paraId="48B6383D">
      <w:pPr>
        <w:pStyle w:val="2"/>
        <w:spacing w:line="248" w:lineRule="auto"/>
      </w:pPr>
    </w:p>
    <w:p w14:paraId="0FC29FA9">
      <w:pPr>
        <w:pStyle w:val="2"/>
        <w:spacing w:line="249" w:lineRule="auto"/>
      </w:pPr>
    </w:p>
    <w:p w14:paraId="44D690C8">
      <w:pPr>
        <w:pStyle w:val="2"/>
        <w:spacing w:line="249" w:lineRule="auto"/>
      </w:pPr>
    </w:p>
    <w:p w14:paraId="0196DAD0">
      <w:pPr>
        <w:pStyle w:val="2"/>
        <w:spacing w:line="249" w:lineRule="auto"/>
      </w:pPr>
    </w:p>
    <w:p w14:paraId="2CBD26B5">
      <w:pPr>
        <w:spacing w:before="163" w:line="221" w:lineRule="auto"/>
        <w:ind w:left="216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44"/>
          <w:sz w:val="50"/>
          <w:szCs w:val="50"/>
        </w:rPr>
        <w:t>考点4:土质路堤施工规定</w:t>
      </w:r>
    </w:p>
    <w:p w14:paraId="06DC7AAD">
      <w:pPr>
        <w:spacing w:before="388" w:line="348" w:lineRule="auto"/>
        <w:ind w:left="2131" w:right="15085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11"/>
          <w:sz w:val="50"/>
          <w:szCs w:val="50"/>
        </w:rPr>
        <w:t>【考点星级】★★★★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50"/>
          <w:szCs w:val="50"/>
        </w:rPr>
        <w:t>【考点分值】</w:t>
      </w:r>
      <w:r>
        <w:rPr>
          <w:rFonts w:ascii="宋体" w:hAnsi="宋体" w:eastAsia="宋体" w:cs="宋体"/>
          <w:spacing w:val="-57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"/>
          <w:sz w:val="50"/>
          <w:szCs w:val="50"/>
        </w:rPr>
        <w:t>1-</w:t>
      </w:r>
      <w:r>
        <w:rPr>
          <w:rFonts w:ascii="宋体" w:hAnsi="宋体" w:eastAsia="宋体" w:cs="宋体"/>
          <w:spacing w:val="-14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"/>
          <w:sz w:val="50"/>
          <w:szCs w:val="50"/>
        </w:rPr>
        <w:t>5分</w:t>
      </w:r>
    </w:p>
    <w:p w14:paraId="455574A7">
      <w:pPr>
        <w:spacing w:before="11" w:line="396" w:lineRule="auto"/>
        <w:ind w:left="2159" w:right="1775" w:firstLine="217"/>
        <w:jc w:val="both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(1)性质不同的填料，应水平分层、分段填筑、分层压实。同一层路基应采用同</w:t>
      </w:r>
      <w:r>
        <w:rPr>
          <w:rFonts w:ascii="宋体" w:hAnsi="宋体" w:eastAsia="宋体" w:cs="宋体"/>
          <w:spacing w:val="1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2"/>
          <w:sz w:val="50"/>
          <w:szCs w:val="50"/>
        </w:rPr>
        <w:t>一种填料，不得混合填筑。每种填料的填筑层压</w:t>
      </w:r>
      <w:r>
        <w:rPr>
          <w:rFonts w:ascii="宋体" w:hAnsi="宋体" w:eastAsia="宋体" w:cs="宋体"/>
          <w:spacing w:val="11"/>
          <w:sz w:val="50"/>
          <w:szCs w:val="50"/>
        </w:rPr>
        <w:t>实后的连续厚度宜不小于500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宋体" w:hAnsi="宋体" w:eastAsia="宋体" w:cs="宋体"/>
          <w:spacing w:val="11"/>
          <w:sz w:val="50"/>
          <w:szCs w:val="50"/>
        </w:rPr>
        <w:t>。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8"/>
          <w:sz w:val="50"/>
          <w:szCs w:val="50"/>
        </w:rPr>
        <w:t>路基上部宜采用水稳性好或冻胀敏感性小的填料。有地下水的路段或浸水路堤，</w:t>
      </w:r>
      <w:r>
        <w:rPr>
          <w:rFonts w:ascii="宋体" w:hAnsi="宋体" w:eastAsia="宋体" w:cs="宋体"/>
          <w:spacing w:val="1"/>
          <w:sz w:val="50"/>
          <w:szCs w:val="50"/>
        </w:rPr>
        <w:t xml:space="preserve">  </w:t>
      </w:r>
      <w:r>
        <w:rPr>
          <w:rFonts w:ascii="宋体" w:hAnsi="宋体" w:eastAsia="宋体" w:cs="宋体"/>
          <w:spacing w:val="13"/>
          <w:sz w:val="50"/>
          <w:szCs w:val="50"/>
        </w:rPr>
        <w:t>应填筑水稳性好的填料。</w:t>
      </w:r>
    </w:p>
    <w:p w14:paraId="40A657C1">
      <w:pPr>
        <w:spacing w:line="396" w:lineRule="auto"/>
        <w:rPr>
          <w:rFonts w:ascii="宋体" w:hAnsi="宋体" w:eastAsia="宋体" w:cs="宋体"/>
          <w:sz w:val="50"/>
          <w:szCs w:val="50"/>
        </w:rPr>
        <w:sectPr>
          <w:footerReference r:id="rId6" w:type="default"/>
          <w:pgSz w:w="22389" w:h="31681"/>
          <w:pgMar w:top="127" w:right="7" w:bottom="3021" w:left="0" w:header="0" w:footer="232" w:gutter="0"/>
          <w:cols w:space="720" w:num="1"/>
        </w:sectPr>
      </w:pPr>
    </w:p>
    <w:p w14:paraId="0FC2204D">
      <w:pPr>
        <w:spacing w:line="214" w:lineRule="auto"/>
        <w:ind w:left="1226"/>
        <w:outlineLvl w:val="0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2F9012A1">
      <w:pPr>
        <w:pStyle w:val="2"/>
        <w:spacing w:line="315" w:lineRule="auto"/>
      </w:pPr>
    </w:p>
    <w:p w14:paraId="690C97D3">
      <w:pPr>
        <w:pStyle w:val="2"/>
        <w:spacing w:line="316" w:lineRule="auto"/>
      </w:pPr>
    </w:p>
    <w:p w14:paraId="7C50807B">
      <w:pPr>
        <w:spacing w:before="72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 3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4726F">
      <w:pPr>
        <w:pStyle w:val="2"/>
        <w:spacing w:line="286" w:lineRule="auto"/>
      </w:pPr>
    </w:p>
    <w:p w14:paraId="3C480264">
      <w:pPr>
        <w:pStyle w:val="2"/>
        <w:spacing w:line="287" w:lineRule="auto"/>
      </w:pPr>
    </w:p>
    <w:p w14:paraId="16F8863E">
      <w:pPr>
        <w:spacing w:before="162" w:line="316" w:lineRule="auto"/>
        <w:ind w:left="2159" w:right="1997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4"/>
          <w:sz w:val="50"/>
          <w:szCs w:val="50"/>
        </w:rPr>
        <w:t>(2)在透水性差的压实层上填筑透水性好的填料前，应在其表面设2%～4</w:t>
      </w:r>
      <w:r>
        <w:rPr>
          <w:rFonts w:ascii="宋体" w:hAnsi="宋体" w:eastAsia="宋体" w:cs="宋体"/>
          <w:spacing w:val="33"/>
          <w:sz w:val="50"/>
          <w:szCs w:val="50"/>
        </w:rPr>
        <w:t>%的双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向横坡，并采取相应的防水措施。不得在透水</w:t>
      </w:r>
      <w:r>
        <w:rPr>
          <w:rFonts w:ascii="宋体" w:hAnsi="宋体" w:eastAsia="宋体" w:cs="宋体"/>
          <w:spacing w:val="20"/>
          <w:sz w:val="50"/>
          <w:szCs w:val="50"/>
        </w:rPr>
        <w:t>性好的填料所填筑的路堤边坡上覆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3"/>
          <w:sz w:val="50"/>
          <w:szCs w:val="50"/>
        </w:rPr>
        <w:t>盖透水性差的填料。</w:t>
      </w:r>
    </w:p>
    <w:p w14:paraId="3814EDE6">
      <w:pPr>
        <w:pStyle w:val="2"/>
        <w:spacing w:line="287" w:lineRule="auto"/>
      </w:pPr>
    </w:p>
    <w:p w14:paraId="1931A4A6">
      <w:pPr>
        <w:spacing w:before="162" w:line="296" w:lineRule="auto"/>
        <w:ind w:left="2159" w:right="2007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(3)路堤填筑应从最低处起分层填筑，逐层压实，每</w:t>
      </w:r>
      <w:r>
        <w:rPr>
          <w:rFonts w:ascii="宋体" w:hAnsi="宋体" w:eastAsia="宋体" w:cs="宋体"/>
          <w:spacing w:val="20"/>
          <w:sz w:val="50"/>
          <w:szCs w:val="50"/>
        </w:rPr>
        <w:t>种填料的松铺厚度应通过试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1"/>
          <w:sz w:val="50"/>
          <w:szCs w:val="50"/>
        </w:rPr>
        <w:t>验确定。</w:t>
      </w:r>
    </w:p>
    <w:p w14:paraId="057455FC">
      <w:pPr>
        <w:pStyle w:val="2"/>
        <w:spacing w:line="266" w:lineRule="auto"/>
      </w:pPr>
    </w:p>
    <w:p w14:paraId="1584A6B2">
      <w:pPr>
        <w:spacing w:before="163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5"/>
          <w:sz w:val="50"/>
          <w:szCs w:val="50"/>
        </w:rPr>
        <w:t>(4)每一填筑层压实后的宽度不得小于设计宽度。</w:t>
      </w:r>
    </w:p>
    <w:p w14:paraId="2A308BB9">
      <w:pPr>
        <w:spacing w:before="377" w:line="327" w:lineRule="auto"/>
        <w:ind w:left="2159" w:right="1986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3"/>
          <w:sz w:val="50"/>
          <w:szCs w:val="50"/>
        </w:rPr>
        <w:t>(5)填方分几个作业段施工时，接头部位如不能交替填筑，先填路段应按1:1~</w:t>
      </w:r>
      <w:r>
        <w:rPr>
          <w:rFonts w:ascii="宋体" w:hAnsi="宋体" w:eastAsia="宋体" w:cs="宋体"/>
          <w:spacing w:val="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7"/>
          <w:sz w:val="50"/>
          <w:szCs w:val="50"/>
        </w:rPr>
        <w:t>1:2的坡度分层留台阶；如能交替填筑，应分层相互交替搭接，搭接长度应不小</w:t>
      </w:r>
      <w:r>
        <w:rPr>
          <w:rFonts w:ascii="宋体" w:hAnsi="宋体" w:eastAsia="宋体" w:cs="宋体"/>
          <w:spacing w:val="12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0"/>
          <w:sz w:val="50"/>
          <w:szCs w:val="50"/>
        </w:rPr>
        <w:t>于</w:t>
      </w:r>
      <w:r>
        <w:rPr>
          <w:rFonts w:ascii="宋体" w:hAnsi="宋体" w:eastAsia="宋体" w:cs="宋体"/>
          <w:spacing w:val="-45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0"/>
          <w:sz w:val="50"/>
          <w:szCs w:val="50"/>
        </w:rPr>
        <w:t>2</w:t>
      </w:r>
      <w:r>
        <w:rPr>
          <w:rFonts w:ascii="Times New Roman" w:hAnsi="Times New Roman" w:eastAsia="Times New Roman" w:cs="Times New Roman"/>
          <w:spacing w:val="-30"/>
          <w:sz w:val="50"/>
          <w:szCs w:val="50"/>
        </w:rPr>
        <w:t>m</w:t>
      </w:r>
      <w:r>
        <w:rPr>
          <w:rFonts w:ascii="宋体" w:hAnsi="宋体" w:eastAsia="宋体" w:cs="宋体"/>
          <w:spacing w:val="-30"/>
          <w:sz w:val="50"/>
          <w:szCs w:val="50"/>
        </w:rPr>
        <w:t>。</w:t>
      </w:r>
    </w:p>
    <w:p w14:paraId="7DA25C96">
      <w:pPr>
        <w:pStyle w:val="2"/>
        <w:spacing w:line="395" w:lineRule="auto"/>
      </w:pPr>
    </w:p>
    <w:p w14:paraId="4D46D589">
      <w:pPr>
        <w:spacing w:before="164" w:line="320" w:lineRule="auto"/>
        <w:ind w:left="2124" w:right="2003" w:firstLine="252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6"/>
          <w:sz w:val="50"/>
          <w:szCs w:val="50"/>
        </w:rPr>
        <w:t>(6)质量控制：施工过程中，每一压实层均应进</w:t>
      </w:r>
      <w:r>
        <w:rPr>
          <w:rFonts w:ascii="宋体" w:hAnsi="宋体" w:eastAsia="宋体" w:cs="宋体"/>
          <w:spacing w:val="35"/>
          <w:sz w:val="50"/>
          <w:szCs w:val="50"/>
        </w:rPr>
        <w:t>行压实度检测，检测频率为每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Times New Roman" w:hAnsi="Times New Roman" w:eastAsia="Times New Roman" w:cs="Times New Roman"/>
          <w:spacing w:val="38"/>
          <w:sz w:val="50"/>
          <w:szCs w:val="50"/>
        </w:rPr>
        <w:t>1000m²</w:t>
      </w:r>
      <w:r>
        <w:rPr>
          <w:rFonts w:ascii="宋体" w:hAnsi="宋体" w:eastAsia="宋体" w:cs="宋体"/>
          <w:spacing w:val="38"/>
          <w:sz w:val="50"/>
          <w:szCs w:val="50"/>
        </w:rPr>
        <w:t>不少于2点。压实度检测可采用灌砂法、环</w:t>
      </w:r>
      <w:r>
        <w:rPr>
          <w:rFonts w:ascii="宋体" w:hAnsi="宋体" w:eastAsia="宋体" w:cs="宋体"/>
          <w:spacing w:val="37"/>
          <w:sz w:val="50"/>
          <w:szCs w:val="50"/>
        </w:rPr>
        <w:t>刀法等方渤检测应符合现行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4"/>
          <w:sz w:val="50"/>
          <w:szCs w:val="50"/>
        </w:rPr>
        <w:t>《公路路基路面现场测试规程》</w:t>
      </w:r>
      <w:r>
        <w:rPr>
          <w:rFonts w:ascii="Times New Roman" w:hAnsi="Times New Roman" w:eastAsia="Times New Roman" w:cs="Times New Roman"/>
          <w:sz w:val="50"/>
          <w:szCs w:val="50"/>
        </w:rPr>
        <w:t>JTG</w:t>
      </w:r>
      <w:r>
        <w:rPr>
          <w:rFonts w:ascii="Times New Roman" w:hAnsi="Times New Roman" w:eastAsia="Times New Roman" w:cs="Times New Roman"/>
          <w:spacing w:val="61"/>
          <w:sz w:val="50"/>
          <w:szCs w:val="50"/>
        </w:rPr>
        <w:t xml:space="preserve">  </w:t>
      </w:r>
      <w:r>
        <w:rPr>
          <w:rFonts w:ascii="Times New Roman" w:hAnsi="Times New Roman" w:eastAsia="Times New Roman" w:cs="Times New Roman"/>
          <w:spacing w:val="14"/>
          <w:sz w:val="50"/>
          <w:szCs w:val="50"/>
        </w:rPr>
        <w:t>3450—2019</w:t>
      </w:r>
      <w:r>
        <w:rPr>
          <w:rFonts w:ascii="宋体" w:hAnsi="宋体" w:eastAsia="宋体" w:cs="宋体"/>
          <w:spacing w:val="14"/>
          <w:sz w:val="50"/>
          <w:szCs w:val="50"/>
        </w:rPr>
        <w:t>的有关规定。施工过程中，每填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"/>
          <w:sz w:val="50"/>
          <w:szCs w:val="50"/>
        </w:rPr>
        <w:t>筑</w:t>
      </w:r>
      <w:r>
        <w:rPr>
          <w:rFonts w:ascii="宋体" w:hAnsi="宋体" w:eastAsia="宋体" w:cs="宋体"/>
          <w:spacing w:val="-4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"/>
          <w:sz w:val="50"/>
          <w:szCs w:val="50"/>
        </w:rPr>
        <w:t>2</w:t>
      </w:r>
      <w:r>
        <w:rPr>
          <w:rFonts w:ascii="Times New Roman" w:hAnsi="Times New Roman" w:eastAsia="Times New Roman" w:cs="Times New Roman"/>
          <w:spacing w:val="2"/>
          <w:sz w:val="50"/>
          <w:szCs w:val="50"/>
        </w:rPr>
        <w:t>m</w:t>
      </w:r>
      <w:r>
        <w:rPr>
          <w:rFonts w:ascii="Times New Roman" w:hAnsi="Times New Roman" w:eastAsia="Times New Roman" w:cs="Times New Roman"/>
          <w:spacing w:val="-4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"/>
          <w:sz w:val="50"/>
          <w:szCs w:val="50"/>
        </w:rPr>
        <w:t>宜检测路线中线和宽度。</w:t>
      </w:r>
    </w:p>
    <w:p w14:paraId="32E772F4">
      <w:pPr>
        <w:pStyle w:val="2"/>
        <w:spacing w:line="250" w:lineRule="auto"/>
      </w:pPr>
    </w:p>
    <w:p w14:paraId="1213BC3A">
      <w:pPr>
        <w:pStyle w:val="2"/>
        <w:spacing w:line="250" w:lineRule="auto"/>
      </w:pPr>
    </w:p>
    <w:p w14:paraId="1D692402">
      <w:pPr>
        <w:pStyle w:val="2"/>
        <w:spacing w:line="250" w:lineRule="auto"/>
      </w:pPr>
    </w:p>
    <w:p w14:paraId="6D672BF0">
      <w:pPr>
        <w:pStyle w:val="2"/>
        <w:spacing w:line="250" w:lineRule="auto"/>
      </w:pPr>
    </w:p>
    <w:p w14:paraId="0452EDF3">
      <w:pPr>
        <w:pStyle w:val="2"/>
        <w:spacing w:line="251" w:lineRule="auto"/>
      </w:pPr>
    </w:p>
    <w:p w14:paraId="52847CDC">
      <w:pPr>
        <w:spacing w:before="163" w:line="221" w:lineRule="auto"/>
        <w:ind w:left="216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47"/>
          <w:sz w:val="50"/>
          <w:szCs w:val="50"/>
        </w:rPr>
        <w:t>考点5:填石路堤施工要求</w:t>
      </w:r>
    </w:p>
    <w:p w14:paraId="2814EE0B">
      <w:pPr>
        <w:spacing w:before="387" w:line="216" w:lineRule="auto"/>
        <w:ind w:left="2131"/>
        <w:rPr>
          <w:sz w:val="50"/>
          <w:szCs w:val="50"/>
        </w:rPr>
      </w:pPr>
      <w:r>
        <w:rPr>
          <w:rFonts w:ascii="宋体" w:hAnsi="宋体" w:eastAsia="宋体" w:cs="宋体"/>
          <w:b/>
          <w:bCs/>
          <w:spacing w:val="-6"/>
          <w:sz w:val="50"/>
          <w:szCs w:val="50"/>
        </w:rPr>
        <w:t>【考点星级】</w:t>
      </w:r>
      <w:r>
        <w:rPr>
          <w:rFonts w:ascii="宋体" w:hAnsi="宋体" w:eastAsia="宋体" w:cs="宋体"/>
          <w:spacing w:val="-96"/>
          <w:sz w:val="50"/>
          <w:szCs w:val="50"/>
        </w:rPr>
        <w:t xml:space="preserve"> </w:t>
      </w:r>
      <w:r>
        <w:rPr>
          <w:position w:val="-13"/>
          <w:sz w:val="50"/>
          <w:szCs w:val="50"/>
        </w:rPr>
        <w:drawing>
          <wp:inline distT="0" distB="0" distL="0" distR="0">
            <wp:extent cx="1326515" cy="349885"/>
            <wp:effectExtent l="0" t="0" r="0" b="0"/>
            <wp:docPr id="34" name="IM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 3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27008" cy="350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733AA">
      <w:pPr>
        <w:pStyle w:val="2"/>
        <w:spacing w:line="276" w:lineRule="auto"/>
      </w:pPr>
    </w:p>
    <w:p w14:paraId="53A27A1A">
      <w:pPr>
        <w:spacing w:before="163" w:line="221" w:lineRule="auto"/>
        <w:ind w:left="213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7"/>
          <w:sz w:val="50"/>
          <w:szCs w:val="50"/>
        </w:rPr>
        <w:t>【考点分值】</w:t>
      </w:r>
      <w:r>
        <w:rPr>
          <w:rFonts w:ascii="宋体" w:hAnsi="宋体" w:eastAsia="宋体" w:cs="宋体"/>
          <w:spacing w:val="7"/>
          <w:sz w:val="50"/>
          <w:szCs w:val="50"/>
        </w:rPr>
        <w:t>1</w:t>
      </w:r>
      <w:r>
        <w:rPr>
          <w:rFonts w:ascii="宋体" w:hAnsi="宋体" w:eastAsia="宋体" w:cs="宋体"/>
          <w:spacing w:val="-142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7"/>
          <w:sz w:val="50"/>
          <w:szCs w:val="50"/>
        </w:rPr>
        <w:t>-</w:t>
      </w:r>
      <w:r>
        <w:rPr>
          <w:rFonts w:ascii="宋体" w:hAnsi="宋体" w:eastAsia="宋体" w:cs="宋体"/>
          <w:spacing w:val="-133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7"/>
          <w:sz w:val="50"/>
          <w:szCs w:val="50"/>
        </w:rPr>
        <w:t>5分</w:t>
      </w:r>
    </w:p>
    <w:p w14:paraId="343F6785">
      <w:pPr>
        <w:pStyle w:val="2"/>
        <w:spacing w:line="253" w:lineRule="auto"/>
      </w:pPr>
    </w:p>
    <w:p w14:paraId="7255CA15">
      <w:pPr>
        <w:spacing w:before="164" w:line="295" w:lineRule="auto"/>
        <w:ind w:left="2159" w:right="1982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(1)填石路堤应分层填筑压实。在陡峻山坡地段施工特别困难时，三级及三级以</w:t>
      </w:r>
      <w:r>
        <w:rPr>
          <w:rFonts w:ascii="宋体" w:hAnsi="宋体" w:eastAsia="宋体" w:cs="宋体"/>
          <w:spacing w:val="1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5"/>
          <w:sz w:val="50"/>
          <w:szCs w:val="50"/>
        </w:rPr>
        <w:t>下砂石路面公路的下路堤可采用倾填的方式填筑。</w:t>
      </w:r>
    </w:p>
    <w:p w14:paraId="4B097556">
      <w:pPr>
        <w:pStyle w:val="2"/>
        <w:spacing w:line="443" w:lineRule="auto"/>
      </w:pPr>
    </w:p>
    <w:p w14:paraId="6336EC37">
      <w:pPr>
        <w:spacing w:before="163"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3"/>
          <w:sz w:val="50"/>
          <w:szCs w:val="50"/>
        </w:rPr>
        <w:t>(2)岩性相差较大的填料应分层或分段填筑，软质石料与硬质石料</w:t>
      </w:r>
      <w:r>
        <w:rPr>
          <w:rFonts w:ascii="宋体" w:hAnsi="宋体" w:eastAsia="宋体" w:cs="宋体"/>
          <w:spacing w:val="12"/>
          <w:sz w:val="50"/>
          <w:szCs w:val="50"/>
        </w:rPr>
        <w:t>不得混合使用。</w:t>
      </w:r>
    </w:p>
    <w:p w14:paraId="3D7E70B3">
      <w:pPr>
        <w:spacing w:before="341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3"/>
          <w:sz w:val="50"/>
          <w:szCs w:val="50"/>
        </w:rPr>
        <w:t>(3)填石路堤顶面与细粒生填土层之间应填筑过渡层或铺设</w:t>
      </w:r>
      <w:r>
        <w:rPr>
          <w:rFonts w:ascii="宋体" w:hAnsi="宋体" w:eastAsia="宋体" w:cs="宋体"/>
          <w:spacing w:val="22"/>
          <w:sz w:val="50"/>
          <w:szCs w:val="50"/>
        </w:rPr>
        <w:t>无纺土工布隔离层。</w:t>
      </w:r>
    </w:p>
    <w:p w14:paraId="11999DC9">
      <w:pPr>
        <w:spacing w:before="282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9"/>
          <w:sz w:val="50"/>
          <w:szCs w:val="50"/>
        </w:rPr>
        <w:t>(4)压实机械宜选用自重不小于18</w:t>
      </w:r>
      <w:r>
        <w:rPr>
          <w:rFonts w:ascii="Times New Roman" w:hAnsi="Times New Roman" w:eastAsia="Times New Roman" w:cs="Times New Roman"/>
          <w:spacing w:val="29"/>
          <w:sz w:val="50"/>
          <w:szCs w:val="50"/>
        </w:rPr>
        <w:t>t</w:t>
      </w:r>
      <w:r>
        <w:rPr>
          <w:rFonts w:ascii="Times New Roman" w:hAnsi="Times New Roman" w:eastAsia="Times New Roman" w:cs="Times New Roman"/>
          <w:spacing w:val="123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9"/>
          <w:sz w:val="50"/>
          <w:szCs w:val="50"/>
        </w:rPr>
        <w:t>的振动压路机。</w:t>
      </w:r>
    </w:p>
    <w:p w14:paraId="3BF8B73A">
      <w:pPr>
        <w:pStyle w:val="2"/>
        <w:spacing w:line="242" w:lineRule="auto"/>
      </w:pPr>
    </w:p>
    <w:p w14:paraId="7A86072E">
      <w:pPr>
        <w:spacing w:before="163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3"/>
          <w:sz w:val="50"/>
          <w:szCs w:val="50"/>
        </w:rPr>
        <w:t>(5)填石路堤采用强夯、冲击压路机进行补压时，应避免对附近构</w:t>
      </w:r>
      <w:r>
        <w:rPr>
          <w:rFonts w:ascii="宋体" w:hAnsi="宋体" w:eastAsia="宋体" w:cs="宋体"/>
          <w:spacing w:val="12"/>
          <w:sz w:val="50"/>
          <w:szCs w:val="50"/>
        </w:rPr>
        <w:t>造物造成影响。</w:t>
      </w:r>
    </w:p>
    <w:p w14:paraId="320749DD">
      <w:pPr>
        <w:pStyle w:val="2"/>
        <w:spacing w:line="247" w:lineRule="auto"/>
      </w:pPr>
    </w:p>
    <w:p w14:paraId="53771F98">
      <w:pPr>
        <w:spacing w:before="163" w:line="304" w:lineRule="auto"/>
        <w:ind w:left="2159" w:right="1999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(6)中硬、硬质石料填筑路堤时，应进行边坡码砌。码砌防护的石料强度</w:t>
      </w:r>
      <w:r>
        <w:rPr>
          <w:rFonts w:ascii="宋体" w:hAnsi="宋体" w:eastAsia="宋体" w:cs="宋体"/>
          <w:spacing w:val="20"/>
          <w:sz w:val="50"/>
          <w:szCs w:val="50"/>
        </w:rPr>
        <w:t>、尺寸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6"/>
          <w:sz w:val="50"/>
          <w:szCs w:val="50"/>
        </w:rPr>
        <w:t>应满足设计要求。边坡码砌与路基填筑应基本同步进行。</w:t>
      </w:r>
    </w:p>
    <w:p w14:paraId="737695E0">
      <w:pPr>
        <w:spacing w:line="304" w:lineRule="auto"/>
        <w:rPr>
          <w:rFonts w:ascii="宋体" w:hAnsi="宋体" w:eastAsia="宋体" w:cs="宋体"/>
          <w:sz w:val="50"/>
          <w:szCs w:val="50"/>
        </w:rPr>
        <w:sectPr>
          <w:footerReference r:id="rId7" w:type="default"/>
          <w:pgSz w:w="22389" w:h="31681"/>
          <w:pgMar w:top="174" w:right="7" w:bottom="3021" w:left="0" w:header="0" w:footer="232" w:gutter="0"/>
          <w:cols w:space="720" w:num="1"/>
        </w:sectPr>
      </w:pPr>
    </w:p>
    <w:p w14:paraId="2647EEE0">
      <w:pPr>
        <w:spacing w:line="214" w:lineRule="auto"/>
        <w:ind w:left="1226"/>
        <w:outlineLvl w:val="0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6C8EC790">
      <w:pPr>
        <w:pStyle w:val="2"/>
        <w:spacing w:line="339" w:lineRule="auto"/>
      </w:pPr>
    </w:p>
    <w:p w14:paraId="62AEA06F">
      <w:pPr>
        <w:pStyle w:val="2"/>
        <w:spacing w:line="339" w:lineRule="auto"/>
      </w:pPr>
    </w:p>
    <w:p w14:paraId="2AC679A7">
      <w:pPr>
        <w:spacing w:before="199" w:line="223" w:lineRule="auto"/>
        <w:ind w:left="2145"/>
        <w:rPr>
          <w:rFonts w:ascii="宋体" w:hAnsi="宋体" w:eastAsia="宋体" w:cs="宋体"/>
          <w:sz w:val="50"/>
          <w:szCs w:val="50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-398145</wp:posOffset>
            </wp:positionV>
            <wp:extent cx="1844675" cy="166751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44930" cy="1667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color w:val="D02030"/>
          <w:spacing w:val="2"/>
          <w:position w:val="2"/>
          <w:sz w:val="61"/>
          <w:szCs w:val="61"/>
        </w:rPr>
        <w:t xml:space="preserve">                      </w:t>
      </w:r>
      <w:r>
        <w:rPr>
          <w:rFonts w:ascii="黑体" w:hAnsi="黑体" w:eastAsia="黑体" w:cs="黑体"/>
          <w:color w:val="D02030"/>
          <w:spacing w:val="1"/>
          <w:position w:val="2"/>
          <w:sz w:val="61"/>
          <w:szCs w:val="61"/>
        </w:rPr>
        <w:t xml:space="preserve">               </w:t>
      </w:r>
      <w:r>
        <w:rPr>
          <w:rFonts w:ascii="宋体" w:hAnsi="宋体" w:eastAsia="宋体" w:cs="宋体"/>
          <w:spacing w:val="4"/>
          <w:position w:val="-3"/>
          <w:sz w:val="50"/>
          <w:szCs w:val="50"/>
        </w:rPr>
        <w:t>点亮职业人生</w:t>
      </w:r>
    </w:p>
    <w:p w14:paraId="264A3C97">
      <w:pPr>
        <w:spacing w:before="56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44" name="IM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 4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108B">
      <w:pPr>
        <w:pStyle w:val="2"/>
        <w:spacing w:line="288" w:lineRule="auto"/>
      </w:pPr>
    </w:p>
    <w:p w14:paraId="14A7F739">
      <w:pPr>
        <w:pStyle w:val="2"/>
        <w:spacing w:line="288" w:lineRule="auto"/>
      </w:pPr>
    </w:p>
    <w:p w14:paraId="6161358D">
      <w:pPr>
        <w:spacing w:before="162" w:line="267" w:lineRule="auto"/>
        <w:ind w:left="2136" w:right="1976" w:firstLine="240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(7)采用易风化岩石或软质岩石石料填筑时</w:t>
      </w:r>
      <w:r>
        <w:rPr>
          <w:rFonts w:ascii="宋体" w:hAnsi="宋体" w:eastAsia="宋体" w:cs="宋体"/>
          <w:spacing w:val="21"/>
          <w:sz w:val="50"/>
          <w:szCs w:val="50"/>
        </w:rPr>
        <w:t>，应按设计要求采取边坡封闭和底部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4"/>
          <w:sz w:val="50"/>
          <w:szCs w:val="50"/>
        </w:rPr>
        <w:t>设置排水垫层、顶部设置防渗层等措施。</w:t>
      </w:r>
    </w:p>
    <w:p w14:paraId="7FD23CC9">
      <w:pPr>
        <w:spacing w:before="256" w:line="284" w:lineRule="auto"/>
        <w:ind w:left="2136" w:right="1883" w:firstLine="240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(8)填石路堤施工过程质量控制。施工过程中每一压实</w:t>
      </w:r>
      <w:r>
        <w:rPr>
          <w:rFonts w:ascii="宋体" w:hAnsi="宋体" w:eastAsia="宋体" w:cs="宋体"/>
          <w:spacing w:val="21"/>
          <w:sz w:val="50"/>
          <w:szCs w:val="50"/>
        </w:rPr>
        <w:t>层，应采用试验路段确定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0"/>
          <w:sz w:val="50"/>
          <w:szCs w:val="50"/>
        </w:rPr>
        <w:t>的工艺流程、工艺参数控制，压实质量可采用沉降差指标进行检测。施工过</w:t>
      </w:r>
      <w:r>
        <w:rPr>
          <w:rFonts w:ascii="宋体" w:hAnsi="宋体" w:eastAsia="宋体" w:cs="宋体"/>
          <w:spacing w:val="9"/>
          <w:sz w:val="50"/>
          <w:szCs w:val="50"/>
        </w:rPr>
        <w:t>程中，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0"/>
          <w:sz w:val="50"/>
          <w:szCs w:val="50"/>
        </w:rPr>
        <w:t>每填高3</w:t>
      </w:r>
      <w:r>
        <w:rPr>
          <w:rFonts w:ascii="Times New Roman" w:hAnsi="Times New Roman" w:eastAsia="Times New Roman" w:cs="Times New Roman"/>
          <w:spacing w:val="10"/>
          <w:sz w:val="50"/>
          <w:szCs w:val="50"/>
        </w:rPr>
        <w:t xml:space="preserve">m </w:t>
      </w:r>
      <w:r>
        <w:rPr>
          <w:rFonts w:ascii="宋体" w:hAnsi="宋体" w:eastAsia="宋体" w:cs="宋体"/>
          <w:spacing w:val="10"/>
          <w:sz w:val="50"/>
          <w:szCs w:val="50"/>
        </w:rPr>
        <w:t>宜检测路基中线和宽度。</w:t>
      </w:r>
    </w:p>
    <w:p w14:paraId="4857E17D">
      <w:pPr>
        <w:spacing w:before="247" w:line="220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(9)不同强度的石料，应分别采用不同的填筑层厚和压实控制标准。</w:t>
      </w:r>
      <w:r>
        <w:rPr>
          <w:rFonts w:ascii="宋体" w:hAnsi="宋体" w:eastAsia="宋体" w:cs="宋体"/>
          <w:spacing w:val="21"/>
          <w:sz w:val="50"/>
          <w:szCs w:val="50"/>
        </w:rPr>
        <w:t>填石路堤的</w:t>
      </w:r>
    </w:p>
    <w:p w14:paraId="4FFB7792">
      <w:pPr>
        <w:spacing w:before="311" w:line="241" w:lineRule="auto"/>
        <w:ind w:left="270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-4"/>
          <w:sz w:val="50"/>
          <w:szCs w:val="50"/>
        </w:rPr>
        <w:t>##</w:t>
      </w:r>
    </w:p>
    <w:p w14:paraId="7661F198">
      <w:pPr>
        <w:spacing w:before="149" w:line="220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6"/>
          <w:sz w:val="50"/>
          <w:szCs w:val="50"/>
        </w:rPr>
        <w:t>压实质量标准采用孔隙率作为控制指标。孔隙率的检测应采用水袋法进行。</w:t>
      </w:r>
    </w:p>
    <w:p w14:paraId="7D569A65">
      <w:pPr>
        <w:pStyle w:val="2"/>
        <w:spacing w:line="269" w:lineRule="auto"/>
      </w:pPr>
    </w:p>
    <w:p w14:paraId="2219A661">
      <w:pPr>
        <w:pStyle w:val="2"/>
        <w:spacing w:line="269" w:lineRule="auto"/>
      </w:pPr>
    </w:p>
    <w:p w14:paraId="3517E419">
      <w:pPr>
        <w:pStyle w:val="2"/>
        <w:spacing w:line="269" w:lineRule="auto"/>
      </w:pPr>
    </w:p>
    <w:p w14:paraId="5ACDD565">
      <w:pPr>
        <w:pStyle w:val="2"/>
        <w:spacing w:line="269" w:lineRule="auto"/>
      </w:pPr>
    </w:p>
    <w:p w14:paraId="7AE510F6">
      <w:pPr>
        <w:pStyle w:val="2"/>
        <w:spacing w:line="270" w:lineRule="auto"/>
      </w:pPr>
    </w:p>
    <w:p w14:paraId="619E61AD">
      <w:pPr>
        <w:spacing w:before="164" w:line="369" w:lineRule="auto"/>
        <w:ind w:left="2131" w:right="14122" w:firstLine="11"/>
        <w:rPr>
          <w:sz w:val="50"/>
          <w:szCs w:val="50"/>
        </w:rPr>
      </w:pPr>
      <w:r>
        <w:rPr>
          <w:rFonts w:ascii="宋体" w:hAnsi="宋体" w:eastAsia="宋体" w:cs="宋体"/>
          <w:b/>
          <w:bCs/>
          <w:spacing w:val="46"/>
          <w:sz w:val="50"/>
          <w:szCs w:val="50"/>
        </w:rPr>
        <w:t>考点6:土石路堤施工技术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-6"/>
          <w:sz w:val="50"/>
          <w:szCs w:val="50"/>
        </w:rPr>
        <w:t>【考点星级】</w:t>
      </w:r>
      <w:r>
        <w:rPr>
          <w:rFonts w:ascii="宋体" w:hAnsi="宋体" w:eastAsia="宋体" w:cs="宋体"/>
          <w:spacing w:val="-89"/>
          <w:sz w:val="50"/>
          <w:szCs w:val="50"/>
        </w:rPr>
        <w:t xml:space="preserve"> </w:t>
      </w:r>
      <w:r>
        <w:rPr>
          <w:position w:val="-13"/>
          <w:sz w:val="50"/>
          <w:szCs w:val="50"/>
        </w:rPr>
        <w:drawing>
          <wp:inline distT="0" distB="0" distL="0" distR="0">
            <wp:extent cx="1021080" cy="360045"/>
            <wp:effectExtent l="0" t="0" r="0" b="0"/>
            <wp:docPr id="46" name="IM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 4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21201" cy="360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91250">
      <w:pPr>
        <w:spacing w:before="14" w:line="215" w:lineRule="auto"/>
        <w:ind w:left="213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5"/>
          <w:sz w:val="50"/>
          <w:szCs w:val="50"/>
        </w:rPr>
        <w:t>【考点分值】</w:t>
      </w:r>
      <w:r>
        <w:rPr>
          <w:rFonts w:ascii="宋体" w:hAnsi="宋体" w:eastAsia="宋体" w:cs="宋体"/>
          <w:spacing w:val="-11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5"/>
          <w:sz w:val="50"/>
          <w:szCs w:val="50"/>
        </w:rPr>
        <w:t>1-</w:t>
      </w:r>
      <w:r>
        <w:rPr>
          <w:rFonts w:ascii="宋体" w:hAnsi="宋体" w:eastAsia="宋体" w:cs="宋体"/>
          <w:spacing w:val="-14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5"/>
          <w:sz w:val="50"/>
          <w:szCs w:val="50"/>
        </w:rPr>
        <w:t>3分</w:t>
      </w:r>
    </w:p>
    <w:p w14:paraId="4DB7FF5C">
      <w:pPr>
        <w:spacing w:before="2" w:line="167" w:lineRule="auto"/>
        <w:ind w:left="143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-6"/>
          <w:sz w:val="50"/>
          <w:szCs w:val="50"/>
        </w:rPr>
        <w:t>103978</w:t>
      </w:r>
    </w:p>
    <w:p w14:paraId="717F92E5">
      <w:pPr>
        <w:spacing w:before="2" w:line="203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56"/>
          <w:sz w:val="50"/>
          <w:szCs w:val="50"/>
        </w:rPr>
        <w:t>(1)填筑方法</w:t>
      </w:r>
    </w:p>
    <w:p w14:paraId="18CEA42B">
      <w:pPr>
        <w:pStyle w:val="2"/>
      </w:pPr>
    </w:p>
    <w:p w14:paraId="69265F3C">
      <w:pPr>
        <w:spacing w:before="163" w:line="372" w:lineRule="auto"/>
        <w:ind w:left="2136" w:right="1976" w:firstLine="1095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0"/>
          <w:sz w:val="50"/>
          <w:szCs w:val="50"/>
        </w:rPr>
        <w:t>土石路堤不得采用倾填方法，只能采用分层填筑、分层压实。宜用推土机铺</w:t>
      </w:r>
      <w:r>
        <w:rPr>
          <w:rFonts w:ascii="宋体" w:hAnsi="宋体" w:eastAsia="宋体" w:cs="宋体"/>
          <w:spacing w:val="11"/>
          <w:sz w:val="50"/>
          <w:szCs w:val="50"/>
        </w:rPr>
        <w:t xml:space="preserve"> 填，松铺厚度控制在400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1"/>
          <w:sz w:val="50"/>
          <w:szCs w:val="50"/>
        </w:rPr>
        <w:t>以内，接近路堤设计标高时，需改用土方填筑。</w:t>
      </w:r>
    </w:p>
    <w:p w14:paraId="59FC9CBC">
      <w:pPr>
        <w:spacing w:line="221" w:lineRule="auto"/>
        <w:ind w:left="237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41"/>
          <w:sz w:val="50"/>
          <w:szCs w:val="50"/>
        </w:rPr>
        <w:t>(2)土石路堤施工要求</w:t>
      </w:r>
    </w:p>
    <w:p w14:paraId="449B8F16">
      <w:pPr>
        <w:pStyle w:val="2"/>
        <w:spacing w:line="256" w:lineRule="auto"/>
      </w:pPr>
    </w:p>
    <w:p w14:paraId="281DE613">
      <w:pPr>
        <w:spacing w:before="16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①压实机械宜选用自重不小于18</w:t>
      </w:r>
      <w:r>
        <w:rPr>
          <w:rFonts w:ascii="Times New Roman" w:hAnsi="Times New Roman" w:eastAsia="Times New Roman" w:cs="Times New Roman"/>
          <w:spacing w:val="21"/>
          <w:sz w:val="50"/>
          <w:szCs w:val="50"/>
        </w:rPr>
        <w:t>t</w:t>
      </w:r>
      <w:r>
        <w:rPr>
          <w:rFonts w:ascii="Times New Roman" w:hAnsi="Times New Roman" w:eastAsia="Times New Roman" w:cs="Times New Roman"/>
          <w:spacing w:val="110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的振动压路机。</w:t>
      </w:r>
    </w:p>
    <w:p w14:paraId="581DCD9B">
      <w:pPr>
        <w:pStyle w:val="2"/>
        <w:spacing w:line="268" w:lineRule="auto"/>
      </w:pPr>
    </w:p>
    <w:p w14:paraId="71A20499">
      <w:pPr>
        <w:spacing w:before="16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6"/>
          <w:sz w:val="50"/>
          <w:szCs w:val="50"/>
        </w:rPr>
        <w:t>②应分层填筑压实，不得倾填。</w:t>
      </w:r>
    </w:p>
    <w:p w14:paraId="5203E92E">
      <w:pPr>
        <w:pStyle w:val="2"/>
        <w:spacing w:line="252" w:lineRule="auto"/>
      </w:pPr>
    </w:p>
    <w:p w14:paraId="7F46370A">
      <w:pPr>
        <w:spacing w:before="16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6"/>
          <w:sz w:val="50"/>
          <w:szCs w:val="50"/>
        </w:rPr>
        <w:t>③应使大粒径石料均匀分散在填料中，石料间孔隙应填充小粒径石料和土。</w:t>
      </w:r>
    </w:p>
    <w:p w14:paraId="709B88FE">
      <w:pPr>
        <w:pStyle w:val="2"/>
        <w:spacing w:line="268" w:lineRule="auto"/>
      </w:pPr>
    </w:p>
    <w:p w14:paraId="66EDE0E5">
      <w:pPr>
        <w:spacing w:before="16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7"/>
          <w:sz w:val="50"/>
          <w:szCs w:val="50"/>
        </w:rPr>
        <w:t>④土石混合料来自不同料场，其岩性或土石比例相差大时，宜分层或分段填</w:t>
      </w:r>
      <w:r>
        <w:rPr>
          <w:rFonts w:ascii="宋体" w:hAnsi="宋体" w:eastAsia="宋体" w:cs="宋体"/>
          <w:spacing w:val="16"/>
          <w:sz w:val="50"/>
          <w:szCs w:val="50"/>
        </w:rPr>
        <w:t>筑。</w:t>
      </w:r>
    </w:p>
    <w:p w14:paraId="18005602">
      <w:pPr>
        <w:pStyle w:val="2"/>
        <w:spacing w:line="420" w:lineRule="auto"/>
      </w:pPr>
    </w:p>
    <w:p w14:paraId="02C8D9DC">
      <w:pPr>
        <w:spacing w:before="163" w:line="179" w:lineRule="auto"/>
        <w:ind w:left="8677" w:right="1982" w:hanging="654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⑤填料由土石混合材料变化为其他填料时，土石混合材料最</w:t>
      </w:r>
      <w:r>
        <w:rPr>
          <w:rFonts w:ascii="宋体" w:hAnsi="宋体" w:eastAsia="宋体" w:cs="宋体"/>
          <w:spacing w:val="21"/>
          <w:sz w:val="50"/>
          <w:szCs w:val="50"/>
        </w:rPr>
        <w:t>后一层的压实厚度应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23"/>
          <w:sz w:val="50"/>
          <w:szCs w:val="50"/>
        </w:rPr>
        <w:t>4917</w:t>
      </w:r>
    </w:p>
    <w:p w14:paraId="6AA4CAA4">
      <w:pPr>
        <w:spacing w:before="1" w:line="181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2"/>
          <w:sz w:val="50"/>
          <w:szCs w:val="50"/>
        </w:rPr>
        <w:t>小于300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宋体" w:hAnsi="宋体" w:eastAsia="宋体" w:cs="宋体"/>
          <w:spacing w:val="12"/>
          <w:sz w:val="50"/>
          <w:szCs w:val="50"/>
        </w:rPr>
        <w:t>。该层填料最大粒径宜小于150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2"/>
          <w:sz w:val="50"/>
          <w:szCs w:val="50"/>
        </w:rPr>
        <w:t>,</w:t>
      </w:r>
      <w:r>
        <w:rPr>
          <w:rFonts w:ascii="Times New Roman" w:hAnsi="Times New Roman" w:eastAsia="Times New Roman" w:cs="Times New Roman"/>
          <w:spacing w:val="53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2"/>
          <w:sz w:val="50"/>
          <w:szCs w:val="50"/>
        </w:rPr>
        <w:t>压实后表面应无孔洞。</w:t>
      </w:r>
    </w:p>
    <w:p w14:paraId="54986508">
      <w:pPr>
        <w:spacing w:line="423" w:lineRule="exact"/>
        <w:ind w:left="673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position w:val="-4"/>
          <w:sz w:val="50"/>
          <w:szCs w:val="50"/>
        </w:rPr>
        <w:t>大</w:t>
      </w:r>
    </w:p>
    <w:p w14:paraId="12C159AD">
      <w:pPr>
        <w:spacing w:before="1" w:line="195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⑥中硬、硬质石料填筑土石路堤时，宜进行边坡码砌</w:t>
      </w:r>
      <w:r>
        <w:rPr>
          <w:rFonts w:ascii="宋体" w:hAnsi="宋体" w:eastAsia="宋体" w:cs="宋体"/>
          <w:spacing w:val="21"/>
          <w:sz w:val="50"/>
          <w:szCs w:val="50"/>
        </w:rPr>
        <w:t>，码砌与路堤填筑宜同步进</w:t>
      </w:r>
    </w:p>
    <w:p w14:paraId="469E576F">
      <w:pPr>
        <w:pStyle w:val="2"/>
        <w:spacing w:line="251" w:lineRule="auto"/>
      </w:pPr>
    </w:p>
    <w:p w14:paraId="3F25D24D">
      <w:pPr>
        <w:spacing w:before="163" w:line="221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4"/>
          <w:sz w:val="50"/>
          <w:szCs w:val="50"/>
        </w:rPr>
        <w:t>行，软质石料土石路堤的边坡按土质路堤边坡处理。</w:t>
      </w:r>
    </w:p>
    <w:p w14:paraId="66CF5C10">
      <w:pPr>
        <w:pStyle w:val="2"/>
        <w:spacing w:line="241" w:lineRule="auto"/>
      </w:pPr>
    </w:p>
    <w:p w14:paraId="328E4907">
      <w:pPr>
        <w:spacing w:before="162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6"/>
          <w:sz w:val="50"/>
          <w:szCs w:val="50"/>
        </w:rPr>
        <w:t>⑦采用强夯、冲击压路机进行补压时，应避免对附近构造物造成影响。</w:t>
      </w:r>
    </w:p>
    <w:p w14:paraId="210A47DC">
      <w:pPr>
        <w:pStyle w:val="2"/>
        <w:spacing w:line="268" w:lineRule="auto"/>
      </w:pPr>
    </w:p>
    <w:p w14:paraId="302C0ADE">
      <w:pPr>
        <w:spacing w:before="16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3"/>
          <w:sz w:val="50"/>
          <w:szCs w:val="50"/>
        </w:rPr>
        <w:t>⑧土石路堤施工过程质量控制：中硬及硬质岩</w:t>
      </w:r>
      <w:r>
        <w:rPr>
          <w:rFonts w:ascii="宋体" w:hAnsi="宋体" w:eastAsia="宋体" w:cs="宋体"/>
          <w:spacing w:val="22"/>
          <w:sz w:val="50"/>
          <w:szCs w:val="50"/>
        </w:rPr>
        <w:t>石的土石路堤填筑施工过程中每一</w:t>
      </w:r>
    </w:p>
    <w:p w14:paraId="7FEE8EC1">
      <w:pPr>
        <w:spacing w:line="219" w:lineRule="auto"/>
        <w:rPr>
          <w:rFonts w:ascii="宋体" w:hAnsi="宋体" w:eastAsia="宋体" w:cs="宋体"/>
          <w:sz w:val="50"/>
          <w:szCs w:val="50"/>
        </w:rPr>
        <w:sectPr>
          <w:footerReference r:id="rId8" w:type="default"/>
          <w:pgSz w:w="22389" w:h="31681"/>
          <w:pgMar w:top="127" w:right="7" w:bottom="3021" w:left="0" w:header="0" w:footer="232" w:gutter="0"/>
          <w:cols w:space="720" w:num="1"/>
        </w:sectPr>
      </w:pPr>
    </w:p>
    <w:p w14:paraId="0339817D">
      <w:pPr>
        <w:spacing w:line="214" w:lineRule="auto"/>
        <w:ind w:left="1226"/>
        <w:outlineLvl w:val="0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2F6C7D4C">
      <w:pPr>
        <w:pStyle w:val="2"/>
        <w:spacing w:line="350" w:lineRule="auto"/>
      </w:pPr>
    </w:p>
    <w:p w14:paraId="45670948">
      <w:pPr>
        <w:pStyle w:val="2"/>
        <w:spacing w:line="351" w:lineRule="auto"/>
      </w:pPr>
    </w:p>
    <w:p w14:paraId="4F1678C0">
      <w:pPr>
        <w:spacing w:before="49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56" name="IM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 5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7D54C">
      <w:pPr>
        <w:pStyle w:val="2"/>
        <w:spacing w:line="286" w:lineRule="auto"/>
      </w:pPr>
    </w:p>
    <w:p w14:paraId="02F517E7">
      <w:pPr>
        <w:pStyle w:val="2"/>
        <w:spacing w:line="286" w:lineRule="auto"/>
      </w:pPr>
    </w:p>
    <w:p w14:paraId="7A504350">
      <w:pPr>
        <w:spacing w:before="163" w:line="373" w:lineRule="auto"/>
        <w:ind w:left="2136" w:right="199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压实层，应采用试验路段确定的工艺流程、工艺参数，压实质量可采用沉降差指</w:t>
      </w:r>
      <w:r>
        <w:rPr>
          <w:rFonts w:ascii="宋体" w:hAnsi="宋体" w:eastAsia="宋体" w:cs="宋体"/>
          <w:spacing w:val="1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5"/>
          <w:sz w:val="50"/>
          <w:szCs w:val="50"/>
        </w:rPr>
        <w:t>标进行检测。施工过程中，每填筑3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 xml:space="preserve">m </w:t>
      </w:r>
      <w:r>
        <w:rPr>
          <w:rFonts w:ascii="宋体" w:hAnsi="宋体" w:eastAsia="宋体" w:cs="宋体"/>
          <w:spacing w:val="15"/>
          <w:sz w:val="50"/>
          <w:szCs w:val="50"/>
        </w:rPr>
        <w:t>高宜检测</w:t>
      </w:r>
      <w:r>
        <w:rPr>
          <w:rFonts w:ascii="宋体" w:hAnsi="宋体" w:eastAsia="宋体" w:cs="宋体"/>
          <w:spacing w:val="14"/>
          <w:sz w:val="50"/>
          <w:szCs w:val="50"/>
        </w:rPr>
        <w:t>路线中线和宽度。</w:t>
      </w:r>
    </w:p>
    <w:p w14:paraId="45C6C402">
      <w:pPr>
        <w:pStyle w:val="2"/>
        <w:spacing w:line="274" w:lineRule="auto"/>
      </w:pPr>
    </w:p>
    <w:p w14:paraId="2D58816C">
      <w:pPr>
        <w:pStyle w:val="2"/>
        <w:spacing w:line="274" w:lineRule="auto"/>
      </w:pPr>
    </w:p>
    <w:p w14:paraId="3DD286E4">
      <w:pPr>
        <w:pStyle w:val="2"/>
        <w:spacing w:line="275" w:lineRule="auto"/>
      </w:pPr>
    </w:p>
    <w:p w14:paraId="5BC34433">
      <w:pPr>
        <w:spacing w:before="162" w:line="221" w:lineRule="auto"/>
        <w:ind w:left="214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48"/>
          <w:sz w:val="50"/>
          <w:szCs w:val="50"/>
        </w:rPr>
        <w:t>考点7:高路堤施工技术</w:t>
      </w:r>
    </w:p>
    <w:p w14:paraId="403FB427">
      <w:pPr>
        <w:pStyle w:val="2"/>
        <w:spacing w:line="241" w:lineRule="auto"/>
      </w:pPr>
    </w:p>
    <w:p w14:paraId="45DA8C57">
      <w:pPr>
        <w:spacing w:before="163" w:line="372" w:lineRule="auto"/>
        <w:ind w:left="2108" w:right="15590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14"/>
          <w:sz w:val="50"/>
          <w:szCs w:val="50"/>
        </w:rPr>
        <w:t>【考点星级】★★★</w:t>
      </w:r>
      <w:r>
        <w:rPr>
          <w:rFonts w:ascii="宋体" w:hAnsi="宋体" w:eastAsia="宋体" w:cs="宋体"/>
          <w:spacing w:val="7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8"/>
          <w:sz w:val="50"/>
          <w:szCs w:val="50"/>
        </w:rPr>
        <w:t>【考点分值】</w:t>
      </w:r>
      <w:r>
        <w:rPr>
          <w:rFonts w:ascii="宋体" w:hAnsi="宋体" w:eastAsia="宋体" w:cs="宋体"/>
          <w:spacing w:val="-58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8"/>
          <w:sz w:val="50"/>
          <w:szCs w:val="50"/>
        </w:rPr>
        <w:t>1-2分</w:t>
      </w:r>
    </w:p>
    <w:p w14:paraId="45A754DA">
      <w:pPr>
        <w:spacing w:before="4" w:line="372" w:lineRule="auto"/>
        <w:ind w:left="2136" w:right="1958" w:firstLine="1095"/>
        <w:jc w:val="both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路基填土边坡高度大于20</w:t>
      </w:r>
      <w:r>
        <w:rPr>
          <w:rFonts w:ascii="Times New Roman" w:hAnsi="Times New Roman" w:eastAsia="Times New Roman" w:cs="Times New Roman"/>
          <w:spacing w:val="21"/>
          <w:sz w:val="50"/>
          <w:szCs w:val="50"/>
        </w:rPr>
        <w:t>m</w:t>
      </w:r>
      <w:r>
        <w:rPr>
          <w:rFonts w:ascii="Times New Roman" w:hAnsi="Times New Roman" w:eastAsia="Times New Roman" w:cs="Times New Roman"/>
          <w:spacing w:val="-39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的路堤称为高路堤。高路堤填料宜优先采用强度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高、水稳性好的材料，或采用轻质材料。路堤浸水部分应采用水稳性和透水性均</w:t>
      </w:r>
      <w:r>
        <w:rPr>
          <w:rFonts w:ascii="宋体" w:hAnsi="宋体" w:eastAsia="宋体" w:cs="宋体"/>
          <w:spacing w:val="1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5"/>
          <w:sz w:val="50"/>
          <w:szCs w:val="50"/>
        </w:rPr>
        <w:t>好的材料。</w:t>
      </w:r>
    </w:p>
    <w:p w14:paraId="47DAD9E1">
      <w:pPr>
        <w:spacing w:before="36" w:line="221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7"/>
          <w:sz w:val="50"/>
          <w:szCs w:val="50"/>
        </w:rPr>
        <w:t>高路堤施工要求：</w:t>
      </w:r>
    </w:p>
    <w:p w14:paraId="5C1E88AB">
      <w:pPr>
        <w:pStyle w:val="2"/>
        <w:spacing w:line="394" w:lineRule="auto"/>
      </w:pPr>
    </w:p>
    <w:p w14:paraId="38D3D3F1">
      <w:pPr>
        <w:spacing w:before="163" w:line="221" w:lineRule="auto"/>
        <w:ind w:left="235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6"/>
          <w:sz w:val="50"/>
          <w:szCs w:val="50"/>
        </w:rPr>
        <w:t>(1)高路堤段应优先安排施工，宜预留1个雨季或6个月以</w:t>
      </w:r>
      <w:r>
        <w:rPr>
          <w:rFonts w:ascii="Times New Roman" w:hAnsi="Times New Roman" w:eastAsia="Times New Roman" w:cs="Times New Roman"/>
          <w:spacing w:val="36"/>
          <w:sz w:val="50"/>
          <w:szCs w:val="50"/>
        </w:rPr>
        <w:t>h</w:t>
      </w:r>
      <w:r>
        <w:rPr>
          <w:rFonts w:ascii="Times New Roman" w:hAnsi="Times New Roman" w:eastAsia="Times New Roman" w:cs="Times New Roman"/>
          <w:spacing w:val="50"/>
          <w:sz w:val="50"/>
          <w:szCs w:val="50"/>
        </w:rPr>
        <w:t xml:space="preserve">  </w:t>
      </w:r>
      <w:r>
        <w:rPr>
          <w:rFonts w:ascii="宋体" w:hAnsi="宋体" w:eastAsia="宋体" w:cs="宋体"/>
          <w:spacing w:val="36"/>
          <w:sz w:val="50"/>
          <w:szCs w:val="50"/>
        </w:rPr>
        <w:t>的沉降期。</w:t>
      </w:r>
    </w:p>
    <w:p w14:paraId="2DFCA682">
      <w:pPr>
        <w:spacing w:before="232" w:line="221" w:lineRule="auto"/>
        <w:ind w:left="235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5"/>
          <w:sz w:val="50"/>
          <w:szCs w:val="50"/>
        </w:rPr>
        <w:t>(2)高路堤施工中应按设计要求预留高度</w:t>
      </w:r>
      <w:r>
        <w:rPr>
          <w:rFonts w:ascii="宋体" w:hAnsi="宋体" w:eastAsia="宋体" w:cs="宋体"/>
          <w:spacing w:val="24"/>
          <w:sz w:val="50"/>
          <w:szCs w:val="50"/>
        </w:rPr>
        <w:t>与宽度，并进行动态监控。</w:t>
      </w:r>
    </w:p>
    <w:p w14:paraId="250E1EE4">
      <w:pPr>
        <w:pStyle w:val="2"/>
        <w:spacing w:line="247" w:lineRule="auto"/>
      </w:pPr>
    </w:p>
    <w:p w14:paraId="5633C793">
      <w:pPr>
        <w:spacing w:before="163" w:line="221" w:lineRule="auto"/>
        <w:ind w:left="235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8"/>
          <w:sz w:val="50"/>
          <w:szCs w:val="50"/>
        </w:rPr>
        <w:t>(3)高路堤宜每填筑2</w:t>
      </w:r>
      <w:r>
        <w:rPr>
          <w:rFonts w:ascii="Times New Roman" w:hAnsi="Times New Roman" w:eastAsia="Times New Roman" w:cs="Times New Roman"/>
          <w:spacing w:val="28"/>
          <w:sz w:val="50"/>
          <w:szCs w:val="50"/>
        </w:rPr>
        <w:t>m</w:t>
      </w:r>
      <w:r>
        <w:rPr>
          <w:rFonts w:ascii="Times New Roman" w:hAnsi="Times New Roman" w:eastAsia="Times New Roman" w:cs="Times New Roman"/>
          <w:spacing w:val="-6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8"/>
          <w:sz w:val="50"/>
          <w:szCs w:val="50"/>
        </w:rPr>
        <w:t>冲击补压一次，或</w:t>
      </w:r>
      <w:r>
        <w:rPr>
          <w:rFonts w:ascii="宋体" w:hAnsi="宋体" w:eastAsia="宋体" w:cs="宋体"/>
          <w:spacing w:val="27"/>
          <w:sz w:val="50"/>
          <w:szCs w:val="50"/>
        </w:rPr>
        <w:t>每填筑4～6</w:t>
      </w:r>
      <w:r>
        <w:rPr>
          <w:rFonts w:ascii="Times New Roman" w:hAnsi="Times New Roman" w:eastAsia="Times New Roman" w:cs="Times New Roman"/>
          <w:spacing w:val="27"/>
          <w:sz w:val="50"/>
          <w:szCs w:val="50"/>
        </w:rPr>
        <w:t>m</w:t>
      </w:r>
      <w:r>
        <w:rPr>
          <w:rFonts w:ascii="宋体" w:hAnsi="宋体" w:eastAsia="宋体" w:cs="宋体"/>
          <w:spacing w:val="27"/>
          <w:sz w:val="50"/>
          <w:szCs w:val="50"/>
        </w:rPr>
        <w:t>强夯补压一次。</w:t>
      </w:r>
    </w:p>
    <w:p w14:paraId="706172E6">
      <w:pPr>
        <w:pStyle w:val="2"/>
        <w:spacing w:line="286" w:lineRule="auto"/>
      </w:pPr>
    </w:p>
    <w:p w14:paraId="3C904269">
      <w:pPr>
        <w:spacing w:before="163" w:line="221" w:lineRule="auto"/>
        <w:ind w:left="235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5"/>
          <w:sz w:val="50"/>
          <w:szCs w:val="50"/>
        </w:rPr>
        <w:t>(4)高路堤填筑过程中应进行沉降和稳定性观测。</w:t>
      </w:r>
    </w:p>
    <w:p w14:paraId="2C970CD2">
      <w:pPr>
        <w:spacing w:before="363" w:line="300" w:lineRule="auto"/>
        <w:ind w:left="2136" w:right="1868" w:firstLine="21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1"/>
          <w:sz w:val="50"/>
          <w:szCs w:val="50"/>
        </w:rPr>
        <w:t>(5)在不良地质路段的高路堤填筑，应控制填筑速率，并进行地表水平位移监</w:t>
      </w:r>
      <w:r>
        <w:rPr>
          <w:rFonts w:ascii="宋体" w:hAnsi="宋体" w:eastAsia="宋体" w:cs="宋体"/>
          <w:spacing w:val="10"/>
          <w:sz w:val="50"/>
          <w:szCs w:val="50"/>
        </w:rPr>
        <w:t>测，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4"/>
          <w:sz w:val="50"/>
          <w:szCs w:val="50"/>
        </w:rPr>
        <w:t>必要时应进行地下土体分层水平位移监测。</w:t>
      </w:r>
    </w:p>
    <w:p w14:paraId="3A1B61AF">
      <w:pPr>
        <w:pStyle w:val="2"/>
        <w:spacing w:line="251" w:lineRule="auto"/>
      </w:pPr>
    </w:p>
    <w:p w14:paraId="48AA3DF8">
      <w:pPr>
        <w:pStyle w:val="2"/>
        <w:spacing w:line="252" w:lineRule="auto"/>
      </w:pPr>
    </w:p>
    <w:p w14:paraId="5D00B466">
      <w:pPr>
        <w:pStyle w:val="2"/>
        <w:spacing w:line="252" w:lineRule="auto"/>
      </w:pPr>
    </w:p>
    <w:p w14:paraId="02E7FDA0">
      <w:pPr>
        <w:pStyle w:val="2"/>
        <w:spacing w:line="252" w:lineRule="auto"/>
      </w:pPr>
    </w:p>
    <w:p w14:paraId="5CF8D278">
      <w:pPr>
        <w:pStyle w:val="2"/>
        <w:spacing w:line="252" w:lineRule="auto"/>
      </w:pPr>
    </w:p>
    <w:p w14:paraId="1A568995">
      <w:pPr>
        <w:spacing w:before="163" w:line="221" w:lineRule="auto"/>
        <w:ind w:left="214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40"/>
          <w:sz w:val="50"/>
          <w:szCs w:val="50"/>
        </w:rPr>
        <w:t>考点8:台背与墙背填筑施工技术</w:t>
      </w:r>
    </w:p>
    <w:p w14:paraId="4381B664">
      <w:pPr>
        <w:spacing w:before="403" w:line="214" w:lineRule="auto"/>
        <w:ind w:left="2108"/>
        <w:rPr>
          <w:sz w:val="50"/>
          <w:szCs w:val="50"/>
        </w:rPr>
      </w:pPr>
      <w:r>
        <w:rPr>
          <w:rFonts w:ascii="宋体" w:hAnsi="宋体" w:eastAsia="宋体" w:cs="宋体"/>
          <w:b/>
          <w:bCs/>
          <w:spacing w:val="-6"/>
          <w:sz w:val="50"/>
          <w:szCs w:val="50"/>
        </w:rPr>
        <w:t>【考点星级】</w:t>
      </w:r>
      <w:r>
        <w:rPr>
          <w:rFonts w:ascii="宋体" w:hAnsi="宋体" w:eastAsia="宋体" w:cs="宋体"/>
          <w:spacing w:val="-65"/>
          <w:sz w:val="50"/>
          <w:szCs w:val="50"/>
        </w:rPr>
        <w:t xml:space="preserve"> </w:t>
      </w:r>
      <w:r>
        <w:rPr>
          <w:position w:val="-12"/>
          <w:sz w:val="50"/>
          <w:szCs w:val="50"/>
        </w:rPr>
        <w:drawing>
          <wp:inline distT="0" distB="0" distL="0" distR="0">
            <wp:extent cx="680720" cy="344805"/>
            <wp:effectExtent l="0" t="0" r="0" b="0"/>
            <wp:docPr id="58" name="IM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 5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0848" cy="345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08D59">
      <w:pPr>
        <w:pStyle w:val="2"/>
        <w:spacing w:line="243" w:lineRule="auto"/>
      </w:pPr>
    </w:p>
    <w:p w14:paraId="07C46612">
      <w:pPr>
        <w:spacing w:before="163" w:line="221" w:lineRule="auto"/>
        <w:ind w:left="2108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16"/>
          <w:sz w:val="50"/>
          <w:szCs w:val="50"/>
        </w:rPr>
        <w:t>【考点分值】</w:t>
      </w:r>
      <w:r>
        <w:rPr>
          <w:rFonts w:ascii="宋体" w:hAnsi="宋体" w:eastAsia="宋体" w:cs="宋体"/>
          <w:spacing w:val="16"/>
          <w:sz w:val="50"/>
          <w:szCs w:val="50"/>
        </w:rPr>
        <w:t>1-</w:t>
      </w:r>
      <w:r>
        <w:rPr>
          <w:rFonts w:ascii="宋体" w:hAnsi="宋体" w:eastAsia="宋体" w:cs="宋体"/>
          <w:spacing w:val="-138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6"/>
          <w:sz w:val="50"/>
          <w:szCs w:val="50"/>
        </w:rPr>
        <w:t>2分</w:t>
      </w:r>
    </w:p>
    <w:p w14:paraId="08FCF320">
      <w:pPr>
        <w:pStyle w:val="2"/>
        <w:spacing w:line="424" w:lineRule="auto"/>
      </w:pPr>
    </w:p>
    <w:p w14:paraId="75A061E1">
      <w:pPr>
        <w:spacing w:before="163" w:line="221" w:lineRule="auto"/>
        <w:ind w:left="235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4"/>
          <w:sz w:val="50"/>
          <w:szCs w:val="50"/>
        </w:rPr>
        <w:t>(1)台背与墙背填筑施工要求</w:t>
      </w:r>
    </w:p>
    <w:p w14:paraId="4C385D47">
      <w:pPr>
        <w:spacing w:before="248" w:line="297" w:lineRule="auto"/>
        <w:ind w:left="2136" w:right="224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8"/>
          <w:sz w:val="50"/>
          <w:szCs w:val="50"/>
        </w:rPr>
        <w:t>①二级及二级以上公路应按设计做好过渡段，过渡段路</w:t>
      </w:r>
      <w:r>
        <w:rPr>
          <w:rFonts w:ascii="宋体" w:hAnsi="宋体" w:eastAsia="宋体" w:cs="宋体"/>
          <w:spacing w:val="27"/>
          <w:sz w:val="50"/>
          <w:szCs w:val="50"/>
        </w:rPr>
        <w:t>堤压实度应不小于96%;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3"/>
          <w:sz w:val="50"/>
          <w:szCs w:val="50"/>
        </w:rPr>
        <w:t>二级以下公路的路堤与回填的连接部，应预留台阶。</w:t>
      </w:r>
    </w:p>
    <w:p w14:paraId="2CADFA20">
      <w:pPr>
        <w:pStyle w:val="2"/>
        <w:spacing w:line="241" w:lineRule="auto"/>
      </w:pPr>
    </w:p>
    <w:p w14:paraId="146D3C0F">
      <w:pPr>
        <w:spacing w:before="16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5"/>
          <w:sz w:val="50"/>
          <w:szCs w:val="50"/>
        </w:rPr>
        <w:t>②台背和锥坡的回填宜同步进行。</w:t>
      </w:r>
    </w:p>
    <w:p w14:paraId="20F7B297">
      <w:pPr>
        <w:pStyle w:val="2"/>
        <w:spacing w:line="268" w:lineRule="auto"/>
      </w:pPr>
    </w:p>
    <w:p w14:paraId="1EA2468D">
      <w:pPr>
        <w:spacing w:before="162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9"/>
          <w:sz w:val="50"/>
          <w:szCs w:val="50"/>
        </w:rPr>
        <w:t>③台背与墙背1.0m</w:t>
      </w:r>
      <w:r>
        <w:rPr>
          <w:rFonts w:ascii="宋体" w:hAnsi="宋体" w:eastAsia="宋体" w:cs="宋体"/>
          <w:spacing w:val="-11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9"/>
          <w:sz w:val="50"/>
          <w:szCs w:val="50"/>
        </w:rPr>
        <w:t>范围内回填宜采用小型夯实机具压实。</w:t>
      </w:r>
    </w:p>
    <w:p w14:paraId="63F23D2E">
      <w:pPr>
        <w:spacing w:line="219" w:lineRule="auto"/>
        <w:rPr>
          <w:rFonts w:ascii="宋体" w:hAnsi="宋体" w:eastAsia="宋体" w:cs="宋体"/>
          <w:sz w:val="50"/>
          <w:szCs w:val="50"/>
        </w:rPr>
        <w:sectPr>
          <w:footerReference r:id="rId9" w:type="default"/>
          <w:pgSz w:w="22389" w:h="31681"/>
          <w:pgMar w:top="127" w:right="7" w:bottom="3021" w:left="0" w:header="0" w:footer="232" w:gutter="0"/>
          <w:cols w:space="720" w:num="1"/>
        </w:sectPr>
      </w:pPr>
    </w:p>
    <w:p w14:paraId="78E83E29">
      <w:pPr>
        <w:jc w:val="right"/>
        <w:outlineLvl w:val="6"/>
        <w:rPr>
          <w:sz w:val="46"/>
          <w:szCs w:val="46"/>
        </w:rPr>
      </w:pPr>
      <w:r>
        <w:pict>
          <v:shape id="_x0000_s1026" o:spid="_x0000_s1026" o:spt="202" type="#_x0000_t202" style="position:absolute;left:0pt;margin-left:107.8pt;margin-top:81.35pt;height:37.45pt;width:916.35pt;z-index:-25165107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6C9F603">
                  <w:pPr>
                    <w:spacing w:before="19" w:line="222" w:lineRule="auto"/>
                    <w:ind w:left="20"/>
                    <w:rPr>
                      <w:rFonts w:ascii="宋体" w:hAnsi="宋体" w:eastAsia="宋体" w:cs="宋体"/>
                      <w:sz w:val="50"/>
                      <w:szCs w:val="50"/>
                    </w:rPr>
                  </w:pPr>
                  <w:r>
                    <w:rPr>
                      <w:rFonts w:ascii="黑体" w:hAnsi="黑体" w:eastAsia="黑体" w:cs="黑体"/>
                      <w:color w:val="D02030"/>
                      <w:spacing w:val="3"/>
                      <w:position w:val="1"/>
                      <w:sz w:val="59"/>
                      <w:szCs w:val="59"/>
                    </w:rPr>
                    <w:t xml:space="preserve">                      </w:t>
                  </w:r>
                  <w:r>
                    <w:rPr>
                      <w:rFonts w:ascii="黑体" w:hAnsi="黑体" w:eastAsia="黑体" w:cs="黑体"/>
                      <w:color w:val="D02030"/>
                      <w:spacing w:val="2"/>
                      <w:position w:val="1"/>
                      <w:sz w:val="59"/>
                      <w:szCs w:val="59"/>
                    </w:rPr>
                    <w:t xml:space="preserve">                 </w:t>
                  </w:r>
                  <w:r>
                    <w:rPr>
                      <w:rFonts w:ascii="宋体" w:hAnsi="宋体" w:eastAsia="宋体" w:cs="宋体"/>
                      <w:spacing w:val="16"/>
                      <w:position w:val="-1"/>
                      <w:sz w:val="50"/>
                      <w:szCs w:val="50"/>
                    </w:rPr>
                    <w:t>点亮职业人生</w:t>
                  </w:r>
                </w:p>
              </w:txbxContent>
            </v:textbox>
          </v:shape>
        </w:pict>
      </w:r>
      <w:r>
        <w:rPr>
          <w:rFonts w:ascii="黑体" w:hAnsi="黑体" w:eastAsia="黑体" w:cs="黑体"/>
          <w:b/>
          <w:bCs/>
          <w:spacing w:val="-3"/>
          <w:sz w:val="46"/>
          <w:szCs w:val="46"/>
        </w:rPr>
        <w:t>二建、监理、一建、一造、二造、安全、消防、咨询、检测课程押</w:t>
      </w:r>
      <w:r>
        <w:rPr>
          <w:rFonts w:ascii="黑体" w:hAnsi="黑体" w:eastAsia="黑体" w:cs="黑体"/>
          <w:b/>
          <w:bCs/>
          <w:spacing w:val="-4"/>
          <w:sz w:val="46"/>
          <w:szCs w:val="46"/>
        </w:rPr>
        <w:t>题联系</w:t>
      </w:r>
      <w:r>
        <w:rPr>
          <w:rFonts w:ascii="Times New Roman" w:hAnsi="Times New Roman" w:eastAsia="Times New Roman" w:cs="Times New Roman"/>
          <w:b/>
          <w:bCs/>
          <w:spacing w:val="-4"/>
          <w:sz w:val="51"/>
          <w:szCs w:val="51"/>
        </w:rPr>
        <w:t>QQ/</w:t>
      </w:r>
      <w:r>
        <w:rPr>
          <w:rFonts w:ascii="黑体" w:hAnsi="黑体" w:eastAsia="黑体" w:cs="黑体"/>
          <w:b/>
          <w:bCs/>
          <w:spacing w:val="-4"/>
          <w:sz w:val="46"/>
          <w:szCs w:val="46"/>
        </w:rPr>
        <w:t>微信：</w:t>
      </w:r>
      <w:r>
        <w:rPr>
          <w:rFonts w:ascii="黑体" w:hAnsi="黑体" w:eastAsia="黑体" w:cs="黑体"/>
          <w:spacing w:val="-4"/>
          <w:sz w:val="46"/>
          <w:szCs w:val="46"/>
        </w:rPr>
        <w:t xml:space="preserve">  </w:t>
      </w:r>
    </w:p>
    <w:p w14:paraId="204354A9">
      <w:pPr>
        <w:pStyle w:val="2"/>
        <w:spacing w:line="267" w:lineRule="auto"/>
      </w:pPr>
    </w:p>
    <w:p w14:paraId="26CE15A9">
      <w:pPr>
        <w:pStyle w:val="2"/>
        <w:spacing w:line="267" w:lineRule="auto"/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144780</wp:posOffset>
            </wp:positionV>
            <wp:extent cx="11701145" cy="10160"/>
            <wp:effectExtent l="0" t="0" r="0" b="0"/>
            <wp:wrapNone/>
            <wp:docPr id="66" name="IM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 66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701097" cy="9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BE7A63">
      <w:pPr>
        <w:pStyle w:val="2"/>
        <w:spacing w:line="267" w:lineRule="auto"/>
      </w:pPr>
    </w:p>
    <w:p w14:paraId="27DF864A">
      <w:pPr>
        <w:pStyle w:val="2"/>
        <w:spacing w:line="267" w:lineRule="auto"/>
      </w:pPr>
    </w:p>
    <w:p w14:paraId="238BFE58">
      <w:pPr>
        <w:spacing w:before="163" w:line="228" w:lineRule="auto"/>
        <w:ind w:left="2167" w:right="1916"/>
        <w:rPr>
          <w:rFonts w:hint="eastAsia" w:ascii="宋体" w:hAnsi="宋体" w:eastAsia="宋体" w:cs="宋体"/>
          <w:spacing w:val="19"/>
          <w:sz w:val="50"/>
          <w:szCs w:val="50"/>
          <w:lang w:val="en-US" w:eastAsia="zh-CN"/>
        </w:rPr>
      </w:pPr>
      <w:r>
        <w:rPr>
          <w:rFonts w:hint="eastAsia" w:ascii="宋体" w:hAnsi="宋体" w:eastAsia="宋体" w:cs="宋体"/>
          <w:spacing w:val="19"/>
          <w:sz w:val="50"/>
          <w:szCs w:val="50"/>
          <w:lang w:val="en-US" w:eastAsia="zh-CN"/>
        </w:rPr>
        <w:t>=</w:t>
      </w:r>
    </w:p>
    <w:p w14:paraId="6DE36973">
      <w:pPr>
        <w:spacing w:before="163" w:line="228" w:lineRule="auto"/>
        <w:ind w:left="2167" w:right="191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9"/>
          <w:sz w:val="50"/>
          <w:szCs w:val="50"/>
        </w:rPr>
        <w:t>④分层压实厚度宜不大于150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9"/>
          <w:sz w:val="50"/>
          <w:szCs w:val="50"/>
        </w:rPr>
        <w:t>,</w:t>
      </w:r>
      <w:r>
        <w:rPr>
          <w:rFonts w:ascii="Times New Roman" w:hAnsi="Times New Roman" w:eastAsia="Times New Roman" w:cs="Times New Roman"/>
          <w:spacing w:val="-30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9"/>
          <w:sz w:val="50"/>
          <w:szCs w:val="50"/>
        </w:rPr>
        <w:t>填料粒径宜小于100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9"/>
          <w:sz w:val="50"/>
          <w:szCs w:val="50"/>
        </w:rPr>
        <w:t>,</w:t>
      </w:r>
      <w:r>
        <w:rPr>
          <w:rFonts w:ascii="Times New Roman" w:hAnsi="Times New Roman" w:eastAsia="Times New Roman" w:cs="Times New Roman"/>
          <w:spacing w:val="86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9"/>
          <w:sz w:val="50"/>
          <w:szCs w:val="50"/>
        </w:rPr>
        <w:t>涵洞两侧回填填料粒径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5"/>
          <w:sz w:val="50"/>
          <w:szCs w:val="50"/>
        </w:rPr>
        <w:t>宜小于50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>,</w:t>
      </w:r>
      <w:r>
        <w:rPr>
          <w:rFonts w:ascii="Times New Roman" w:hAnsi="Times New Roman" w:eastAsia="Times New Roman" w:cs="Times New Roman"/>
          <w:spacing w:val="54"/>
          <w:sz w:val="50"/>
          <w:szCs w:val="50"/>
        </w:rPr>
        <w:t xml:space="preserve">  </w:t>
      </w:r>
      <w:r>
        <w:rPr>
          <w:rFonts w:ascii="宋体" w:hAnsi="宋体" w:eastAsia="宋体" w:cs="宋体"/>
          <w:spacing w:val="15"/>
          <w:sz w:val="50"/>
          <w:szCs w:val="50"/>
        </w:rPr>
        <w:t>压实度应不小于96%。</w:t>
      </w:r>
    </w:p>
    <w:p w14:paraId="2B66D326">
      <w:pPr>
        <w:spacing w:before="10" w:line="224" w:lineRule="auto"/>
        <w:ind w:left="14542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spacing w:val="-10"/>
          <w:sz w:val="36"/>
          <w:szCs w:val="36"/>
        </w:rPr>
        <w:t>78</w:t>
      </w:r>
    </w:p>
    <w:p w14:paraId="5C04204F">
      <w:pPr>
        <w:spacing w:before="2" w:line="218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6"/>
          <w:sz w:val="50"/>
          <w:szCs w:val="50"/>
        </w:rPr>
        <w:t>⑤部位狭窄时，可采用低强度等级混凝土、浆砌片石等材料回填。</w:t>
      </w:r>
    </w:p>
    <w:p w14:paraId="7E03CCCD">
      <w:pPr>
        <w:pStyle w:val="2"/>
        <w:spacing w:line="333" w:lineRule="auto"/>
      </w:pPr>
    </w:p>
    <w:p w14:paraId="07AD9B05">
      <w:pPr>
        <w:pStyle w:val="2"/>
        <w:spacing w:line="333" w:lineRule="auto"/>
      </w:pPr>
    </w:p>
    <w:p w14:paraId="7855791E">
      <w:pPr>
        <w:spacing w:before="162" w:line="400" w:lineRule="exact"/>
        <w:ind w:left="11714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position w:val="-5"/>
          <w:sz w:val="50"/>
          <w:szCs w:val="50"/>
        </w:rPr>
        <w:t>O</w:t>
      </w:r>
    </w:p>
    <w:p w14:paraId="5600C83A">
      <w:pPr>
        <w:spacing w:before="2" w:line="200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5"/>
          <w:sz w:val="50"/>
          <w:szCs w:val="50"/>
        </w:rPr>
        <w:t>⑥涵洞两侧应对称分层回填压实。</w:t>
      </w:r>
    </w:p>
    <w:p w14:paraId="0A65F0D2">
      <w:pPr>
        <w:spacing w:before="2" w:line="218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4"/>
          <w:sz w:val="50"/>
          <w:szCs w:val="50"/>
        </w:rPr>
        <w:t>⑦回填部分的路床宜与路堤路床同步填筑。</w:t>
      </w:r>
    </w:p>
    <w:p w14:paraId="6A6D6EF6">
      <w:pPr>
        <w:spacing w:before="31" w:line="183" w:lineRule="auto"/>
        <w:ind w:left="4389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z w:val="50"/>
          <w:szCs w:val="50"/>
        </w:rPr>
        <w:t>9</w:t>
      </w:r>
    </w:p>
    <w:p w14:paraId="2BE3EF29">
      <w:pPr>
        <w:spacing w:before="2" w:line="215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0"/>
          <w:sz w:val="50"/>
          <w:szCs w:val="50"/>
        </w:rPr>
        <w:t>⑧台背与墙背回填，应在结构物强度达到设计强度的75%以上</w:t>
      </w:r>
      <w:r>
        <w:rPr>
          <w:rFonts w:ascii="宋体" w:hAnsi="宋体" w:eastAsia="宋体" w:cs="宋体"/>
          <w:spacing w:val="19"/>
          <w:sz w:val="50"/>
          <w:szCs w:val="50"/>
        </w:rPr>
        <w:t>时进行。</w:t>
      </w:r>
    </w:p>
    <w:p w14:paraId="5E35541B">
      <w:pPr>
        <w:spacing w:before="322" w:line="221" w:lineRule="auto"/>
        <w:ind w:left="2408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36"/>
          <w:sz w:val="50"/>
          <w:szCs w:val="50"/>
        </w:rPr>
        <w:t>(2)台背与墙背填筑填料要求</w:t>
      </w:r>
    </w:p>
    <w:p w14:paraId="5046D227">
      <w:pPr>
        <w:pStyle w:val="2"/>
        <w:spacing w:line="259" w:lineRule="auto"/>
      </w:pPr>
    </w:p>
    <w:p w14:paraId="3BFFF212">
      <w:pPr>
        <w:spacing w:before="162" w:line="370" w:lineRule="auto"/>
        <w:ind w:left="2167" w:right="2015" w:firstLine="1071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9"/>
          <w:sz w:val="50"/>
          <w:szCs w:val="50"/>
        </w:rPr>
        <w:t>填料宜采用透水性材料、轻质材料、无机结合料稳定材料等，崩</w:t>
      </w:r>
      <w:r>
        <w:rPr>
          <w:rFonts w:ascii="宋体" w:hAnsi="宋体" w:eastAsia="宋体" w:cs="宋体"/>
          <w:spacing w:val="18"/>
          <w:sz w:val="50"/>
          <w:szCs w:val="50"/>
        </w:rPr>
        <w:t>解性岩石、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4"/>
          <w:sz w:val="50"/>
          <w:szCs w:val="50"/>
        </w:rPr>
        <w:t>膨胀土不得用于台背与墙背填筑。</w:t>
      </w:r>
    </w:p>
    <w:p w14:paraId="195AB63B">
      <w:pPr>
        <w:spacing w:before="58"/>
      </w:pPr>
    </w:p>
    <w:p w14:paraId="6291F582">
      <w:pPr>
        <w:spacing w:before="58"/>
      </w:pPr>
    </w:p>
    <w:p w14:paraId="590E8779">
      <w:pPr>
        <w:spacing w:before="58"/>
      </w:pPr>
    </w:p>
    <w:p w14:paraId="31BFD103">
      <w:pPr>
        <w:sectPr>
          <w:footerReference r:id="rId10" w:type="default"/>
          <w:pgSz w:w="22389" w:h="31681"/>
          <w:pgMar w:top="1" w:right="7" w:bottom="3006" w:left="0" w:header="0" w:footer="213" w:gutter="0"/>
          <w:cols w:equalWidth="0" w:num="1">
            <w:col w:w="22382"/>
          </w:cols>
        </w:sectPr>
      </w:pPr>
    </w:p>
    <w:p w14:paraId="7311B110">
      <w:pPr>
        <w:spacing w:before="100" w:line="387" w:lineRule="auto"/>
        <w:ind w:left="2181" w:right="6275" w:hanging="7"/>
        <w:rPr>
          <w:sz w:val="46"/>
          <w:szCs w:val="46"/>
        </w:rPr>
      </w:pPr>
      <w:r>
        <w:rPr>
          <w:rFonts w:ascii="宋体" w:hAnsi="宋体" w:eastAsia="宋体" w:cs="宋体"/>
          <w:b/>
          <w:bCs/>
          <w:spacing w:val="50"/>
          <w:sz w:val="50"/>
          <w:szCs w:val="50"/>
        </w:rPr>
        <w:t>考点9:垫层与浅层处理</w:t>
      </w:r>
      <w:r>
        <w:rPr>
          <w:rFonts w:ascii="宋体" w:hAnsi="宋体" w:eastAsia="宋体" w:cs="宋体"/>
          <w:spacing w:val="3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19"/>
          <w:sz w:val="46"/>
          <w:szCs w:val="46"/>
        </w:rPr>
        <w:t>【考点星级】</w:t>
      </w:r>
      <w:r>
        <w:rPr>
          <w:rFonts w:ascii="宋体" w:hAnsi="宋体" w:eastAsia="宋体" w:cs="宋体"/>
          <w:spacing w:val="-34"/>
          <w:sz w:val="46"/>
          <w:szCs w:val="46"/>
        </w:rPr>
        <w:t xml:space="preserve"> </w:t>
      </w:r>
      <w:r>
        <w:rPr>
          <w:position w:val="-9"/>
          <w:sz w:val="46"/>
          <w:szCs w:val="46"/>
        </w:rPr>
        <w:drawing>
          <wp:inline distT="0" distB="0" distL="0" distR="0">
            <wp:extent cx="1025525" cy="354965"/>
            <wp:effectExtent l="0" t="0" r="0" b="0"/>
            <wp:docPr id="70" name="IM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 7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26035" cy="3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B48A8">
      <w:pPr>
        <w:spacing w:before="19" w:line="221" w:lineRule="auto"/>
        <w:ind w:left="2162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-8"/>
          <w:sz w:val="50"/>
          <w:szCs w:val="50"/>
        </w:rPr>
        <w:t>【考点分值】</w:t>
      </w:r>
      <w:r>
        <w:rPr>
          <w:rFonts w:ascii="宋体" w:hAnsi="宋体" w:eastAsia="宋体" w:cs="宋体"/>
          <w:spacing w:val="-62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8"/>
          <w:sz w:val="50"/>
          <w:szCs w:val="50"/>
        </w:rPr>
        <w:t>1</w:t>
      </w:r>
      <w:r>
        <w:rPr>
          <w:rFonts w:ascii="宋体" w:hAnsi="宋体" w:eastAsia="宋体" w:cs="宋体"/>
          <w:spacing w:val="-142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8"/>
          <w:sz w:val="50"/>
          <w:szCs w:val="50"/>
        </w:rPr>
        <w:t>-</w:t>
      </w:r>
      <w:r>
        <w:rPr>
          <w:rFonts w:ascii="宋体" w:hAnsi="宋体" w:eastAsia="宋体" w:cs="宋体"/>
          <w:spacing w:val="-132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8"/>
          <w:sz w:val="50"/>
          <w:szCs w:val="50"/>
        </w:rPr>
        <w:t>2分</w:t>
      </w:r>
    </w:p>
    <w:p w14:paraId="0C5CD2F1">
      <w:pPr>
        <w:spacing w:line="72" w:lineRule="auto"/>
        <w:rPr>
          <w:rFonts w:ascii="Arial"/>
          <w:sz w:val="2"/>
        </w:rPr>
      </w:pPr>
    </w:p>
    <w:p w14:paraId="184875B2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39B971BF">
      <w:pPr>
        <w:pStyle w:val="2"/>
        <w:spacing w:line="320" w:lineRule="auto"/>
      </w:pPr>
    </w:p>
    <w:p w14:paraId="73ED5001">
      <w:pPr>
        <w:pStyle w:val="2"/>
        <w:spacing w:line="320" w:lineRule="auto"/>
      </w:pPr>
    </w:p>
    <w:p w14:paraId="3C9B8AFD">
      <w:pPr>
        <w:spacing w:before="163" w:line="241" w:lineRule="auto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-2"/>
          <w:sz w:val="50"/>
          <w:szCs w:val="50"/>
        </w:rPr>
        <w:t>034978</w:t>
      </w:r>
    </w:p>
    <w:p w14:paraId="0BBAE290">
      <w:pPr>
        <w:spacing w:line="241" w:lineRule="auto"/>
        <w:rPr>
          <w:rFonts w:ascii="宋体" w:hAnsi="宋体" w:eastAsia="宋体" w:cs="宋体"/>
          <w:sz w:val="50"/>
          <w:szCs w:val="50"/>
        </w:rPr>
        <w:sectPr>
          <w:type w:val="continuous"/>
          <w:pgSz w:w="22389" w:h="31681"/>
          <w:pgMar w:top="1" w:right="7" w:bottom="3006" w:left="0" w:header="0" w:footer="213" w:gutter="0"/>
          <w:cols w:equalWidth="0" w:num="2">
            <w:col w:w="14062" w:space="100"/>
            <w:col w:w="8220"/>
          </w:cols>
        </w:sectPr>
      </w:pPr>
    </w:p>
    <w:p w14:paraId="3A6EB421">
      <w:pPr>
        <w:spacing w:before="389" w:line="374" w:lineRule="auto"/>
        <w:ind w:left="2167" w:right="1920" w:firstLine="1064"/>
        <w:jc w:val="both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垫层类型按材料可分为碎石垫层、砂砾垫层、石屑垫层、矿渣垫层、粉煤灰</w:t>
      </w:r>
      <w:r>
        <w:rPr>
          <w:rFonts w:ascii="宋体" w:hAnsi="宋体" w:eastAsia="宋体" w:cs="宋体"/>
          <w:spacing w:val="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8"/>
          <w:sz w:val="50"/>
          <w:szCs w:val="50"/>
        </w:rPr>
        <w:t>垫层以及灰土垫层等。浅层处理可采用浅层置换、浅层改良、抛石挤淤等方法，</w:t>
      </w:r>
      <w:r>
        <w:rPr>
          <w:rFonts w:ascii="宋体" w:hAnsi="宋体" w:eastAsia="宋体" w:cs="宋体"/>
          <w:spacing w:val="9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9"/>
          <w:sz w:val="50"/>
          <w:szCs w:val="50"/>
        </w:rPr>
        <w:t>处理深度不宜大于3</w:t>
      </w:r>
      <w:r>
        <w:rPr>
          <w:rFonts w:ascii="Times New Roman" w:hAnsi="Times New Roman" w:eastAsia="Times New Roman" w:cs="Times New Roman"/>
          <w:spacing w:val="19"/>
          <w:sz w:val="50"/>
          <w:szCs w:val="50"/>
        </w:rPr>
        <w:t>m</w:t>
      </w:r>
      <w:r>
        <w:rPr>
          <w:rFonts w:ascii="宋体" w:hAnsi="宋体" w:eastAsia="宋体" w:cs="宋体"/>
          <w:spacing w:val="19"/>
          <w:sz w:val="50"/>
          <w:szCs w:val="50"/>
        </w:rPr>
        <w:t>。</w:t>
      </w:r>
    </w:p>
    <w:p w14:paraId="5128575A">
      <w:pPr>
        <w:spacing w:before="3" w:line="218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0"/>
          <w:sz w:val="50"/>
          <w:szCs w:val="50"/>
        </w:rPr>
        <w:t>①砂砾、碎石垫层施工规定</w:t>
      </w:r>
    </w:p>
    <w:p w14:paraId="12590934">
      <w:pPr>
        <w:pStyle w:val="2"/>
        <w:spacing w:line="250" w:lineRule="auto"/>
      </w:pPr>
    </w:p>
    <w:p w14:paraId="403EE087">
      <w:pPr>
        <w:spacing w:before="163" w:line="297" w:lineRule="auto"/>
        <w:ind w:left="2167" w:right="2112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23"/>
          <w:sz w:val="50"/>
          <w:szCs w:val="50"/>
        </w:rPr>
        <w:t>A.</w:t>
      </w:r>
      <w:r>
        <w:rPr>
          <w:rFonts w:ascii="宋体" w:hAnsi="宋体" w:eastAsia="宋体" w:cs="宋体"/>
          <w:spacing w:val="23"/>
          <w:sz w:val="50"/>
          <w:szCs w:val="50"/>
        </w:rPr>
        <w:t>砂砾、碎石垫层宜采用级配好的中、粗砂，砂砾或碎石，含泥量应不大于5%,</w:t>
      </w:r>
      <w:r>
        <w:rPr>
          <w:rFonts w:ascii="宋体" w:hAnsi="宋体" w:eastAsia="宋体" w:cs="宋体"/>
          <w:spacing w:val="13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9"/>
          <w:sz w:val="50"/>
          <w:szCs w:val="50"/>
        </w:rPr>
        <w:t>最大粒径宜小于50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宋体" w:hAnsi="宋体" w:eastAsia="宋体" w:cs="宋体"/>
          <w:spacing w:val="9"/>
          <w:sz w:val="50"/>
          <w:szCs w:val="50"/>
        </w:rPr>
        <w:t>。</w:t>
      </w:r>
    </w:p>
    <w:p w14:paraId="29F9E6B6">
      <w:pPr>
        <w:pStyle w:val="2"/>
        <w:spacing w:line="446" w:lineRule="auto"/>
      </w:pPr>
    </w:p>
    <w:p w14:paraId="204262F5">
      <w:pPr>
        <w:spacing w:before="163" w:line="177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21"/>
          <w:sz w:val="50"/>
          <w:szCs w:val="50"/>
        </w:rPr>
        <w:t>B.</w:t>
      </w:r>
      <w:r>
        <w:rPr>
          <w:rFonts w:ascii="Times New Roman" w:hAnsi="Times New Roman" w:eastAsia="Times New Roman" w:cs="Times New Roman"/>
          <w:spacing w:val="-43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垫层宜分层铺筑、压实。垫层应水平铺筑。当地形有起伏时，应开挖台</w:t>
      </w:r>
      <w:r>
        <w:rPr>
          <w:rFonts w:ascii="宋体" w:hAnsi="宋体" w:eastAsia="宋体" w:cs="宋体"/>
          <w:spacing w:val="20"/>
          <w:sz w:val="50"/>
          <w:szCs w:val="50"/>
        </w:rPr>
        <w:t>阶，台</w:t>
      </w:r>
    </w:p>
    <w:p w14:paraId="449896E4">
      <w:pPr>
        <w:spacing w:line="177" w:lineRule="auto"/>
        <w:rPr>
          <w:rFonts w:ascii="宋体" w:hAnsi="宋体" w:eastAsia="宋体" w:cs="宋体"/>
          <w:sz w:val="50"/>
          <w:szCs w:val="50"/>
        </w:rPr>
        <w:sectPr>
          <w:type w:val="continuous"/>
          <w:pgSz w:w="22389" w:h="31681"/>
          <w:pgMar w:top="1" w:right="7" w:bottom="3006" w:left="0" w:header="0" w:footer="213" w:gutter="0"/>
          <w:cols w:equalWidth="0" w:num="1">
            <w:col w:w="22382"/>
          </w:cols>
        </w:sectPr>
      </w:pPr>
    </w:p>
    <w:p w14:paraId="7039CF92">
      <w:pPr>
        <w:spacing w:before="323" w:line="222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5"/>
          <w:sz w:val="50"/>
          <w:szCs w:val="50"/>
        </w:rPr>
        <w:t>阶宽度宜为0.5～1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>m</w:t>
      </w:r>
      <w:r>
        <w:rPr>
          <w:rFonts w:ascii="宋体" w:hAnsi="宋体" w:eastAsia="宋体" w:cs="宋体"/>
          <w:spacing w:val="15"/>
          <w:sz w:val="50"/>
          <w:szCs w:val="50"/>
        </w:rPr>
        <w:t>。</w:t>
      </w:r>
    </w:p>
    <w:p w14:paraId="6CD64688">
      <w:pPr>
        <w:spacing w:line="55" w:lineRule="auto"/>
        <w:rPr>
          <w:rFonts w:ascii="Arial"/>
          <w:sz w:val="2"/>
        </w:rPr>
      </w:pPr>
    </w:p>
    <w:p w14:paraId="271CAF34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013A35B4">
      <w:pPr>
        <w:spacing w:before="2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-6"/>
          <w:sz w:val="50"/>
          <w:szCs w:val="50"/>
        </w:rPr>
        <w:t>849178</w:t>
      </w:r>
    </w:p>
    <w:p w14:paraId="03948A1D">
      <w:pPr>
        <w:rPr>
          <w:rFonts w:ascii="宋体" w:hAnsi="宋体" w:eastAsia="宋体" w:cs="宋体"/>
          <w:sz w:val="50"/>
          <w:szCs w:val="50"/>
        </w:rPr>
        <w:sectPr>
          <w:type w:val="continuous"/>
          <w:pgSz w:w="22389" w:h="31681"/>
          <w:pgMar w:top="1" w:right="7" w:bottom="3006" w:left="0" w:header="0" w:footer="213" w:gutter="0"/>
          <w:cols w:equalWidth="0" w:num="2">
            <w:col w:w="8279" w:space="100"/>
            <w:col w:w="14003"/>
          </w:cols>
        </w:sectPr>
      </w:pPr>
    </w:p>
    <w:p w14:paraId="02678A15">
      <w:pPr>
        <w:spacing w:before="369" w:line="214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23"/>
          <w:sz w:val="50"/>
          <w:szCs w:val="50"/>
        </w:rPr>
        <w:t>C.</w:t>
      </w:r>
      <w:r>
        <w:rPr>
          <w:rFonts w:ascii="Times New Roman" w:hAnsi="Times New Roman" w:eastAsia="Times New Roman" w:cs="Times New Roman"/>
          <w:spacing w:val="-1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3"/>
          <w:sz w:val="50"/>
          <w:szCs w:val="50"/>
        </w:rPr>
        <w:t>垫层宽度应宽出路基坡脚0.5～1</w:t>
      </w:r>
      <w:r>
        <w:rPr>
          <w:rFonts w:ascii="Times New Roman" w:hAnsi="Times New Roman" w:eastAsia="Times New Roman" w:cs="Times New Roman"/>
          <w:spacing w:val="23"/>
          <w:sz w:val="50"/>
          <w:szCs w:val="50"/>
        </w:rPr>
        <w:t>m,</w:t>
      </w:r>
      <w:r>
        <w:rPr>
          <w:rFonts w:ascii="宋体" w:hAnsi="宋体" w:eastAsia="宋体" w:cs="宋体"/>
          <w:spacing w:val="23"/>
          <w:sz w:val="50"/>
          <w:szCs w:val="50"/>
        </w:rPr>
        <w:t>两侧宜用片石护砌或采用其他方式防护。</w:t>
      </w:r>
    </w:p>
    <w:p w14:paraId="6F5A265F">
      <w:pPr>
        <w:pStyle w:val="2"/>
        <w:spacing w:line="316" w:lineRule="auto"/>
      </w:pPr>
    </w:p>
    <w:p w14:paraId="0EDADBB0">
      <w:pPr>
        <w:spacing w:before="163" w:line="219" w:lineRule="auto"/>
        <w:ind w:left="2167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9"/>
          <w:sz w:val="50"/>
          <w:szCs w:val="50"/>
        </w:rPr>
        <w:t>②铺设土工合成材料规定</w:t>
      </w:r>
    </w:p>
    <w:p w14:paraId="6E2DB9C8">
      <w:pPr>
        <w:pStyle w:val="2"/>
        <w:spacing w:line="257" w:lineRule="auto"/>
      </w:pPr>
    </w:p>
    <w:p w14:paraId="460AFF70">
      <w:pPr>
        <w:spacing w:before="163" w:line="278" w:lineRule="auto"/>
        <w:ind w:left="2167" w:right="1945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22"/>
          <w:sz w:val="50"/>
          <w:szCs w:val="50"/>
        </w:rPr>
        <w:t>A.</w:t>
      </w:r>
      <w:r>
        <w:rPr>
          <w:rFonts w:ascii="宋体" w:hAnsi="宋体" w:eastAsia="宋体" w:cs="宋体"/>
          <w:spacing w:val="22"/>
          <w:sz w:val="50"/>
          <w:szCs w:val="50"/>
        </w:rPr>
        <w:t>土工合成材料技术指标应满足设计要求。土工合成</w:t>
      </w:r>
      <w:r>
        <w:rPr>
          <w:rFonts w:ascii="宋体" w:hAnsi="宋体" w:eastAsia="宋体" w:cs="宋体"/>
          <w:spacing w:val="21"/>
          <w:sz w:val="50"/>
          <w:szCs w:val="50"/>
        </w:rPr>
        <w:t>材料在存放及铺设过程中不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2"/>
          <w:sz w:val="50"/>
          <w:szCs w:val="50"/>
        </w:rPr>
        <w:t>得在阳光下长时间暴露。与土工合成材料直接接触的填</w:t>
      </w:r>
      <w:r>
        <w:rPr>
          <w:rFonts w:ascii="宋体" w:hAnsi="宋体" w:eastAsia="宋体" w:cs="宋体"/>
          <w:spacing w:val="21"/>
          <w:sz w:val="50"/>
          <w:szCs w:val="50"/>
        </w:rPr>
        <w:t>料中不得含强酸性、强碱</w:t>
      </w:r>
    </w:p>
    <w:p w14:paraId="446DE0A9">
      <w:pPr>
        <w:spacing w:line="278" w:lineRule="auto"/>
        <w:rPr>
          <w:rFonts w:ascii="宋体" w:hAnsi="宋体" w:eastAsia="宋体" w:cs="宋体"/>
          <w:sz w:val="50"/>
          <w:szCs w:val="50"/>
        </w:rPr>
        <w:sectPr>
          <w:type w:val="continuous"/>
          <w:pgSz w:w="22389" w:h="31681"/>
          <w:pgMar w:top="1" w:right="7" w:bottom="3006" w:left="0" w:header="0" w:footer="213" w:gutter="0"/>
          <w:cols w:equalWidth="0" w:num="1">
            <w:col w:w="22382"/>
          </w:cols>
        </w:sectPr>
      </w:pPr>
    </w:p>
    <w:p w14:paraId="3FD6108E">
      <w:pPr>
        <w:spacing w:line="214" w:lineRule="auto"/>
        <w:ind w:left="1226"/>
        <w:outlineLvl w:val="6"/>
        <w:rPr>
          <w:rFonts w:hint="eastAsia" w:ascii="黑体" w:hAnsi="黑体" w:eastAsia="黑体" w:cs="黑体"/>
          <w:sz w:val="50"/>
          <w:szCs w:val="50"/>
          <w:lang w:eastAsia="zh-CN"/>
        </w:rPr>
      </w:pP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38"/>
          <w:sz w:val="50"/>
          <w:szCs w:val="50"/>
        </w:rPr>
        <w:t>QQ/</w:t>
      </w:r>
      <w:r>
        <w:rPr>
          <w:rFonts w:ascii="黑体" w:hAnsi="黑体" w:eastAsia="黑体" w:cs="黑体"/>
          <w:b/>
          <w:bCs/>
          <w:spacing w:val="-38"/>
          <w:sz w:val="50"/>
          <w:szCs w:val="50"/>
        </w:rPr>
        <w:t>微信：</w:t>
      </w:r>
    </w:p>
    <w:p w14:paraId="79EBBA22">
      <w:pPr>
        <w:pStyle w:val="2"/>
        <w:spacing w:line="257" w:lineRule="auto"/>
      </w:pPr>
    </w:p>
    <w:p w14:paraId="0D9C29B9">
      <w:pPr>
        <w:pStyle w:val="2"/>
        <w:spacing w:line="257" w:lineRule="auto"/>
      </w:pPr>
    </w:p>
    <w:p w14:paraId="44B21646">
      <w:pPr>
        <w:pStyle w:val="2"/>
        <w:spacing w:line="257" w:lineRule="auto"/>
      </w:pPr>
    </w:p>
    <w:p w14:paraId="2571D79E">
      <w:pPr>
        <w:spacing w:before="162" w:line="225" w:lineRule="auto"/>
        <w:ind w:left="2143"/>
        <w:rPr>
          <w:rFonts w:ascii="黑体" w:hAnsi="黑体" w:eastAsia="黑体" w:cs="黑体"/>
          <w:sz w:val="50"/>
          <w:szCs w:val="50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-488315</wp:posOffset>
            </wp:positionV>
            <wp:extent cx="1637665" cy="1652905"/>
            <wp:effectExtent l="0" t="0" r="0" b="0"/>
            <wp:wrapNone/>
            <wp:docPr id="78" name="IM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 78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37789" cy="1652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bCs/>
          <w:color w:val="D02030"/>
          <w:spacing w:val="-16"/>
          <w:sz w:val="50"/>
          <w:szCs w:val="50"/>
        </w:rPr>
        <w:t>L</w:t>
      </w:r>
      <w:r>
        <w:rPr>
          <w:rFonts w:ascii="宋体" w:hAnsi="宋体" w:eastAsia="宋体" w:cs="宋体"/>
          <w:color w:val="D02030"/>
          <w:spacing w:val="28"/>
          <w:sz w:val="50"/>
          <w:szCs w:val="50"/>
        </w:rPr>
        <w:t xml:space="preserve">  </w:t>
      </w:r>
      <w:r>
        <w:rPr>
          <w:rFonts w:ascii="黑体" w:hAnsi="黑体" w:eastAsia="黑体" w:cs="黑体"/>
          <w:b/>
          <w:bCs/>
          <w:color w:val="D02030"/>
          <w:spacing w:val="-16"/>
          <w:sz w:val="50"/>
          <w:szCs w:val="50"/>
        </w:rPr>
        <w:t>优</w:t>
      </w:r>
      <w:r>
        <w:rPr>
          <w:rFonts w:ascii="黑体" w:hAnsi="黑体" w:eastAsia="黑体" w:cs="黑体"/>
          <w:color w:val="D02030"/>
          <w:spacing w:val="-59"/>
          <w:sz w:val="50"/>
          <w:szCs w:val="50"/>
        </w:rPr>
        <w:t xml:space="preserve"> </w:t>
      </w:r>
      <w:r>
        <w:rPr>
          <w:rFonts w:ascii="黑体" w:hAnsi="黑体" w:eastAsia="黑体" w:cs="黑体"/>
          <w:b/>
          <w:bCs/>
          <w:color w:val="D02030"/>
          <w:spacing w:val="-16"/>
          <w:sz w:val="50"/>
          <w:szCs w:val="50"/>
        </w:rPr>
        <w:t>路</w:t>
      </w:r>
      <w:r>
        <w:rPr>
          <w:rFonts w:ascii="黑体" w:hAnsi="黑体" w:eastAsia="黑体" w:cs="黑体"/>
          <w:color w:val="D02030"/>
          <w:spacing w:val="-66"/>
          <w:sz w:val="50"/>
          <w:szCs w:val="50"/>
        </w:rPr>
        <w:t xml:space="preserve"> </w:t>
      </w:r>
      <w:r>
        <w:rPr>
          <w:rFonts w:ascii="黑体" w:hAnsi="黑体" w:eastAsia="黑体" w:cs="黑体"/>
          <w:b/>
          <w:bCs/>
          <w:color w:val="D02030"/>
          <w:spacing w:val="-16"/>
          <w:sz w:val="50"/>
          <w:szCs w:val="50"/>
        </w:rPr>
        <w:t>教</w:t>
      </w:r>
      <w:r>
        <w:rPr>
          <w:rFonts w:ascii="黑体" w:hAnsi="黑体" w:eastAsia="黑体" w:cs="黑体"/>
          <w:b/>
          <w:bCs/>
          <w:color w:val="D03030"/>
          <w:spacing w:val="-16"/>
          <w:sz w:val="50"/>
          <w:szCs w:val="50"/>
        </w:rPr>
        <w:t>育</w:t>
      </w:r>
    </w:p>
    <w:p w14:paraId="41231782">
      <w:pPr>
        <w:spacing w:before="98" w:line="23" w:lineRule="exact"/>
        <w:ind w:firstLine="2136"/>
      </w:pPr>
      <w:r>
        <w:drawing>
          <wp:inline distT="0" distB="0" distL="0" distR="0">
            <wp:extent cx="11705590" cy="14605"/>
            <wp:effectExtent l="0" t="0" r="0" b="0"/>
            <wp:docPr id="80" name="IM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 8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706075" cy="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461D4">
      <w:pPr>
        <w:pStyle w:val="2"/>
        <w:spacing w:line="277" w:lineRule="auto"/>
      </w:pPr>
    </w:p>
    <w:p w14:paraId="502FCE52">
      <w:pPr>
        <w:pStyle w:val="2"/>
        <w:spacing w:line="278" w:lineRule="auto"/>
      </w:pPr>
    </w:p>
    <w:p w14:paraId="0A67175C">
      <w:pPr>
        <w:spacing w:before="162" w:line="222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1"/>
          <w:sz w:val="50"/>
          <w:szCs w:val="50"/>
        </w:rPr>
        <w:t>性物质。</w:t>
      </w:r>
    </w:p>
    <w:p w14:paraId="28E9F5B3">
      <w:pPr>
        <w:pStyle w:val="2"/>
        <w:spacing w:line="258" w:lineRule="auto"/>
      </w:pPr>
    </w:p>
    <w:p w14:paraId="11D54EC5">
      <w:pPr>
        <w:spacing w:before="162" w:line="220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18"/>
          <w:sz w:val="50"/>
          <w:szCs w:val="50"/>
        </w:rPr>
        <w:t>B.</w:t>
      </w:r>
      <w:r>
        <w:rPr>
          <w:rFonts w:ascii="宋体" w:hAnsi="宋体" w:eastAsia="宋体" w:cs="宋体"/>
          <w:spacing w:val="18"/>
          <w:sz w:val="50"/>
          <w:szCs w:val="50"/>
        </w:rPr>
        <w:t>施工中应采取措施防止土工合成材料受损，出现破损时应及时修补或更换。</w:t>
      </w:r>
    </w:p>
    <w:p w14:paraId="629D2A03">
      <w:pPr>
        <w:spacing w:before="386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③浅层置换施工规定</w:t>
      </w:r>
    </w:p>
    <w:p w14:paraId="449A7845">
      <w:pPr>
        <w:pStyle w:val="2"/>
        <w:spacing w:line="269" w:lineRule="auto"/>
      </w:pPr>
    </w:p>
    <w:p w14:paraId="7FF50F81">
      <w:pPr>
        <w:spacing w:before="163" w:line="374" w:lineRule="auto"/>
        <w:ind w:left="2136" w:right="200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置换宜选用强度高的砂砾、碎石等水稳性和透水性好的材料。施工时，应分层填</w:t>
      </w:r>
      <w:r>
        <w:rPr>
          <w:rFonts w:ascii="宋体" w:hAnsi="宋体" w:eastAsia="宋体" w:cs="宋体"/>
          <w:spacing w:val="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9"/>
          <w:sz w:val="50"/>
          <w:szCs w:val="50"/>
        </w:rPr>
        <w:t>筑、压实。</w:t>
      </w:r>
    </w:p>
    <w:p w14:paraId="6BAF010E">
      <w:pPr>
        <w:spacing w:before="93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④浅层改良施工规定</w:t>
      </w:r>
    </w:p>
    <w:p w14:paraId="5DB46B69">
      <w:pPr>
        <w:spacing w:before="307" w:line="221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6"/>
          <w:sz w:val="50"/>
          <w:szCs w:val="50"/>
        </w:rPr>
        <w:t>A.对非饱和黏质土的软弱表层，可添加石灰、水泥等进行改良处置。</w:t>
      </w:r>
    </w:p>
    <w:p w14:paraId="641766F0">
      <w:pPr>
        <w:pStyle w:val="2"/>
        <w:spacing w:line="247" w:lineRule="auto"/>
      </w:pPr>
    </w:p>
    <w:p w14:paraId="5FFF3521">
      <w:pPr>
        <w:spacing w:before="163" w:line="221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14"/>
          <w:sz w:val="50"/>
          <w:szCs w:val="50"/>
        </w:rPr>
        <w:t>B.</w:t>
      </w:r>
      <w:r>
        <w:rPr>
          <w:rFonts w:ascii="Times New Roman" w:hAnsi="Times New Roman" w:eastAsia="Times New Roman" w:cs="Times New Roman"/>
          <w:spacing w:val="-48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4"/>
          <w:sz w:val="50"/>
          <w:szCs w:val="50"/>
        </w:rPr>
        <w:t>施工前应先完善排水设施，施工期间不得积水。</w:t>
      </w:r>
    </w:p>
    <w:p w14:paraId="4DFE0F8D">
      <w:pPr>
        <w:pStyle w:val="2"/>
        <w:spacing w:line="285" w:lineRule="auto"/>
      </w:pPr>
    </w:p>
    <w:p w14:paraId="4B127694">
      <w:pPr>
        <w:spacing w:before="163" w:line="221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11"/>
          <w:sz w:val="50"/>
          <w:szCs w:val="50"/>
        </w:rPr>
        <w:t>C.</w:t>
      </w:r>
      <w:r>
        <w:rPr>
          <w:rFonts w:ascii="Times New Roman" w:hAnsi="Times New Roman" w:eastAsia="Times New Roman" w:cs="Times New Roman"/>
          <w:spacing w:val="-25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1"/>
          <w:sz w:val="50"/>
          <w:szCs w:val="50"/>
        </w:rPr>
        <w:t>石灰、水泥等应与土拌和均匀，严格控制含水率。施工时，应分层填筑、压实。</w:t>
      </w:r>
    </w:p>
    <w:p w14:paraId="03E7F78B">
      <w:pPr>
        <w:spacing w:before="398" w:line="219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1"/>
          <w:sz w:val="50"/>
          <w:szCs w:val="50"/>
        </w:rPr>
        <w:t>⑤抛石挤淤施工规定</w:t>
      </w:r>
    </w:p>
    <w:p w14:paraId="2567A563">
      <w:pPr>
        <w:pStyle w:val="2"/>
        <w:spacing w:line="319" w:lineRule="auto"/>
      </w:pPr>
    </w:p>
    <w:p w14:paraId="10398F0F">
      <w:pPr>
        <w:spacing w:before="163" w:line="220" w:lineRule="auto"/>
        <w:ind w:left="2136"/>
        <w:rPr>
          <w:rFonts w:ascii="Times New Roman" w:hAnsi="Times New Roman" w:eastAsia="Times New Roman" w:cs="Times New Roman"/>
          <w:sz w:val="50"/>
          <w:szCs w:val="50"/>
        </w:rPr>
      </w:pPr>
      <w:r>
        <w:rPr>
          <w:rFonts w:ascii="Times New Roman" w:hAnsi="Times New Roman" w:eastAsia="Times New Roman" w:cs="Times New Roman"/>
          <w:spacing w:val="18"/>
          <w:sz w:val="50"/>
          <w:szCs w:val="50"/>
        </w:rPr>
        <w:t>A.</w:t>
      </w:r>
      <w:r>
        <w:rPr>
          <w:rFonts w:ascii="Times New Roman" w:hAnsi="Times New Roman" w:eastAsia="Times New Roman" w:cs="Times New Roman"/>
          <w:spacing w:val="-73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8"/>
          <w:sz w:val="50"/>
          <w:szCs w:val="50"/>
        </w:rPr>
        <w:t>应采用不易风化的片石、块石，石料直径宜不小于3</w:t>
      </w:r>
      <w:r>
        <w:rPr>
          <w:rFonts w:ascii="宋体" w:hAnsi="宋体" w:eastAsia="宋体" w:cs="宋体"/>
          <w:spacing w:val="17"/>
          <w:sz w:val="50"/>
          <w:szCs w:val="50"/>
        </w:rPr>
        <w:t>00</w:t>
      </w:r>
      <w:r>
        <w:rPr>
          <w:rFonts w:ascii="Times New Roman" w:hAnsi="Times New Roman" w:eastAsia="Times New Roman" w:cs="Times New Roman"/>
          <w:sz w:val="50"/>
          <w:szCs w:val="50"/>
        </w:rPr>
        <w:t>mm</w:t>
      </w:r>
      <w:r>
        <w:rPr>
          <w:rFonts w:ascii="Times New Roman" w:hAnsi="Times New Roman" w:eastAsia="Times New Roman" w:cs="Times New Roman"/>
          <w:spacing w:val="17"/>
          <w:sz w:val="50"/>
          <w:szCs w:val="50"/>
        </w:rPr>
        <w:t>8A</w:t>
      </w:r>
    </w:p>
    <w:p w14:paraId="08C30296">
      <w:pPr>
        <w:spacing w:before="145" w:line="343" w:lineRule="auto"/>
        <w:ind w:left="2136" w:right="1994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19"/>
          <w:sz w:val="50"/>
          <w:szCs w:val="50"/>
        </w:rPr>
        <w:t>B.</w:t>
      </w:r>
      <w:r>
        <w:rPr>
          <w:rFonts w:ascii="Times New Roman" w:hAnsi="Times New Roman" w:eastAsia="Times New Roman" w:cs="Times New Roman"/>
          <w:spacing w:val="-5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9"/>
          <w:sz w:val="50"/>
          <w:szCs w:val="50"/>
        </w:rPr>
        <w:t>当软土地层平坦，横坡缓于1:10时，应</w:t>
      </w:r>
      <w:r>
        <w:rPr>
          <w:rFonts w:ascii="宋体" w:hAnsi="宋体" w:eastAsia="宋体" w:cs="宋体"/>
          <w:spacing w:val="18"/>
          <w:sz w:val="50"/>
          <w:szCs w:val="50"/>
        </w:rPr>
        <w:t>沿路线中线向前呈等腰三角形抛填、渐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0"/>
          <w:sz w:val="50"/>
          <w:szCs w:val="50"/>
        </w:rPr>
        <w:t>次向两侧对称抛填至全宽，将淤泥挤向两侧；当横坡陡于1:10时，应自高侧向低</w:t>
      </w:r>
      <w:r>
        <w:rPr>
          <w:rFonts w:ascii="宋体" w:hAnsi="宋体" w:eastAsia="宋体" w:cs="宋体"/>
          <w:spacing w:val="9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5"/>
          <w:sz w:val="50"/>
          <w:szCs w:val="50"/>
        </w:rPr>
        <w:t>侧渐次抛填，并在低侧边部多抛投形成不小于2</w:t>
      </w:r>
      <w:r>
        <w:rPr>
          <w:rFonts w:ascii="Times New Roman" w:hAnsi="Times New Roman" w:eastAsia="Times New Roman" w:cs="Times New Roman"/>
          <w:spacing w:val="15"/>
          <w:sz w:val="50"/>
          <w:szCs w:val="50"/>
        </w:rPr>
        <w:t>m</w:t>
      </w:r>
      <w:r>
        <w:rPr>
          <w:rFonts w:ascii="Times New Roman" w:hAnsi="Times New Roman" w:eastAsia="Times New Roman" w:cs="Times New Roman"/>
          <w:spacing w:val="-12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5"/>
          <w:sz w:val="50"/>
          <w:szCs w:val="50"/>
        </w:rPr>
        <w:t>宽的平台。</w:t>
      </w:r>
    </w:p>
    <w:p w14:paraId="61999DE1">
      <w:pPr>
        <w:pStyle w:val="2"/>
        <w:spacing w:line="246" w:lineRule="auto"/>
      </w:pPr>
    </w:p>
    <w:p w14:paraId="37861923">
      <w:pPr>
        <w:spacing w:before="163" w:line="220" w:lineRule="auto"/>
        <w:ind w:left="2136"/>
        <w:rPr>
          <w:rFonts w:ascii="宋体" w:hAnsi="宋体" w:eastAsia="宋体" w:cs="宋体"/>
          <w:sz w:val="50"/>
          <w:szCs w:val="50"/>
        </w:rPr>
      </w:pPr>
      <w:r>
        <w:rPr>
          <w:rFonts w:ascii="Times New Roman" w:hAnsi="Times New Roman" w:eastAsia="Times New Roman" w:cs="Times New Roman"/>
          <w:spacing w:val="13"/>
          <w:sz w:val="50"/>
          <w:szCs w:val="50"/>
        </w:rPr>
        <w:t>C.</w:t>
      </w:r>
      <w:r>
        <w:rPr>
          <w:rFonts w:ascii="Times New Roman" w:hAnsi="Times New Roman" w:eastAsia="Times New Roman" w:cs="Times New Roman"/>
          <w:spacing w:val="-25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3"/>
          <w:sz w:val="50"/>
          <w:szCs w:val="50"/>
        </w:rPr>
        <w:t>当抛石高出水面后，应采用重型机具碾压密实。</w:t>
      </w:r>
    </w:p>
    <w:p w14:paraId="74BF370F">
      <w:pPr>
        <w:pStyle w:val="2"/>
        <w:spacing w:line="252" w:lineRule="auto"/>
      </w:pPr>
    </w:p>
    <w:p w14:paraId="5A766BBC">
      <w:pPr>
        <w:pStyle w:val="2"/>
        <w:spacing w:line="252" w:lineRule="auto"/>
      </w:pPr>
    </w:p>
    <w:p w14:paraId="33BE0ABF">
      <w:pPr>
        <w:pStyle w:val="2"/>
        <w:spacing w:line="252" w:lineRule="auto"/>
      </w:pPr>
    </w:p>
    <w:p w14:paraId="096AEAC3">
      <w:pPr>
        <w:pStyle w:val="2"/>
        <w:spacing w:line="253" w:lineRule="auto"/>
      </w:pPr>
    </w:p>
    <w:p w14:paraId="4592CBC3">
      <w:pPr>
        <w:pStyle w:val="2"/>
        <w:spacing w:line="253" w:lineRule="auto"/>
      </w:pPr>
    </w:p>
    <w:p w14:paraId="6717AAEC">
      <w:pPr>
        <w:spacing w:before="163" w:line="221" w:lineRule="auto"/>
        <w:ind w:left="214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49"/>
          <w:sz w:val="50"/>
          <w:szCs w:val="50"/>
        </w:rPr>
        <w:t>考点10:竖向排水体</w:t>
      </w:r>
    </w:p>
    <w:p w14:paraId="39DDC2C6">
      <w:pPr>
        <w:pStyle w:val="2"/>
        <w:spacing w:line="287" w:lineRule="auto"/>
      </w:pPr>
    </w:p>
    <w:p w14:paraId="6440DE6E">
      <w:pPr>
        <w:spacing w:before="163" w:line="363" w:lineRule="auto"/>
        <w:ind w:left="2131" w:right="15552" w:firstLine="23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b/>
          <w:bCs/>
          <w:spacing w:val="14"/>
          <w:sz w:val="50"/>
          <w:szCs w:val="50"/>
        </w:rPr>
        <w:t>【考点星级】★★★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b/>
          <w:bCs/>
          <w:spacing w:val="-3"/>
          <w:sz w:val="50"/>
          <w:szCs w:val="50"/>
        </w:rPr>
        <w:t>【考点分值】</w:t>
      </w:r>
      <w:r>
        <w:rPr>
          <w:rFonts w:ascii="宋体" w:hAnsi="宋体" w:eastAsia="宋体" w:cs="宋体"/>
          <w:spacing w:val="-3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"/>
          <w:sz w:val="50"/>
          <w:szCs w:val="50"/>
        </w:rPr>
        <w:t>1-</w:t>
      </w:r>
      <w:r>
        <w:rPr>
          <w:rFonts w:ascii="宋体" w:hAnsi="宋体" w:eastAsia="宋体" w:cs="宋体"/>
          <w:spacing w:val="-141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-3"/>
          <w:sz w:val="50"/>
          <w:szCs w:val="50"/>
        </w:rPr>
        <w:t>3分</w:t>
      </w:r>
    </w:p>
    <w:p w14:paraId="7BB893CE">
      <w:pPr>
        <w:spacing w:before="174" w:line="342" w:lineRule="auto"/>
        <w:ind w:left="2136" w:right="2003" w:firstLine="1071"/>
        <w:jc w:val="both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15"/>
          <w:sz w:val="50"/>
          <w:szCs w:val="50"/>
        </w:rPr>
        <w:t>竖向排水体适用于深度大于3m</w:t>
      </w:r>
      <w:r>
        <w:rPr>
          <w:rFonts w:ascii="宋体" w:hAnsi="宋体" w:eastAsia="宋体" w:cs="宋体"/>
          <w:spacing w:val="-95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5"/>
          <w:sz w:val="50"/>
          <w:szCs w:val="50"/>
        </w:rPr>
        <w:t>的软土地基处理。用于对淤泥质土和淤泥地基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进行处理时，宜与加载预压或真空预压方案联合使用。采用竖向排水体处理软土</w:t>
      </w:r>
      <w:r>
        <w:rPr>
          <w:rFonts w:ascii="宋体" w:hAnsi="宋体" w:eastAsia="宋体" w:cs="宋体"/>
          <w:spacing w:val="4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13"/>
          <w:sz w:val="50"/>
          <w:szCs w:val="50"/>
        </w:rPr>
        <w:t>地基时，应保证有足够的预压期。</w:t>
      </w:r>
    </w:p>
    <w:p w14:paraId="172BD33C">
      <w:pPr>
        <w:spacing w:before="92" w:line="372" w:lineRule="auto"/>
        <w:ind w:left="2136" w:right="1945" w:firstLine="1071"/>
        <w:jc w:val="both"/>
        <w:rPr>
          <w:rFonts w:ascii="宋体" w:hAnsi="宋体" w:eastAsia="宋体" w:cs="宋体"/>
          <w:sz w:val="50"/>
          <w:szCs w:val="50"/>
        </w:rPr>
      </w:pPr>
      <w:r>
        <w:rPr>
          <w:rFonts w:ascii="宋体" w:hAnsi="宋体" w:eastAsia="宋体" w:cs="宋体"/>
          <w:spacing w:val="22"/>
          <w:sz w:val="50"/>
          <w:szCs w:val="50"/>
        </w:rPr>
        <w:t>竖向排水体可采用袋装砂井和塑料排水板。竖向排水体可按正方形或等边三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角形布置。袋装砂井和塑料排水板可采用沉管式打桩机施工，塑料排</w:t>
      </w:r>
      <w:r>
        <w:rPr>
          <w:rFonts w:ascii="宋体" w:hAnsi="宋体" w:eastAsia="宋体" w:cs="宋体"/>
          <w:spacing w:val="20"/>
          <w:sz w:val="50"/>
          <w:szCs w:val="50"/>
        </w:rPr>
        <w:t>水板也可用</w:t>
      </w:r>
      <w:r>
        <w:rPr>
          <w:rFonts w:ascii="宋体" w:hAnsi="宋体" w:eastAsia="宋体" w:cs="宋体"/>
          <w:sz w:val="50"/>
          <w:szCs w:val="50"/>
        </w:rPr>
        <w:t xml:space="preserve"> </w:t>
      </w:r>
      <w:r>
        <w:rPr>
          <w:rFonts w:ascii="宋体" w:hAnsi="宋体" w:eastAsia="宋体" w:cs="宋体"/>
          <w:spacing w:val="21"/>
          <w:sz w:val="50"/>
          <w:szCs w:val="50"/>
        </w:rPr>
        <w:t>插板机施工。袋装砂井宜采用圆形套管，套管内径宜略大于砂井直径；塑料排水</w:t>
      </w:r>
    </w:p>
    <w:p w14:paraId="70E906E8">
      <w:pPr>
        <w:spacing w:line="372" w:lineRule="auto"/>
        <w:rPr>
          <w:rFonts w:ascii="宋体" w:hAnsi="宋体" w:eastAsia="宋体" w:cs="宋体"/>
          <w:sz w:val="50"/>
          <w:szCs w:val="50"/>
        </w:rPr>
        <w:sectPr>
          <w:footerReference r:id="rId11" w:type="default"/>
          <w:pgSz w:w="22389" w:h="31681"/>
          <w:pgMar w:top="174" w:right="7" w:bottom="3021" w:left="0" w:header="0" w:footer="232" w:gutter="0"/>
          <w:cols w:space="720" w:num="1"/>
        </w:sectPr>
      </w:pPr>
    </w:p>
    <w:p w14:paraId="286A6F98">
      <w:pPr>
        <w:spacing w:before="2" w:line="215" w:lineRule="auto"/>
        <w:ind w:left="674"/>
        <w:outlineLvl w:val="6"/>
        <w:rPr>
          <w:rFonts w:hint="eastAsia" w:ascii="黑体" w:hAnsi="黑体" w:eastAsia="黑体" w:cs="黑体"/>
          <w:sz w:val="48"/>
          <w:szCs w:val="48"/>
          <w:lang w:eastAsia="zh-CN"/>
        </w:rPr>
      </w:pP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二建、监理、一建、一造、二造、安全、消防、咨询、检测课程押题联系</w:t>
      </w:r>
      <w:r>
        <w:rPr>
          <w:rFonts w:ascii="Times New Roman" w:hAnsi="Times New Roman" w:eastAsia="Times New Roman" w:cs="Times New Roman"/>
          <w:b/>
          <w:bCs/>
          <w:spacing w:val="-20"/>
          <w:sz w:val="48"/>
          <w:szCs w:val="48"/>
        </w:rPr>
        <w:t>QQ/</w:t>
      </w:r>
      <w:r>
        <w:rPr>
          <w:rFonts w:ascii="黑体" w:hAnsi="黑体" w:eastAsia="黑体" w:cs="黑体"/>
          <w:b/>
          <w:bCs/>
          <w:spacing w:val="-20"/>
          <w:sz w:val="48"/>
          <w:szCs w:val="48"/>
        </w:rPr>
        <w:t>微信：</w:t>
      </w:r>
    </w:p>
    <w:p w14:paraId="4A972EDB">
      <w:pPr>
        <w:spacing w:before="298" w:line="181" w:lineRule="auto"/>
        <w:ind w:left="38"/>
        <w:rPr>
          <w:rFonts w:ascii="Times New Roman" w:hAnsi="Times New Roman" w:eastAsia="Times New Roman" w:cs="Times New Roman"/>
          <w:sz w:val="34"/>
          <w:szCs w:val="34"/>
        </w:rPr>
      </w:pPr>
      <w:r>
        <w:rPr>
          <w:rFonts w:ascii="宋体" w:hAnsi="宋体" w:eastAsia="宋体" w:cs="宋体"/>
          <w:color w:val="603030"/>
          <w:spacing w:val="-12"/>
          <w:w w:val="66"/>
          <w:sz w:val="34"/>
          <w:szCs w:val="34"/>
        </w:rPr>
        <w:t>—</w:t>
      </w:r>
      <w:r>
        <w:rPr>
          <w:rFonts w:ascii="Times New Roman" w:hAnsi="Times New Roman" w:eastAsia="Times New Roman" w:cs="Times New Roman"/>
          <w:color w:val="A04040"/>
          <w:spacing w:val="13"/>
          <w:sz w:val="34"/>
          <w:szCs w:val="34"/>
        </w:rPr>
        <w:t>9—</w:t>
      </w:r>
    </w:p>
    <w:p w14:paraId="5DECBCA0">
      <w:pPr>
        <w:spacing w:before="84"/>
        <w:ind w:left="1584"/>
        <w:rPr>
          <w:rFonts w:ascii="黑体" w:hAnsi="黑体" w:eastAsia="黑体" w:cs="黑体"/>
          <w:sz w:val="59"/>
          <w:szCs w:val="59"/>
        </w:rPr>
      </w:pPr>
      <w:r>
        <w:rPr>
          <w:rFonts w:ascii="黑体" w:hAnsi="黑体" w:eastAsia="黑体" w:cs="黑体"/>
          <w:color w:val="D02030"/>
          <w:position w:val="-16"/>
          <w:sz w:val="59"/>
          <w:szCs w:val="59"/>
        </w:rPr>
        <w:drawing>
          <wp:inline distT="0" distB="0" distL="0" distR="0">
            <wp:extent cx="478155" cy="483235"/>
            <wp:effectExtent l="0" t="0" r="0" b="0"/>
            <wp:docPr id="88" name="IM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 88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8399" cy="48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hAnsi="黑体" w:eastAsia="黑体" w:cs="黑体"/>
          <w:b/>
          <w:bCs/>
          <w:color w:val="D02030"/>
          <w:spacing w:val="26"/>
          <w:sz w:val="59"/>
          <w:szCs w:val="59"/>
        </w:rPr>
        <w:t>优路教</w:t>
      </w:r>
      <w:r>
        <w:rPr>
          <w:rFonts w:ascii="黑体" w:hAnsi="黑体" w:eastAsia="黑体" w:cs="黑体"/>
          <w:b/>
          <w:bCs/>
          <w:color w:val="C03030"/>
          <w:spacing w:val="26"/>
          <w:sz w:val="59"/>
          <w:szCs w:val="59"/>
        </w:rPr>
        <w:t>育</w:t>
      </w:r>
    </w:p>
    <w:p w14:paraId="529D06C1">
      <w:pPr>
        <w:pStyle w:val="2"/>
        <w:spacing w:line="243" w:lineRule="auto"/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85725</wp:posOffset>
            </wp:positionV>
            <wp:extent cx="11701145" cy="10160"/>
            <wp:effectExtent l="0" t="0" r="0" b="0"/>
            <wp:wrapNone/>
            <wp:docPr id="90" name="IM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 9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701097" cy="9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973CA8">
      <w:pPr>
        <w:pStyle w:val="2"/>
        <w:spacing w:line="243" w:lineRule="auto"/>
      </w:pPr>
    </w:p>
    <w:p w14:paraId="7D7E3328">
      <w:pPr>
        <w:pStyle w:val="2"/>
        <w:spacing w:line="243" w:lineRule="auto"/>
      </w:pPr>
    </w:p>
    <w:p w14:paraId="5997F025">
      <w:pPr>
        <w:spacing w:before="166" w:line="220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spacing w:val="3"/>
          <w:sz w:val="51"/>
          <w:szCs w:val="51"/>
        </w:rPr>
        <w:t>板宜采用矩形套管，也可采用圆形套管。宜配置能够检测排水体施工深度的设备。</w:t>
      </w:r>
    </w:p>
    <w:p w14:paraId="22EF8FFB">
      <w:pPr>
        <w:spacing w:before="385" w:line="362" w:lineRule="auto"/>
        <w:ind w:left="1584" w:right="1919" w:firstLine="1064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spacing w:val="12"/>
          <w:sz w:val="51"/>
          <w:szCs w:val="51"/>
        </w:rPr>
        <w:t>袋装砂井施工工艺程序为：整平原地面→摊铺下层砂垫层→机具定位→打入</w:t>
      </w:r>
      <w:r>
        <w:rPr>
          <w:rFonts w:ascii="宋体" w:hAnsi="宋体" w:eastAsia="宋体" w:cs="宋体"/>
          <w:spacing w:val="2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6"/>
          <w:sz w:val="51"/>
          <w:szCs w:val="51"/>
        </w:rPr>
        <w:t>套管→沉入砂袋→拔出套管→机具移位→埋砂袋头→摊铺上层砂垫层。</w:t>
      </w:r>
    </w:p>
    <w:p w14:paraId="5DBBE1CF">
      <w:pPr>
        <w:spacing w:before="56" w:line="385" w:lineRule="auto"/>
        <w:ind w:left="1584" w:right="1917" w:firstLine="1064"/>
        <w:jc w:val="both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spacing w:val="12"/>
          <w:sz w:val="51"/>
          <w:szCs w:val="51"/>
        </w:rPr>
        <w:t>塑料排水板施工工艺程序为：整平原地面→摊铺下层砂垫层→机具就位→塑</w:t>
      </w:r>
      <w:r>
        <w:rPr>
          <w:rFonts w:ascii="宋体" w:hAnsi="宋体" w:eastAsia="宋体" w:cs="宋体"/>
          <w:spacing w:val="4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12"/>
          <w:sz w:val="51"/>
          <w:szCs w:val="51"/>
        </w:rPr>
        <w:t>料排水板穿靴一插入套管→拔出套管→割断塑料排水板→机具移位→摊铺上层砂</w:t>
      </w:r>
      <w:r>
        <w:rPr>
          <w:rFonts w:ascii="宋体" w:hAnsi="宋体" w:eastAsia="宋体" w:cs="宋体"/>
          <w:spacing w:val="10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-6"/>
          <w:sz w:val="38"/>
          <w:szCs w:val="38"/>
        </w:rPr>
        <w:t>垫</w:t>
      </w:r>
      <w:r>
        <w:rPr>
          <w:rFonts w:ascii="宋体" w:hAnsi="宋体" w:eastAsia="宋体" w:cs="宋体"/>
          <w:spacing w:val="-25"/>
          <w:sz w:val="38"/>
          <w:szCs w:val="38"/>
        </w:rPr>
        <w:t xml:space="preserve"> </w:t>
      </w:r>
      <w:r>
        <w:rPr>
          <w:rFonts w:ascii="宋体" w:hAnsi="宋体" w:eastAsia="宋体" w:cs="宋体"/>
          <w:spacing w:val="-6"/>
          <w:sz w:val="38"/>
          <w:szCs w:val="38"/>
        </w:rPr>
        <w:t>层</w:t>
      </w:r>
      <w:r>
        <w:rPr>
          <w:rFonts w:ascii="宋体" w:hAnsi="宋体" w:eastAsia="宋体" w:cs="宋体"/>
          <w:spacing w:val="-39"/>
          <w:sz w:val="38"/>
          <w:szCs w:val="38"/>
        </w:rPr>
        <w:t xml:space="preserve"> </w:t>
      </w:r>
      <w:r>
        <w:rPr>
          <w:rFonts w:ascii="宋体" w:hAnsi="宋体" w:eastAsia="宋体" w:cs="宋体"/>
          <w:spacing w:val="-6"/>
          <w:sz w:val="38"/>
          <w:szCs w:val="38"/>
        </w:rPr>
        <w:t>。</w:t>
      </w:r>
    </w:p>
    <w:p w14:paraId="509312D2">
      <w:pPr>
        <w:spacing w:before="87" w:line="218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spacing w:val="10"/>
          <w:sz w:val="51"/>
          <w:szCs w:val="51"/>
        </w:rPr>
        <w:t>①袋装砂井施工规定</w:t>
      </w:r>
    </w:p>
    <w:p w14:paraId="68B29D00">
      <w:pPr>
        <w:spacing w:before="396" w:line="305" w:lineRule="auto"/>
        <w:ind w:left="1584" w:right="2109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24"/>
          <w:sz w:val="51"/>
          <w:szCs w:val="51"/>
        </w:rPr>
        <w:t>A.</w:t>
      </w:r>
      <w:r>
        <w:rPr>
          <w:rFonts w:ascii="宋体" w:hAnsi="宋体" w:eastAsia="宋体" w:cs="宋体"/>
          <w:spacing w:val="24"/>
          <w:sz w:val="51"/>
          <w:szCs w:val="51"/>
        </w:rPr>
        <w:t>宜采用中、粗砂，粒径大于0.5</w:t>
      </w:r>
      <w:r>
        <w:rPr>
          <w:rFonts w:ascii="Times New Roman" w:hAnsi="Times New Roman" w:eastAsia="Times New Roman" w:cs="Times New Roman"/>
          <w:sz w:val="51"/>
          <w:szCs w:val="51"/>
        </w:rPr>
        <w:t>mm</w:t>
      </w:r>
      <w:r>
        <w:rPr>
          <w:rFonts w:ascii="Times New Roman" w:hAnsi="Times New Roman" w:eastAsia="Times New Roman" w:cs="Times New Roman"/>
          <w:spacing w:val="-37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24"/>
          <w:sz w:val="51"/>
          <w:szCs w:val="51"/>
        </w:rPr>
        <w:t>颗粒的含量宜大于50%,含泥量应小于3%,</w:t>
      </w:r>
      <w:r>
        <w:rPr>
          <w:rFonts w:ascii="宋体" w:hAnsi="宋体" w:eastAsia="宋体" w:cs="宋体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2"/>
          <w:sz w:val="51"/>
          <w:szCs w:val="51"/>
        </w:rPr>
        <w:t>渗透系数应大于5×10</w:t>
      </w:r>
      <w:r>
        <w:rPr>
          <w:rFonts w:ascii="Calibri" w:hAnsi="Calibri" w:eastAsia="Calibri" w:cs="Calibri"/>
          <w:spacing w:val="2"/>
          <w:sz w:val="51"/>
          <w:szCs w:val="51"/>
        </w:rPr>
        <w:t>⁻</w:t>
      </w:r>
      <w:r>
        <w:rPr>
          <w:rFonts w:ascii="宋体" w:hAnsi="宋体" w:eastAsia="宋体" w:cs="宋体"/>
          <w:spacing w:val="2"/>
          <w:sz w:val="51"/>
          <w:szCs w:val="51"/>
        </w:rPr>
        <w:t>²</w:t>
      </w:r>
      <w:r>
        <w:rPr>
          <w:rFonts w:ascii="Times New Roman" w:hAnsi="Times New Roman" w:eastAsia="Times New Roman" w:cs="Times New Roman"/>
          <w:sz w:val="51"/>
          <w:szCs w:val="51"/>
        </w:rPr>
        <w:t>mm</w:t>
      </w:r>
      <w:r>
        <w:rPr>
          <w:rFonts w:ascii="Times New Roman" w:hAnsi="Times New Roman" w:eastAsia="Times New Roman" w:cs="Times New Roman"/>
          <w:spacing w:val="2"/>
          <w:sz w:val="51"/>
          <w:szCs w:val="51"/>
        </w:rPr>
        <w:t>/s</w:t>
      </w:r>
      <w:r>
        <w:rPr>
          <w:rFonts w:ascii="宋体" w:hAnsi="宋体" w:eastAsia="宋体" w:cs="宋体"/>
          <w:spacing w:val="2"/>
          <w:sz w:val="51"/>
          <w:szCs w:val="51"/>
        </w:rPr>
        <w:t>。砂袋的渗透系数应不小于砂的渗透系数。</w:t>
      </w:r>
    </w:p>
    <w:p w14:paraId="5561CC5D">
      <w:pPr>
        <w:spacing w:before="355" w:line="289" w:lineRule="auto"/>
        <w:ind w:left="1584" w:right="1937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11"/>
          <w:sz w:val="51"/>
          <w:szCs w:val="51"/>
        </w:rPr>
        <w:t>B.</w:t>
      </w:r>
      <w:r>
        <w:rPr>
          <w:rFonts w:ascii="Times New Roman" w:hAnsi="Times New Roman" w:eastAsia="Times New Roman" w:cs="Times New Roman"/>
          <w:spacing w:val="-56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11"/>
          <w:sz w:val="51"/>
          <w:szCs w:val="51"/>
        </w:rPr>
        <w:t>套管起拔时应垂直起吊，防止带出或损坏砂袋。发生砂袋带出或损坏时，应在</w:t>
      </w:r>
      <w:r>
        <w:rPr>
          <w:rFonts w:ascii="宋体" w:hAnsi="宋体" w:eastAsia="宋体" w:cs="宋体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2"/>
          <w:sz w:val="51"/>
          <w:szCs w:val="51"/>
        </w:rPr>
        <w:t>原孔位边缘重打。</w:t>
      </w:r>
    </w:p>
    <w:p w14:paraId="217C4FF5">
      <w:pPr>
        <w:spacing w:before="364" w:line="213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5"/>
          <w:sz w:val="51"/>
          <w:szCs w:val="51"/>
        </w:rPr>
        <w:t>C.</w:t>
      </w:r>
      <w:r>
        <w:rPr>
          <w:rFonts w:ascii="Times New Roman" w:hAnsi="Times New Roman" w:eastAsia="Times New Roman" w:cs="Times New Roman"/>
          <w:spacing w:val="-35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5"/>
          <w:sz w:val="51"/>
          <w:szCs w:val="51"/>
        </w:rPr>
        <w:t>砂袋在孔口外的长度应不小于300</w:t>
      </w:r>
      <w:r>
        <w:rPr>
          <w:rFonts w:ascii="Times New Roman" w:hAnsi="Times New Roman" w:eastAsia="Times New Roman" w:cs="Times New Roman"/>
          <w:sz w:val="51"/>
          <w:szCs w:val="51"/>
        </w:rPr>
        <w:t>mm</w:t>
      </w:r>
      <w:r>
        <w:rPr>
          <w:rFonts w:ascii="Times New Roman" w:hAnsi="Times New Roman" w:eastAsia="Times New Roman" w:cs="Times New Roman"/>
          <w:spacing w:val="5"/>
          <w:sz w:val="51"/>
          <w:szCs w:val="51"/>
        </w:rPr>
        <w:t>,</w:t>
      </w:r>
      <w:r>
        <w:rPr>
          <w:rFonts w:ascii="Times New Roman" w:hAnsi="Times New Roman" w:eastAsia="Times New Roman" w:cs="Times New Roman"/>
          <w:spacing w:val="115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5"/>
          <w:sz w:val="51"/>
          <w:szCs w:val="51"/>
        </w:rPr>
        <w:t>并顺直伸入砂砾垫</w:t>
      </w:r>
      <w:r>
        <w:rPr>
          <w:rFonts w:ascii="宋体" w:hAnsi="宋体" w:eastAsia="宋体" w:cs="宋体"/>
          <w:spacing w:val="4"/>
          <w:sz w:val="51"/>
          <w:szCs w:val="51"/>
        </w:rPr>
        <w:t>层。</w:t>
      </w:r>
    </w:p>
    <w:p w14:paraId="74D6FB98">
      <w:pPr>
        <w:pStyle w:val="2"/>
        <w:spacing w:line="287" w:lineRule="auto"/>
      </w:pPr>
    </w:p>
    <w:p w14:paraId="7C90CFC7">
      <w:pPr>
        <w:spacing w:before="167" w:line="220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16"/>
          <w:sz w:val="51"/>
          <w:szCs w:val="51"/>
        </w:rPr>
        <w:t>D.</w:t>
      </w:r>
      <w:r>
        <w:rPr>
          <w:rFonts w:ascii="Times New Roman" w:hAnsi="Times New Roman" w:eastAsia="Times New Roman" w:cs="Times New Roman"/>
          <w:spacing w:val="-70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16"/>
          <w:sz w:val="51"/>
          <w:szCs w:val="51"/>
        </w:rPr>
        <w:t>袋装砂井施工质量应符合表1.1-8</w:t>
      </w:r>
      <w:r>
        <w:rPr>
          <w:rFonts w:ascii="宋体" w:hAnsi="宋体" w:eastAsia="宋体" w:cs="宋体"/>
          <w:spacing w:val="15"/>
          <w:sz w:val="51"/>
          <w:szCs w:val="51"/>
        </w:rPr>
        <w:t>的规定。</w:t>
      </w:r>
    </w:p>
    <w:p w14:paraId="065961ED">
      <w:pPr>
        <w:pStyle w:val="2"/>
        <w:spacing w:line="251" w:lineRule="auto"/>
      </w:pPr>
    </w:p>
    <w:p w14:paraId="6EEA0354">
      <w:pPr>
        <w:spacing w:before="166" w:line="221" w:lineRule="auto"/>
        <w:ind w:left="7123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spacing w:val="21"/>
          <w:sz w:val="51"/>
          <w:szCs w:val="51"/>
        </w:rPr>
        <w:t>表1.1-8袋装砂井施工质量标准</w:t>
      </w:r>
    </w:p>
    <w:p w14:paraId="536B3491">
      <w:pPr>
        <w:spacing w:line="132" w:lineRule="exact"/>
      </w:pPr>
    </w:p>
    <w:tbl>
      <w:tblPr>
        <w:tblStyle w:val="6"/>
        <w:tblW w:w="18756" w:type="dxa"/>
        <w:tblInd w:w="177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3"/>
        <w:gridCol w:w="4753"/>
        <w:gridCol w:w="4784"/>
        <w:gridCol w:w="7196"/>
      </w:tblGrid>
      <w:tr w14:paraId="6722CE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</w:trPr>
        <w:tc>
          <w:tcPr>
            <w:tcW w:w="2023" w:type="dxa"/>
            <w:shd w:val="clear" w:color="auto" w:fill="D8F1DC"/>
            <w:vAlign w:val="top"/>
          </w:tcPr>
          <w:p w14:paraId="6A4A9C4B">
            <w:pPr>
              <w:pStyle w:val="7"/>
              <w:spacing w:before="268" w:line="221" w:lineRule="auto"/>
              <w:ind w:left="503"/>
            </w:pPr>
            <w:r>
              <w:rPr>
                <w:spacing w:val="14"/>
              </w:rPr>
              <w:t>项次</w:t>
            </w:r>
          </w:p>
        </w:tc>
        <w:tc>
          <w:tcPr>
            <w:tcW w:w="4753" w:type="dxa"/>
            <w:shd w:val="clear" w:color="auto" w:fill="D8F1DC"/>
            <w:vAlign w:val="top"/>
          </w:tcPr>
          <w:p w14:paraId="3599E4F5">
            <w:pPr>
              <w:pStyle w:val="7"/>
              <w:spacing w:before="268" w:line="221" w:lineRule="auto"/>
              <w:ind w:left="1363"/>
            </w:pPr>
            <w:r>
              <w:rPr>
                <w:spacing w:val="29"/>
              </w:rPr>
              <w:t>检查项目</w:t>
            </w:r>
          </w:p>
        </w:tc>
        <w:tc>
          <w:tcPr>
            <w:tcW w:w="4784" w:type="dxa"/>
            <w:shd w:val="clear" w:color="auto" w:fill="D8F1DC"/>
            <w:vAlign w:val="top"/>
          </w:tcPr>
          <w:p w14:paraId="0D6A042A">
            <w:pPr>
              <w:pStyle w:val="7"/>
              <w:spacing w:before="268" w:line="221" w:lineRule="auto"/>
              <w:ind w:left="370"/>
            </w:pPr>
            <w:r>
              <w:rPr>
                <w:spacing w:val="8"/>
              </w:rPr>
              <w:t>规定值或允许偏差</w:t>
            </w:r>
          </w:p>
        </w:tc>
        <w:tc>
          <w:tcPr>
            <w:tcW w:w="7196" w:type="dxa"/>
            <w:shd w:val="clear" w:color="auto" w:fill="D8F1DC"/>
            <w:vAlign w:val="top"/>
          </w:tcPr>
          <w:p w14:paraId="472AAA44">
            <w:pPr>
              <w:pStyle w:val="7"/>
              <w:spacing w:before="268" w:line="221" w:lineRule="auto"/>
              <w:ind w:left="1824"/>
            </w:pPr>
            <w:r>
              <w:rPr>
                <w:spacing w:val="8"/>
              </w:rPr>
              <w:t>检查方法和频率</w:t>
            </w:r>
          </w:p>
        </w:tc>
      </w:tr>
      <w:tr w14:paraId="416FBB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023" w:type="dxa"/>
            <w:vAlign w:val="top"/>
          </w:tcPr>
          <w:p w14:paraId="1FDF6D0E">
            <w:pPr>
              <w:pStyle w:val="7"/>
              <w:spacing w:before="323" w:line="657" w:lineRule="exact"/>
              <w:ind w:left="876"/>
            </w:pPr>
            <w:r>
              <w:rPr>
                <w:position w:val="2"/>
              </w:rPr>
              <w:t>1</w:t>
            </w:r>
          </w:p>
        </w:tc>
        <w:tc>
          <w:tcPr>
            <w:tcW w:w="4753" w:type="dxa"/>
            <w:vAlign w:val="top"/>
          </w:tcPr>
          <w:p w14:paraId="2433B8DF">
            <w:pPr>
              <w:pStyle w:val="7"/>
              <w:spacing w:before="274" w:line="222" w:lineRule="auto"/>
              <w:ind w:left="1363"/>
            </w:pPr>
            <w:r>
              <w:rPr>
                <w:spacing w:val="32"/>
              </w:rPr>
              <w:t>井距(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784" w:type="dxa"/>
            <w:vAlign w:val="top"/>
          </w:tcPr>
          <w:p w14:paraId="46B206C2">
            <w:pPr>
              <w:pStyle w:val="7"/>
              <w:spacing w:before="315" w:line="237" w:lineRule="auto"/>
              <w:ind w:left="1752"/>
            </w:pPr>
            <w:r>
              <w:rPr>
                <w:spacing w:val="-14"/>
              </w:rPr>
              <w:t>±150</w:t>
            </w:r>
          </w:p>
        </w:tc>
        <w:tc>
          <w:tcPr>
            <w:tcW w:w="7196" w:type="dxa"/>
            <w:vAlign w:val="top"/>
          </w:tcPr>
          <w:p w14:paraId="73A2ADCE">
            <w:pPr>
              <w:pStyle w:val="7"/>
              <w:spacing w:before="275" w:line="223" w:lineRule="auto"/>
              <w:ind w:left="1443"/>
            </w:pPr>
            <w:r>
              <w:rPr>
                <w:spacing w:val="9"/>
              </w:rPr>
              <w:t>抽查2%且不少于5点</w:t>
            </w:r>
          </w:p>
        </w:tc>
      </w:tr>
      <w:tr w14:paraId="4F2B36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2023" w:type="dxa"/>
            <w:vAlign w:val="top"/>
          </w:tcPr>
          <w:p w14:paraId="0800E009">
            <w:pPr>
              <w:pStyle w:val="7"/>
              <w:spacing w:before="340" w:line="657" w:lineRule="exact"/>
              <w:ind w:left="876"/>
            </w:pPr>
            <w:r>
              <w:rPr>
                <w:position w:val="2"/>
              </w:rPr>
              <w:t>2</w:t>
            </w:r>
          </w:p>
        </w:tc>
        <w:tc>
          <w:tcPr>
            <w:tcW w:w="4753" w:type="dxa"/>
            <w:vAlign w:val="top"/>
          </w:tcPr>
          <w:p w14:paraId="3D0910CD">
            <w:pPr>
              <w:pStyle w:val="7"/>
              <w:spacing w:before="291" w:line="222" w:lineRule="auto"/>
              <w:ind w:left="1363"/>
            </w:pPr>
            <w:r>
              <w:rPr>
                <w:spacing w:val="32"/>
              </w:rPr>
              <w:t>井长(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784" w:type="dxa"/>
            <w:vAlign w:val="top"/>
          </w:tcPr>
          <w:p w14:paraId="7C193B7F">
            <w:pPr>
              <w:pStyle w:val="7"/>
              <w:spacing w:before="289" w:line="221" w:lineRule="auto"/>
              <w:ind w:left="1379"/>
            </w:pPr>
            <w:r>
              <w:rPr>
                <w:spacing w:val="9"/>
              </w:rPr>
              <w:t>≥设计值</w:t>
            </w:r>
          </w:p>
        </w:tc>
        <w:tc>
          <w:tcPr>
            <w:tcW w:w="7196" w:type="dxa"/>
            <w:vAlign w:val="top"/>
          </w:tcPr>
          <w:p w14:paraId="479AE192">
            <w:pPr>
              <w:pStyle w:val="7"/>
              <w:spacing w:before="296" w:line="223" w:lineRule="auto"/>
              <w:ind w:left="2328"/>
            </w:pPr>
            <w:r>
              <w:rPr>
                <w:spacing w:val="9"/>
              </w:rPr>
              <w:t>查施工记录</w:t>
            </w:r>
          </w:p>
        </w:tc>
      </w:tr>
      <w:tr w14:paraId="6EA637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2023" w:type="dxa"/>
            <w:vAlign w:val="top"/>
          </w:tcPr>
          <w:p w14:paraId="43294BAD">
            <w:pPr>
              <w:pStyle w:val="7"/>
              <w:spacing w:before="327" w:line="241" w:lineRule="auto"/>
              <w:ind w:left="876"/>
            </w:pPr>
            <w:r>
              <w:t>3</w:t>
            </w:r>
          </w:p>
        </w:tc>
        <w:tc>
          <w:tcPr>
            <w:tcW w:w="4753" w:type="dxa"/>
            <w:vAlign w:val="top"/>
          </w:tcPr>
          <w:p w14:paraId="350C3198">
            <w:pPr>
              <w:pStyle w:val="7"/>
              <w:spacing w:before="275" w:line="221" w:lineRule="auto"/>
              <w:ind w:left="1363"/>
            </w:pPr>
            <w:r>
              <w:rPr>
                <w:spacing w:val="32"/>
              </w:rPr>
              <w:t>井径(</w:t>
            </w:r>
            <w:r>
              <w:t>mm</w:t>
            </w:r>
            <w:r>
              <w:rPr>
                <w:spacing w:val="32"/>
              </w:rPr>
              <w:t>)</w:t>
            </w:r>
          </w:p>
        </w:tc>
        <w:tc>
          <w:tcPr>
            <w:tcW w:w="4784" w:type="dxa"/>
            <w:vAlign w:val="top"/>
          </w:tcPr>
          <w:p w14:paraId="61FED56F">
            <w:pPr>
              <w:pStyle w:val="7"/>
              <w:spacing w:before="268" w:line="218" w:lineRule="auto"/>
              <w:ind w:left="1752"/>
            </w:pPr>
            <w:r>
              <w:rPr>
                <w:spacing w:val="-2"/>
              </w:rPr>
              <w:t>+10,0</w:t>
            </w:r>
          </w:p>
        </w:tc>
        <w:tc>
          <w:tcPr>
            <w:tcW w:w="7196" w:type="dxa"/>
            <w:vAlign w:val="top"/>
          </w:tcPr>
          <w:p w14:paraId="6CC77B1A">
            <w:pPr>
              <w:pStyle w:val="7"/>
              <w:spacing w:before="282" w:line="223" w:lineRule="auto"/>
              <w:ind w:left="1443"/>
            </w:pPr>
            <w:r>
              <w:rPr>
                <w:spacing w:val="9"/>
              </w:rPr>
              <w:t>挖验2%且不少于5点</w:t>
            </w:r>
          </w:p>
        </w:tc>
      </w:tr>
      <w:tr w14:paraId="2FCF1D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2023" w:type="dxa"/>
            <w:vAlign w:val="top"/>
          </w:tcPr>
          <w:p w14:paraId="747A9B62">
            <w:pPr>
              <w:pStyle w:val="7"/>
              <w:spacing w:before="327" w:line="658" w:lineRule="exact"/>
              <w:ind w:left="876"/>
            </w:pPr>
            <w:r>
              <w:rPr>
                <w:position w:val="2"/>
              </w:rPr>
              <w:t>4</w:t>
            </w:r>
          </w:p>
        </w:tc>
        <w:tc>
          <w:tcPr>
            <w:tcW w:w="4753" w:type="dxa"/>
            <w:vAlign w:val="top"/>
          </w:tcPr>
          <w:p w14:paraId="0CF7F861">
            <w:pPr>
              <w:pStyle w:val="7"/>
              <w:spacing w:before="277" w:line="221" w:lineRule="auto"/>
              <w:ind w:left="1230"/>
            </w:pPr>
            <w:r>
              <w:rPr>
                <w:spacing w:val="22"/>
              </w:rPr>
              <w:t>灌砂率(%)</w:t>
            </w:r>
          </w:p>
        </w:tc>
        <w:tc>
          <w:tcPr>
            <w:tcW w:w="4784" w:type="dxa"/>
            <w:vAlign w:val="top"/>
          </w:tcPr>
          <w:p w14:paraId="1D3D18CF">
            <w:pPr>
              <w:pStyle w:val="7"/>
              <w:spacing w:before="328" w:line="241" w:lineRule="auto"/>
              <w:ind w:left="2133"/>
            </w:pPr>
            <w:r>
              <w:rPr>
                <w:spacing w:val="-3"/>
              </w:rPr>
              <w:t>-5</w:t>
            </w:r>
          </w:p>
        </w:tc>
        <w:tc>
          <w:tcPr>
            <w:tcW w:w="7196" w:type="dxa"/>
            <w:vAlign w:val="top"/>
          </w:tcPr>
          <w:p w14:paraId="76D8ED61">
            <w:pPr>
              <w:pStyle w:val="7"/>
              <w:spacing w:before="219" w:line="223" w:lineRule="auto"/>
              <w:ind w:left="1979"/>
              <w:rPr>
                <w:sz w:val="64"/>
                <w:szCs w:val="64"/>
              </w:rPr>
            </w:pPr>
            <w:r>
              <w:rPr>
                <w:spacing w:val="10"/>
                <w:sz w:val="64"/>
                <w:szCs w:val="64"/>
              </w:rPr>
              <w:t>查施工记录</w:t>
            </w:r>
          </w:p>
        </w:tc>
      </w:tr>
    </w:tbl>
    <w:p w14:paraId="0DA8851B">
      <w:pPr>
        <w:spacing w:before="276" w:line="218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宋体" w:hAnsi="宋体" w:eastAsia="宋体" w:cs="宋体"/>
          <w:spacing w:val="13"/>
          <w:sz w:val="51"/>
          <w:szCs w:val="51"/>
        </w:rPr>
        <w:t>②塑料排水板施工规定</w:t>
      </w:r>
    </w:p>
    <w:p w14:paraId="593C80AA">
      <w:pPr>
        <w:pStyle w:val="2"/>
        <w:spacing w:line="397" w:lineRule="auto"/>
      </w:pPr>
    </w:p>
    <w:p w14:paraId="1BED7DDF">
      <w:pPr>
        <w:spacing w:before="166" w:line="220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5"/>
          <w:sz w:val="51"/>
          <w:szCs w:val="51"/>
        </w:rPr>
        <w:t>A.</w:t>
      </w:r>
      <w:r>
        <w:rPr>
          <w:rFonts w:ascii="Times New Roman" w:hAnsi="Times New Roman" w:eastAsia="Times New Roman" w:cs="Times New Roman"/>
          <w:spacing w:val="-53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5"/>
          <w:sz w:val="51"/>
          <w:szCs w:val="51"/>
        </w:rPr>
        <w:t>塑料排水板技术指标应满足设计要求，露天堆放时应有遮盖。</w:t>
      </w:r>
    </w:p>
    <w:p w14:paraId="1B3AC2D3">
      <w:pPr>
        <w:spacing w:before="264" w:line="223" w:lineRule="auto"/>
        <w:ind w:left="1584"/>
        <w:rPr>
          <w:rFonts w:ascii="宋体" w:hAnsi="宋体" w:eastAsia="宋体" w:cs="宋体"/>
          <w:sz w:val="48"/>
          <w:szCs w:val="48"/>
        </w:rPr>
      </w:pPr>
      <w:r>
        <w:rPr>
          <w:rFonts w:ascii="Times New Roman" w:hAnsi="Times New Roman" w:eastAsia="Times New Roman" w:cs="Times New Roman"/>
          <w:spacing w:val="32"/>
          <w:sz w:val="48"/>
          <w:szCs w:val="48"/>
        </w:rPr>
        <w:t>B.</w:t>
      </w:r>
      <w:r>
        <w:rPr>
          <w:rFonts w:ascii="Times New Roman" w:hAnsi="Times New Roman" w:eastAsia="Times New Roman" w:cs="Times New Roman"/>
          <w:spacing w:val="-55"/>
          <w:sz w:val="48"/>
          <w:szCs w:val="48"/>
        </w:rPr>
        <w:t xml:space="preserve"> </w:t>
      </w:r>
      <w:r>
        <w:rPr>
          <w:rFonts w:ascii="宋体" w:hAnsi="宋体" w:eastAsia="宋体" w:cs="宋体"/>
          <w:spacing w:val="32"/>
          <w:sz w:val="48"/>
          <w:szCs w:val="48"/>
        </w:rPr>
        <w:t>施工中应防止泥土等杂物进入套管内。</w:t>
      </w:r>
    </w:p>
    <w:p w14:paraId="74B552A0">
      <w:pPr>
        <w:spacing w:before="390" w:line="213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7"/>
          <w:sz w:val="51"/>
          <w:szCs w:val="51"/>
        </w:rPr>
        <w:t>C.</w:t>
      </w:r>
      <w:r>
        <w:rPr>
          <w:rFonts w:ascii="Times New Roman" w:hAnsi="Times New Roman" w:eastAsia="Times New Roman" w:cs="Times New Roman"/>
          <w:spacing w:val="-50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7"/>
          <w:sz w:val="51"/>
          <w:szCs w:val="51"/>
        </w:rPr>
        <w:t>塑料排水板不得搭接，预留长度应不小于</w:t>
      </w:r>
      <w:r>
        <w:rPr>
          <w:rFonts w:ascii="宋体" w:hAnsi="宋体" w:eastAsia="宋体" w:cs="宋体"/>
          <w:spacing w:val="6"/>
          <w:sz w:val="51"/>
          <w:szCs w:val="51"/>
        </w:rPr>
        <w:t>500</w:t>
      </w:r>
      <w:r>
        <w:rPr>
          <w:rFonts w:ascii="Times New Roman" w:hAnsi="Times New Roman" w:eastAsia="Times New Roman" w:cs="Times New Roman"/>
          <w:sz w:val="51"/>
          <w:szCs w:val="51"/>
        </w:rPr>
        <w:t>mm</w:t>
      </w:r>
      <w:r>
        <w:rPr>
          <w:rFonts w:ascii="Times New Roman" w:hAnsi="Times New Roman" w:eastAsia="Times New Roman" w:cs="Times New Roman"/>
          <w:spacing w:val="6"/>
          <w:sz w:val="51"/>
          <w:szCs w:val="51"/>
        </w:rPr>
        <w:t>,</w:t>
      </w:r>
      <w:r>
        <w:rPr>
          <w:rFonts w:ascii="Times New Roman" w:hAnsi="Times New Roman" w:eastAsia="Times New Roman" w:cs="Times New Roman"/>
          <w:spacing w:val="91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6"/>
          <w:sz w:val="51"/>
          <w:szCs w:val="51"/>
        </w:rPr>
        <w:t>并及时弯折埋设于砂垫层中。</w:t>
      </w:r>
    </w:p>
    <w:p w14:paraId="18F3816B">
      <w:pPr>
        <w:pStyle w:val="2"/>
        <w:spacing w:line="284" w:lineRule="auto"/>
      </w:pPr>
    </w:p>
    <w:p w14:paraId="2C945753">
      <w:pPr>
        <w:spacing w:before="166" w:line="220" w:lineRule="auto"/>
        <w:ind w:left="1584"/>
        <w:rPr>
          <w:rFonts w:ascii="宋体" w:hAnsi="宋体" w:eastAsia="宋体" w:cs="宋体"/>
          <w:sz w:val="51"/>
          <w:szCs w:val="51"/>
        </w:rPr>
      </w:pPr>
      <w:r>
        <w:rPr>
          <w:rFonts w:ascii="Times New Roman" w:hAnsi="Times New Roman" w:eastAsia="Times New Roman" w:cs="Times New Roman"/>
          <w:spacing w:val="15"/>
          <w:sz w:val="51"/>
          <w:szCs w:val="51"/>
        </w:rPr>
        <w:t>D.</w:t>
      </w:r>
      <w:r>
        <w:rPr>
          <w:rFonts w:ascii="Times New Roman" w:hAnsi="Times New Roman" w:eastAsia="Times New Roman" w:cs="Times New Roman"/>
          <w:spacing w:val="-61"/>
          <w:sz w:val="51"/>
          <w:szCs w:val="51"/>
        </w:rPr>
        <w:t xml:space="preserve"> </w:t>
      </w:r>
      <w:r>
        <w:rPr>
          <w:rFonts w:ascii="宋体" w:hAnsi="宋体" w:eastAsia="宋体" w:cs="宋体"/>
          <w:spacing w:val="15"/>
          <w:sz w:val="51"/>
          <w:szCs w:val="51"/>
        </w:rPr>
        <w:t>塑料排水板施工质量应符合表1.1-9的规</w:t>
      </w:r>
      <w:r>
        <w:rPr>
          <w:rFonts w:ascii="宋体" w:hAnsi="宋体" w:eastAsia="宋体" w:cs="宋体"/>
          <w:spacing w:val="14"/>
          <w:sz w:val="51"/>
          <w:szCs w:val="51"/>
        </w:rPr>
        <w:t>定。</w:t>
      </w:r>
    </w:p>
    <w:p w14:paraId="2105336B">
      <w:pPr>
        <w:pStyle w:val="2"/>
        <w:spacing w:line="268" w:lineRule="auto"/>
      </w:pPr>
    </w:p>
    <w:p w14:paraId="75E2A214">
      <w:pPr>
        <w:spacing w:before="157" w:line="222" w:lineRule="auto"/>
        <w:ind w:left="6828"/>
        <w:rPr>
          <w:rFonts w:ascii="宋体" w:hAnsi="宋体" w:eastAsia="宋体" w:cs="宋体"/>
          <w:sz w:val="48"/>
          <w:szCs w:val="48"/>
        </w:rPr>
      </w:pPr>
      <w:r>
        <w:rPr>
          <w:rFonts w:ascii="宋体" w:hAnsi="宋体" w:eastAsia="宋体" w:cs="宋体"/>
          <w:spacing w:val="30"/>
          <w:sz w:val="48"/>
          <w:szCs w:val="48"/>
        </w:rPr>
        <w:t>表1.</w:t>
      </w:r>
      <w:r>
        <w:rPr>
          <w:rFonts w:ascii="宋体" w:hAnsi="宋体" w:eastAsia="宋体" w:cs="宋体"/>
          <w:spacing w:val="-128"/>
          <w:sz w:val="48"/>
          <w:szCs w:val="48"/>
        </w:rPr>
        <w:t xml:space="preserve"> </w:t>
      </w:r>
      <w:r>
        <w:rPr>
          <w:rFonts w:ascii="宋体" w:hAnsi="宋体" w:eastAsia="宋体" w:cs="宋体"/>
          <w:spacing w:val="30"/>
          <w:sz w:val="48"/>
          <w:szCs w:val="48"/>
        </w:rPr>
        <w:t>1-9 塑料排水板施工质量标准</w:t>
      </w:r>
    </w:p>
    <w:p w14:paraId="4DF57ACF">
      <w:pPr>
        <w:spacing w:line="222" w:lineRule="auto"/>
        <w:rPr>
          <w:rFonts w:ascii="宋体" w:hAnsi="宋体" w:eastAsia="宋体" w:cs="宋体"/>
          <w:sz w:val="48"/>
          <w:szCs w:val="48"/>
        </w:rPr>
        <w:sectPr>
          <w:footerReference r:id="rId12" w:type="default"/>
          <w:pgSz w:w="22389" w:h="31681"/>
          <w:pgMar w:top="237" w:right="7" w:bottom="3006" w:left="582" w:header="0" w:footer="211" w:gutter="0"/>
          <w:cols w:space="720" w:num="1"/>
        </w:sectPr>
      </w:pPr>
    </w:p>
    <w:p w14:paraId="4DE70857">
      <w:pPr>
        <w:pStyle w:val="2"/>
        <w:spacing w:before="92" w:line="648" w:lineRule="exact"/>
        <w:ind w:left="1939"/>
        <w:rPr>
          <w:rFonts w:hint="eastAsia" w:eastAsia="宋体"/>
          <w:sz w:val="47"/>
          <w:szCs w:val="47"/>
          <w:lang w:eastAsia="zh-CN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273050</wp:posOffset>
            </wp:positionV>
            <wp:extent cx="1858645" cy="1557020"/>
            <wp:effectExtent l="0" t="0" r="0" b="0"/>
            <wp:wrapNone/>
            <wp:docPr id="92" name="IM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 92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58802" cy="155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-21"/>
          <w:position w:val="5"/>
          <w:sz w:val="47"/>
          <w:szCs w:val="47"/>
        </w:rPr>
        <w:t>二建、监理、一建、一造、二造、安全、消防、咨询、</w:t>
      </w:r>
      <w:r>
        <w:rPr>
          <w:rFonts w:ascii="黑体" w:hAnsi="黑体" w:eastAsia="黑体" w:cs="黑体"/>
          <w:color w:val="303040"/>
          <w:spacing w:val="-22"/>
          <w:position w:val="5"/>
          <w:sz w:val="47"/>
          <w:szCs w:val="47"/>
        </w:rPr>
        <w:t>检测课程押题联系</w:t>
      </w:r>
      <w:r>
        <w:rPr>
          <w:rFonts w:ascii="Times New Roman" w:hAnsi="Times New Roman" w:eastAsia="Times New Roman" w:cs="Times New Roman"/>
          <w:color w:val="303040"/>
          <w:spacing w:val="-22"/>
          <w:position w:val="5"/>
          <w:sz w:val="47"/>
          <w:szCs w:val="47"/>
        </w:rPr>
        <w:t>QQ/</w:t>
      </w:r>
      <w:r>
        <w:rPr>
          <w:rFonts w:ascii="宋体" w:hAnsi="宋体" w:eastAsia="宋体" w:cs="宋体"/>
          <w:color w:val="303040"/>
          <w:spacing w:val="-22"/>
          <w:position w:val="5"/>
          <w:sz w:val="47"/>
          <w:szCs w:val="47"/>
        </w:rPr>
        <w:t>微信：</w:t>
      </w:r>
    </w:p>
    <w:p w14:paraId="0EA3D796">
      <w:pPr>
        <w:pStyle w:val="2"/>
        <w:spacing w:line="323" w:lineRule="auto"/>
      </w:pPr>
    </w:p>
    <w:p w14:paraId="73C6CEE3">
      <w:pPr>
        <w:pStyle w:val="2"/>
        <w:spacing w:line="324" w:lineRule="auto"/>
      </w:pPr>
    </w:p>
    <w:p w14:paraId="50614346">
      <w:pPr>
        <w:spacing w:before="208" w:line="220" w:lineRule="auto"/>
        <w:ind w:left="2838"/>
        <w:rPr>
          <w:rFonts w:ascii="宋体" w:hAnsi="宋体" w:eastAsia="宋体" w:cs="宋体"/>
          <w:sz w:val="23"/>
          <w:szCs w:val="23"/>
        </w:rPr>
      </w:pPr>
      <w: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1724660</wp:posOffset>
            </wp:positionH>
            <wp:positionV relativeFrom="paragraph">
              <wp:posOffset>469900</wp:posOffset>
            </wp:positionV>
            <wp:extent cx="10577830" cy="7620"/>
            <wp:effectExtent l="0" t="0" r="0" b="0"/>
            <wp:wrapNone/>
            <wp:docPr id="96" name="IM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 9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0577707" cy="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12465685</wp:posOffset>
            </wp:positionH>
            <wp:positionV relativeFrom="paragraph">
              <wp:posOffset>469900</wp:posOffset>
            </wp:positionV>
            <wp:extent cx="656590" cy="7620"/>
            <wp:effectExtent l="0" t="0" r="0" b="0"/>
            <wp:wrapNone/>
            <wp:docPr id="98" name="IM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 9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56349" cy="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bCs/>
          <w:spacing w:val="6"/>
          <w:sz w:val="64"/>
          <w:szCs w:val="64"/>
        </w:rPr>
        <w:t>优路教育</w:t>
      </w:r>
      <w:r>
        <w:rPr>
          <w:rFonts w:ascii="宋体" w:hAnsi="宋体" w:eastAsia="宋体" w:cs="宋体"/>
          <w:spacing w:val="6"/>
          <w:sz w:val="64"/>
          <w:szCs w:val="64"/>
        </w:rPr>
        <w:t xml:space="preserve">                                   </w:t>
      </w:r>
      <w:r>
        <w:rPr>
          <w:rFonts w:ascii="宋体" w:hAnsi="宋体" w:eastAsia="宋体" w:cs="宋体"/>
          <w:spacing w:val="5"/>
          <w:sz w:val="64"/>
          <w:szCs w:val="64"/>
        </w:rPr>
        <w:t xml:space="preserve">       </w:t>
      </w:r>
      <w:r>
        <w:rPr>
          <w:rFonts w:ascii="宋体" w:hAnsi="宋体" w:eastAsia="宋体" w:cs="宋体"/>
          <w:spacing w:val="5"/>
          <w:position w:val="3"/>
          <w:sz w:val="23"/>
          <w:szCs w:val="23"/>
        </w:rPr>
        <w:t>41</w:t>
      </w:r>
    </w:p>
    <w:p w14:paraId="0435096A">
      <w:pPr>
        <w:spacing w:before="50"/>
      </w:pPr>
    </w:p>
    <w:p w14:paraId="22C2EA16">
      <w:pPr>
        <w:spacing w:before="50"/>
      </w:pPr>
    </w:p>
    <w:tbl>
      <w:tblPr>
        <w:tblStyle w:val="6"/>
        <w:tblW w:w="18238" w:type="dxa"/>
        <w:tblInd w:w="288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7"/>
        <w:gridCol w:w="4639"/>
        <w:gridCol w:w="4631"/>
        <w:gridCol w:w="7011"/>
      </w:tblGrid>
      <w:tr w14:paraId="4F7416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5" w:hRule="atLeast"/>
        </w:trPr>
        <w:tc>
          <w:tcPr>
            <w:tcW w:w="1957" w:type="dxa"/>
            <w:shd w:val="clear" w:color="auto" w:fill="D9F1DC"/>
            <w:vAlign w:val="top"/>
          </w:tcPr>
          <w:p w14:paraId="1D8ADE55">
            <w:pPr>
              <w:pStyle w:val="7"/>
              <w:spacing w:before="261" w:line="222" w:lineRule="auto"/>
              <w:ind w:left="474"/>
              <w:rPr>
                <w:sz w:val="49"/>
                <w:szCs w:val="49"/>
              </w:rPr>
            </w:pPr>
            <w:r>
              <w:rPr>
                <w:spacing w:val="17"/>
                <w:sz w:val="49"/>
                <w:szCs w:val="49"/>
              </w:rPr>
              <w:t>项次</w:t>
            </w:r>
          </w:p>
        </w:tc>
        <w:tc>
          <w:tcPr>
            <w:tcW w:w="4639" w:type="dxa"/>
            <w:shd w:val="clear" w:color="auto" w:fill="D9F1DC"/>
            <w:vAlign w:val="top"/>
          </w:tcPr>
          <w:p w14:paraId="368C20FD">
            <w:pPr>
              <w:pStyle w:val="7"/>
              <w:spacing w:before="261" w:line="222" w:lineRule="auto"/>
              <w:ind w:left="1316"/>
              <w:rPr>
                <w:sz w:val="49"/>
                <w:szCs w:val="49"/>
              </w:rPr>
            </w:pPr>
            <w:r>
              <w:rPr>
                <w:spacing w:val="31"/>
                <w:sz w:val="49"/>
                <w:szCs w:val="49"/>
              </w:rPr>
              <w:t>检查项目</w:t>
            </w:r>
          </w:p>
        </w:tc>
        <w:tc>
          <w:tcPr>
            <w:tcW w:w="4631" w:type="dxa"/>
            <w:shd w:val="clear" w:color="auto" w:fill="D7EDDA"/>
            <w:vAlign w:val="top"/>
          </w:tcPr>
          <w:p w14:paraId="00A33CB4">
            <w:pPr>
              <w:pStyle w:val="7"/>
              <w:spacing w:before="261" w:line="222" w:lineRule="auto"/>
              <w:ind w:left="321"/>
              <w:rPr>
                <w:sz w:val="49"/>
                <w:szCs w:val="49"/>
              </w:rPr>
            </w:pPr>
            <w:r>
              <w:rPr>
                <w:spacing w:val="11"/>
                <w:sz w:val="49"/>
                <w:szCs w:val="49"/>
              </w:rPr>
              <w:t>规定值或允许偏差</w:t>
            </w:r>
          </w:p>
        </w:tc>
        <w:tc>
          <w:tcPr>
            <w:tcW w:w="7011" w:type="dxa"/>
            <w:shd w:val="clear" w:color="auto" w:fill="D9F1DC"/>
            <w:vAlign w:val="top"/>
          </w:tcPr>
          <w:p w14:paraId="4A368E20">
            <w:pPr>
              <w:pStyle w:val="7"/>
              <w:spacing w:before="261" w:line="222" w:lineRule="auto"/>
              <w:ind w:left="1756"/>
              <w:rPr>
                <w:sz w:val="49"/>
                <w:szCs w:val="49"/>
              </w:rPr>
            </w:pPr>
            <w:r>
              <w:rPr>
                <w:spacing w:val="11"/>
                <w:sz w:val="49"/>
                <w:szCs w:val="49"/>
              </w:rPr>
              <w:t>检查方法和频率</w:t>
            </w:r>
          </w:p>
        </w:tc>
      </w:tr>
      <w:tr w14:paraId="7E5483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</w:trPr>
        <w:tc>
          <w:tcPr>
            <w:tcW w:w="1957" w:type="dxa"/>
            <w:vAlign w:val="top"/>
          </w:tcPr>
          <w:p w14:paraId="10B87AF0">
            <w:pPr>
              <w:pStyle w:val="7"/>
              <w:spacing w:before="316" w:line="647" w:lineRule="exact"/>
              <w:ind w:left="851"/>
              <w:rPr>
                <w:sz w:val="49"/>
                <w:szCs w:val="49"/>
              </w:rPr>
            </w:pPr>
            <w:r>
              <w:rPr>
                <w:position w:val="2"/>
                <w:sz w:val="49"/>
                <w:szCs w:val="49"/>
              </w:rPr>
              <w:t>1</w:t>
            </w:r>
          </w:p>
        </w:tc>
        <w:tc>
          <w:tcPr>
            <w:tcW w:w="4639" w:type="dxa"/>
            <w:vAlign w:val="top"/>
          </w:tcPr>
          <w:p w14:paraId="752C7F8E">
            <w:pPr>
              <w:pStyle w:val="7"/>
              <w:spacing w:before="263" w:line="222" w:lineRule="auto"/>
              <w:ind w:left="1316"/>
              <w:rPr>
                <w:sz w:val="49"/>
                <w:szCs w:val="49"/>
              </w:rPr>
            </w:pPr>
            <w:r>
              <w:rPr>
                <w:spacing w:val="35"/>
                <w:sz w:val="49"/>
                <w:szCs w:val="49"/>
              </w:rPr>
              <w:t>板距(</w:t>
            </w:r>
            <w:r>
              <w:rPr>
                <w:sz w:val="49"/>
                <w:szCs w:val="49"/>
              </w:rPr>
              <w:t>mm</w:t>
            </w:r>
            <w:r>
              <w:rPr>
                <w:spacing w:val="35"/>
                <w:sz w:val="49"/>
                <w:szCs w:val="49"/>
              </w:rPr>
              <w:t>)</w:t>
            </w:r>
          </w:p>
        </w:tc>
        <w:tc>
          <w:tcPr>
            <w:tcW w:w="4631" w:type="dxa"/>
            <w:vAlign w:val="top"/>
          </w:tcPr>
          <w:p w14:paraId="19E55BD3">
            <w:pPr>
              <w:pStyle w:val="7"/>
              <w:spacing w:before="309" w:line="238" w:lineRule="auto"/>
              <w:ind w:left="1686"/>
              <w:rPr>
                <w:sz w:val="49"/>
                <w:szCs w:val="49"/>
              </w:rPr>
            </w:pPr>
            <w:r>
              <w:rPr>
                <w:spacing w:val="-12"/>
                <w:sz w:val="49"/>
                <w:szCs w:val="49"/>
              </w:rPr>
              <w:t>±150</w:t>
            </w:r>
          </w:p>
        </w:tc>
        <w:tc>
          <w:tcPr>
            <w:tcW w:w="7011" w:type="dxa"/>
            <w:vAlign w:val="top"/>
          </w:tcPr>
          <w:p w14:paraId="20BC6539">
            <w:pPr>
              <w:pStyle w:val="7"/>
              <w:spacing w:before="269" w:line="224" w:lineRule="auto"/>
              <w:ind w:left="1386"/>
              <w:rPr>
                <w:sz w:val="49"/>
                <w:szCs w:val="49"/>
              </w:rPr>
            </w:pPr>
            <w:r>
              <w:rPr>
                <w:spacing w:val="11"/>
                <w:sz w:val="49"/>
                <w:szCs w:val="49"/>
              </w:rPr>
              <w:t>抽查2%且不少于5点</w:t>
            </w:r>
          </w:p>
        </w:tc>
      </w:tr>
      <w:tr w14:paraId="0B913C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1" w:hRule="atLeast"/>
        </w:trPr>
        <w:tc>
          <w:tcPr>
            <w:tcW w:w="1957" w:type="dxa"/>
            <w:vAlign w:val="top"/>
          </w:tcPr>
          <w:p w14:paraId="5216C1F5">
            <w:pPr>
              <w:pStyle w:val="7"/>
              <w:spacing w:before="318" w:line="648" w:lineRule="exact"/>
              <w:ind w:left="851"/>
              <w:rPr>
                <w:sz w:val="49"/>
                <w:szCs w:val="49"/>
              </w:rPr>
            </w:pPr>
            <w:r>
              <w:rPr>
                <w:position w:val="2"/>
                <w:sz w:val="49"/>
                <w:szCs w:val="49"/>
              </w:rPr>
              <w:t>2</w:t>
            </w:r>
          </w:p>
        </w:tc>
        <w:tc>
          <w:tcPr>
            <w:tcW w:w="4639" w:type="dxa"/>
            <w:vAlign w:val="top"/>
          </w:tcPr>
          <w:p w14:paraId="38EFB7E5">
            <w:pPr>
              <w:pStyle w:val="7"/>
              <w:spacing w:before="265" w:line="222" w:lineRule="auto"/>
              <w:ind w:left="1316"/>
              <w:rPr>
                <w:sz w:val="49"/>
                <w:szCs w:val="49"/>
              </w:rPr>
            </w:pPr>
            <w:r>
              <w:rPr>
                <w:spacing w:val="35"/>
                <w:sz w:val="49"/>
                <w:szCs w:val="49"/>
              </w:rPr>
              <w:t>板长(</w:t>
            </w:r>
            <w:r>
              <w:rPr>
                <w:sz w:val="49"/>
                <w:szCs w:val="49"/>
              </w:rPr>
              <w:t>mm</w:t>
            </w:r>
            <w:r>
              <w:rPr>
                <w:spacing w:val="35"/>
                <w:sz w:val="49"/>
                <w:szCs w:val="49"/>
              </w:rPr>
              <w:t>)</w:t>
            </w:r>
          </w:p>
        </w:tc>
        <w:tc>
          <w:tcPr>
            <w:tcW w:w="4631" w:type="dxa"/>
            <w:vAlign w:val="top"/>
          </w:tcPr>
          <w:p w14:paraId="45B9A6AB">
            <w:pPr>
              <w:pStyle w:val="7"/>
              <w:spacing w:before="269" w:line="222" w:lineRule="auto"/>
              <w:ind w:left="1317"/>
              <w:rPr>
                <w:sz w:val="49"/>
                <w:szCs w:val="49"/>
              </w:rPr>
            </w:pPr>
            <w:r>
              <w:rPr>
                <w:spacing w:val="12"/>
                <w:sz w:val="49"/>
                <w:szCs w:val="49"/>
              </w:rPr>
              <w:t>≥设计值</w:t>
            </w:r>
          </w:p>
        </w:tc>
        <w:tc>
          <w:tcPr>
            <w:tcW w:w="7011" w:type="dxa"/>
            <w:vAlign w:val="top"/>
          </w:tcPr>
          <w:p w14:paraId="418BB93F">
            <w:pPr>
              <w:pStyle w:val="7"/>
              <w:spacing w:before="271" w:line="224" w:lineRule="auto"/>
              <w:ind w:left="1386"/>
              <w:rPr>
                <w:sz w:val="49"/>
                <w:szCs w:val="49"/>
              </w:rPr>
            </w:pPr>
            <w:r>
              <w:rPr>
                <w:spacing w:val="11"/>
                <w:sz w:val="49"/>
                <w:szCs w:val="49"/>
              </w:rPr>
              <w:t>抽查2%且不少于5点</w:t>
            </w:r>
          </w:p>
        </w:tc>
      </w:tr>
    </w:tbl>
    <w:p w14:paraId="77F10912">
      <w:pPr>
        <w:pStyle w:val="2"/>
        <w:spacing w:line="252" w:lineRule="auto"/>
      </w:pPr>
    </w:p>
    <w:p w14:paraId="6D8C669B">
      <w:pPr>
        <w:pStyle w:val="2"/>
        <w:spacing w:line="252" w:lineRule="auto"/>
      </w:pPr>
    </w:p>
    <w:p w14:paraId="592DBE09">
      <w:pPr>
        <w:pStyle w:val="2"/>
        <w:spacing w:line="252" w:lineRule="auto"/>
      </w:pPr>
    </w:p>
    <w:p w14:paraId="0B8488F6">
      <w:pPr>
        <w:pStyle w:val="2"/>
        <w:spacing w:line="252" w:lineRule="auto"/>
      </w:pPr>
    </w:p>
    <w:p w14:paraId="4EB3D7D8">
      <w:pPr>
        <w:pStyle w:val="2"/>
        <w:spacing w:line="253" w:lineRule="auto"/>
      </w:pPr>
    </w:p>
    <w:p w14:paraId="7AD1CACF">
      <w:pPr>
        <w:pStyle w:val="2"/>
        <w:spacing w:line="253" w:lineRule="auto"/>
      </w:pPr>
    </w:p>
    <w:p w14:paraId="6E49DCFF">
      <w:pPr>
        <w:spacing w:before="135" w:line="194" w:lineRule="auto"/>
        <w:ind w:left="2950"/>
        <w:rPr>
          <w:rFonts w:hint="eastAsia" w:ascii="Times New Roman" w:hAnsi="Times New Roman" w:eastAsia="宋体" w:cs="Times New Roman"/>
          <w:sz w:val="47"/>
          <w:szCs w:val="47"/>
          <w:lang w:eastAsia="zh-CN"/>
        </w:rPr>
      </w:pPr>
      <w:r>
        <w:rPr>
          <w:rFonts w:ascii="Times New Roman" w:hAnsi="Times New Roman" w:eastAsia="Times New Roman" w:cs="Times New Roman"/>
          <w:i/>
          <w:iCs/>
          <w:color w:val="A08080"/>
          <w:spacing w:val="-2"/>
          <w:sz w:val="47"/>
          <w:szCs w:val="47"/>
        </w:rPr>
        <w:t>VX/QQ</w:t>
      </w:r>
      <w:bookmarkStart w:id="0" w:name="_GoBack"/>
      <w:bookmarkEnd w:id="0"/>
      <w:r>
        <w:rPr>
          <w:rFonts w:ascii="Times New Roman" w:hAnsi="Times New Roman" w:eastAsia="Times New Roman" w:cs="Times New Roman"/>
          <w:i/>
          <w:iCs/>
          <w:color w:val="A08080"/>
          <w:spacing w:val="-2"/>
          <w:sz w:val="47"/>
          <w:szCs w:val="47"/>
        </w:rPr>
        <w:t>:</w:t>
      </w:r>
    </w:p>
    <w:p w14:paraId="7F36421E">
      <w:pPr>
        <w:pStyle w:val="2"/>
        <w:spacing w:line="241" w:lineRule="auto"/>
      </w:pPr>
    </w:p>
    <w:p w14:paraId="4A93D975">
      <w:pPr>
        <w:pStyle w:val="2"/>
        <w:spacing w:line="241" w:lineRule="auto"/>
      </w:pPr>
    </w:p>
    <w:p w14:paraId="25569529">
      <w:pPr>
        <w:pStyle w:val="2"/>
        <w:spacing w:line="241" w:lineRule="auto"/>
      </w:pPr>
    </w:p>
    <w:p w14:paraId="5EBE77F1">
      <w:pPr>
        <w:pStyle w:val="2"/>
        <w:spacing w:line="241" w:lineRule="auto"/>
      </w:pPr>
    </w:p>
    <w:p w14:paraId="55DB4857">
      <w:pPr>
        <w:pStyle w:val="2"/>
        <w:spacing w:line="241" w:lineRule="auto"/>
      </w:pPr>
    </w:p>
    <w:p w14:paraId="4ACAD913">
      <w:pPr>
        <w:pStyle w:val="2"/>
        <w:spacing w:line="241" w:lineRule="auto"/>
      </w:pPr>
    </w:p>
    <w:p w14:paraId="23BE075F">
      <w:pPr>
        <w:pStyle w:val="2"/>
        <w:spacing w:line="241" w:lineRule="auto"/>
      </w:pPr>
    </w:p>
    <w:p w14:paraId="4CCEABE8">
      <w:pPr>
        <w:pStyle w:val="2"/>
        <w:spacing w:line="241" w:lineRule="auto"/>
      </w:pPr>
    </w:p>
    <w:p w14:paraId="6069573A">
      <w:pPr>
        <w:pStyle w:val="2"/>
        <w:spacing w:line="241" w:lineRule="auto"/>
      </w:pPr>
    </w:p>
    <w:p w14:paraId="0E7EF115">
      <w:pPr>
        <w:pStyle w:val="2"/>
        <w:spacing w:line="241" w:lineRule="auto"/>
      </w:pPr>
    </w:p>
    <w:p w14:paraId="4AFC953D">
      <w:pPr>
        <w:pStyle w:val="2"/>
        <w:spacing w:line="241" w:lineRule="auto"/>
      </w:pPr>
    </w:p>
    <w:p w14:paraId="31D89559">
      <w:pPr>
        <w:pStyle w:val="2"/>
        <w:spacing w:line="241" w:lineRule="auto"/>
      </w:pPr>
    </w:p>
    <w:p w14:paraId="6404DEB4">
      <w:pPr>
        <w:pStyle w:val="2"/>
        <w:spacing w:line="242" w:lineRule="auto"/>
      </w:pPr>
    </w:p>
    <w:p w14:paraId="3F752062">
      <w:pPr>
        <w:pStyle w:val="2"/>
        <w:spacing w:line="242" w:lineRule="auto"/>
      </w:pPr>
    </w:p>
    <w:p w14:paraId="509B9E66">
      <w:pPr>
        <w:pStyle w:val="2"/>
        <w:spacing w:line="242" w:lineRule="auto"/>
      </w:pPr>
    </w:p>
    <w:p w14:paraId="59220B06">
      <w:pPr>
        <w:pStyle w:val="2"/>
        <w:spacing w:line="242" w:lineRule="auto"/>
      </w:pPr>
    </w:p>
    <w:p w14:paraId="2E44F242">
      <w:pPr>
        <w:pStyle w:val="2"/>
        <w:spacing w:line="242" w:lineRule="auto"/>
      </w:pPr>
    </w:p>
    <w:p w14:paraId="05FC774C">
      <w:pPr>
        <w:pStyle w:val="2"/>
        <w:spacing w:line="242" w:lineRule="auto"/>
      </w:pPr>
    </w:p>
    <w:p w14:paraId="0446A3F3">
      <w:pPr>
        <w:pStyle w:val="2"/>
        <w:spacing w:line="242" w:lineRule="auto"/>
      </w:pPr>
    </w:p>
    <w:p w14:paraId="3ECA2481">
      <w:pPr>
        <w:pStyle w:val="2"/>
        <w:spacing w:line="242" w:lineRule="auto"/>
      </w:pPr>
    </w:p>
    <w:p w14:paraId="08BFD93D">
      <w:pPr>
        <w:pStyle w:val="2"/>
        <w:spacing w:line="242" w:lineRule="auto"/>
      </w:pPr>
    </w:p>
    <w:p w14:paraId="28789F25">
      <w:pPr>
        <w:spacing w:before="135" w:line="194" w:lineRule="auto"/>
        <w:ind w:left="14093"/>
        <w:rPr>
          <w:rFonts w:hint="eastAsia" w:ascii="Times New Roman" w:hAnsi="Times New Roman" w:eastAsia="宋体" w:cs="Times New Roman"/>
          <w:sz w:val="47"/>
          <w:szCs w:val="47"/>
          <w:lang w:eastAsia="zh-CN"/>
        </w:rPr>
      </w:pPr>
      <w:r>
        <w:rPr>
          <w:rFonts w:ascii="Times New Roman" w:hAnsi="Times New Roman" w:eastAsia="Times New Roman" w:cs="Times New Roman"/>
          <w:i/>
          <w:iCs/>
          <w:spacing w:val="-1"/>
          <w:w w:val="93"/>
          <w:sz w:val="47"/>
          <w:szCs w:val="47"/>
        </w:rPr>
        <w:t>VX/QQ:</w:t>
      </w:r>
    </w:p>
    <w:p w14:paraId="432133BC">
      <w:pPr>
        <w:pStyle w:val="2"/>
        <w:spacing w:line="241" w:lineRule="auto"/>
      </w:pPr>
    </w:p>
    <w:p w14:paraId="7ADF1B2A">
      <w:pPr>
        <w:pStyle w:val="2"/>
        <w:spacing w:line="241" w:lineRule="auto"/>
      </w:pPr>
    </w:p>
    <w:p w14:paraId="1F460A64">
      <w:pPr>
        <w:pStyle w:val="2"/>
        <w:spacing w:line="241" w:lineRule="auto"/>
      </w:pPr>
    </w:p>
    <w:p w14:paraId="3508660D">
      <w:pPr>
        <w:pStyle w:val="2"/>
        <w:spacing w:line="241" w:lineRule="auto"/>
      </w:pPr>
    </w:p>
    <w:p w14:paraId="20CABF1E">
      <w:pPr>
        <w:pStyle w:val="2"/>
        <w:spacing w:line="241" w:lineRule="auto"/>
      </w:pPr>
    </w:p>
    <w:p w14:paraId="545457EF">
      <w:pPr>
        <w:pStyle w:val="2"/>
        <w:spacing w:line="241" w:lineRule="auto"/>
      </w:pPr>
    </w:p>
    <w:p w14:paraId="21D9016B">
      <w:pPr>
        <w:pStyle w:val="2"/>
        <w:spacing w:line="241" w:lineRule="auto"/>
      </w:pPr>
    </w:p>
    <w:p w14:paraId="2702BB3E">
      <w:pPr>
        <w:pStyle w:val="2"/>
        <w:spacing w:line="241" w:lineRule="auto"/>
      </w:pPr>
    </w:p>
    <w:p w14:paraId="0AC07D2A">
      <w:pPr>
        <w:pStyle w:val="2"/>
        <w:spacing w:line="241" w:lineRule="auto"/>
      </w:pPr>
    </w:p>
    <w:p w14:paraId="27162411">
      <w:pPr>
        <w:pStyle w:val="2"/>
        <w:spacing w:line="241" w:lineRule="auto"/>
      </w:pPr>
    </w:p>
    <w:p w14:paraId="2958CF59">
      <w:pPr>
        <w:pStyle w:val="2"/>
        <w:spacing w:line="241" w:lineRule="auto"/>
      </w:pPr>
    </w:p>
    <w:p w14:paraId="148F6D70">
      <w:pPr>
        <w:pStyle w:val="2"/>
        <w:spacing w:line="241" w:lineRule="auto"/>
      </w:pPr>
    </w:p>
    <w:p w14:paraId="79DB8A25">
      <w:pPr>
        <w:pStyle w:val="2"/>
        <w:spacing w:line="241" w:lineRule="auto"/>
      </w:pPr>
    </w:p>
    <w:p w14:paraId="36FDFA55">
      <w:pPr>
        <w:pStyle w:val="2"/>
        <w:spacing w:line="241" w:lineRule="auto"/>
      </w:pPr>
    </w:p>
    <w:p w14:paraId="6F570E0D">
      <w:pPr>
        <w:pStyle w:val="2"/>
        <w:spacing w:line="242" w:lineRule="auto"/>
      </w:pPr>
    </w:p>
    <w:p w14:paraId="2844BFBF">
      <w:pPr>
        <w:pStyle w:val="2"/>
        <w:spacing w:line="242" w:lineRule="auto"/>
      </w:pPr>
    </w:p>
    <w:p w14:paraId="4964331B">
      <w:pPr>
        <w:pStyle w:val="2"/>
        <w:spacing w:line="242" w:lineRule="auto"/>
      </w:pPr>
    </w:p>
    <w:p w14:paraId="58E518FA">
      <w:pPr>
        <w:pStyle w:val="2"/>
        <w:spacing w:line="242" w:lineRule="auto"/>
      </w:pPr>
    </w:p>
    <w:p w14:paraId="6E369F71">
      <w:pPr>
        <w:pStyle w:val="2"/>
        <w:spacing w:line="242" w:lineRule="auto"/>
      </w:pPr>
    </w:p>
    <w:p w14:paraId="534C4E88">
      <w:pPr>
        <w:pStyle w:val="2"/>
        <w:spacing w:line="242" w:lineRule="auto"/>
      </w:pPr>
    </w:p>
    <w:p w14:paraId="5DBCA3A1">
      <w:pPr>
        <w:pStyle w:val="2"/>
        <w:spacing w:line="242" w:lineRule="auto"/>
      </w:pPr>
    </w:p>
    <w:p w14:paraId="036508F2">
      <w:pPr>
        <w:pStyle w:val="2"/>
        <w:spacing w:line="242" w:lineRule="auto"/>
      </w:pPr>
    </w:p>
    <w:p w14:paraId="0570C78E">
      <w:pPr>
        <w:pStyle w:val="2"/>
        <w:spacing w:line="242" w:lineRule="auto"/>
      </w:pPr>
    </w:p>
    <w:p w14:paraId="4730E688">
      <w:pPr>
        <w:pStyle w:val="2"/>
        <w:spacing w:line="242" w:lineRule="auto"/>
      </w:pPr>
    </w:p>
    <w:p w14:paraId="6F97ECC2">
      <w:pPr>
        <w:pStyle w:val="2"/>
        <w:spacing w:line="242" w:lineRule="auto"/>
      </w:pPr>
    </w:p>
    <w:p w14:paraId="43986264">
      <w:pPr>
        <w:pStyle w:val="2"/>
        <w:spacing w:line="242" w:lineRule="auto"/>
      </w:pPr>
    </w:p>
    <w:p w14:paraId="52D85684">
      <w:pPr>
        <w:pStyle w:val="2"/>
        <w:spacing w:line="242" w:lineRule="auto"/>
      </w:pPr>
    </w:p>
    <w:p w14:paraId="60291D8D">
      <w:pPr>
        <w:pStyle w:val="2"/>
        <w:spacing w:line="242" w:lineRule="auto"/>
      </w:pPr>
    </w:p>
    <w:p w14:paraId="2A6FB1B7">
      <w:pPr>
        <w:pStyle w:val="2"/>
        <w:spacing w:line="242" w:lineRule="auto"/>
      </w:pPr>
    </w:p>
    <w:p w14:paraId="2569DBB3">
      <w:pPr>
        <w:pStyle w:val="2"/>
        <w:spacing w:line="242" w:lineRule="auto"/>
      </w:pPr>
    </w:p>
    <w:p w14:paraId="11910DB3">
      <w:pPr>
        <w:pStyle w:val="2"/>
        <w:spacing w:line="242" w:lineRule="auto"/>
      </w:pPr>
    </w:p>
    <w:p w14:paraId="1367FFFA">
      <w:pPr>
        <w:pStyle w:val="2"/>
        <w:spacing w:line="242" w:lineRule="auto"/>
      </w:pPr>
    </w:p>
    <w:p w14:paraId="61C1C0D4">
      <w:pPr>
        <w:pStyle w:val="2"/>
        <w:spacing w:line="242" w:lineRule="auto"/>
      </w:pPr>
    </w:p>
    <w:p w14:paraId="12071118">
      <w:pPr>
        <w:pStyle w:val="2"/>
        <w:spacing w:line="242" w:lineRule="auto"/>
      </w:pPr>
    </w:p>
    <w:p w14:paraId="3340472E">
      <w:pPr>
        <w:pStyle w:val="2"/>
        <w:spacing w:line="242" w:lineRule="auto"/>
      </w:pPr>
    </w:p>
    <w:p w14:paraId="0193D77F">
      <w:pPr>
        <w:pStyle w:val="2"/>
        <w:spacing w:line="242" w:lineRule="auto"/>
      </w:pPr>
    </w:p>
    <w:p w14:paraId="29058122">
      <w:pPr>
        <w:pStyle w:val="2"/>
        <w:spacing w:line="242" w:lineRule="auto"/>
      </w:pPr>
    </w:p>
    <w:p w14:paraId="314F74A8">
      <w:pPr>
        <w:pStyle w:val="2"/>
        <w:spacing w:line="242" w:lineRule="auto"/>
      </w:pPr>
    </w:p>
    <w:p w14:paraId="64D35BD1">
      <w:pPr>
        <w:pStyle w:val="2"/>
        <w:spacing w:line="242" w:lineRule="auto"/>
      </w:pPr>
    </w:p>
    <w:p w14:paraId="5C862BBE">
      <w:pPr>
        <w:pStyle w:val="2"/>
        <w:spacing w:line="242" w:lineRule="auto"/>
      </w:pPr>
    </w:p>
    <w:p w14:paraId="0C2BB87A">
      <w:pPr>
        <w:pStyle w:val="2"/>
        <w:spacing w:line="242" w:lineRule="auto"/>
      </w:pPr>
    </w:p>
    <w:p w14:paraId="7DA687EC">
      <w:pPr>
        <w:pStyle w:val="2"/>
        <w:spacing w:line="242" w:lineRule="auto"/>
      </w:pPr>
    </w:p>
    <w:p w14:paraId="34081574">
      <w:pPr>
        <w:pStyle w:val="2"/>
        <w:spacing w:line="242" w:lineRule="auto"/>
      </w:pPr>
    </w:p>
    <w:p w14:paraId="3F0DDCCC">
      <w:pPr>
        <w:pStyle w:val="2"/>
        <w:spacing w:line="242" w:lineRule="auto"/>
      </w:pPr>
    </w:p>
    <w:p w14:paraId="02D5057A">
      <w:pPr>
        <w:pStyle w:val="2"/>
        <w:spacing w:line="242" w:lineRule="auto"/>
      </w:pPr>
    </w:p>
    <w:p w14:paraId="285ABDF0">
      <w:pPr>
        <w:pStyle w:val="2"/>
        <w:spacing w:line="242" w:lineRule="auto"/>
      </w:pPr>
    </w:p>
    <w:p w14:paraId="12F3D3B4">
      <w:pPr>
        <w:pStyle w:val="2"/>
        <w:spacing w:line="242" w:lineRule="auto"/>
      </w:pPr>
    </w:p>
    <w:p w14:paraId="353740DD">
      <w:pPr>
        <w:pStyle w:val="2"/>
        <w:spacing w:line="242" w:lineRule="auto"/>
      </w:pPr>
    </w:p>
    <w:p w14:paraId="080DDCBC">
      <w:pPr>
        <w:pStyle w:val="2"/>
        <w:spacing w:line="242" w:lineRule="auto"/>
      </w:pPr>
    </w:p>
    <w:p w14:paraId="2100B075">
      <w:pPr>
        <w:pStyle w:val="2"/>
        <w:spacing w:line="242" w:lineRule="auto"/>
      </w:pPr>
    </w:p>
    <w:p w14:paraId="425DB5EE">
      <w:pPr>
        <w:pStyle w:val="2"/>
        <w:spacing w:line="242" w:lineRule="auto"/>
      </w:pPr>
    </w:p>
    <w:p w14:paraId="66257211">
      <w:pPr>
        <w:pStyle w:val="2"/>
        <w:spacing w:line="242" w:lineRule="auto"/>
      </w:pPr>
    </w:p>
    <w:p w14:paraId="5BC90FE7">
      <w:pPr>
        <w:pStyle w:val="2"/>
        <w:spacing w:line="242" w:lineRule="auto"/>
      </w:pPr>
    </w:p>
    <w:p w14:paraId="1EA0EC2D">
      <w:pPr>
        <w:pStyle w:val="2"/>
        <w:spacing w:line="242" w:lineRule="auto"/>
      </w:pPr>
    </w:p>
    <w:p w14:paraId="6FEA0C67">
      <w:pPr>
        <w:pStyle w:val="2"/>
        <w:spacing w:line="242" w:lineRule="auto"/>
      </w:pPr>
    </w:p>
    <w:p w14:paraId="49B95664">
      <w:pPr>
        <w:pStyle w:val="2"/>
        <w:spacing w:line="242" w:lineRule="auto"/>
      </w:pPr>
    </w:p>
    <w:p w14:paraId="5CD2F07C">
      <w:pPr>
        <w:pStyle w:val="2"/>
        <w:spacing w:line="242" w:lineRule="auto"/>
      </w:pPr>
    </w:p>
    <w:p w14:paraId="7DA828F0">
      <w:pPr>
        <w:pStyle w:val="2"/>
        <w:spacing w:line="242" w:lineRule="auto"/>
      </w:pPr>
    </w:p>
    <w:p w14:paraId="216F6F19">
      <w:pPr>
        <w:pStyle w:val="2"/>
        <w:spacing w:line="242" w:lineRule="auto"/>
      </w:pPr>
    </w:p>
    <w:p w14:paraId="3702C386">
      <w:pPr>
        <w:pStyle w:val="2"/>
        <w:spacing w:line="242" w:lineRule="auto"/>
      </w:pPr>
    </w:p>
    <w:p w14:paraId="29BD314A">
      <w:pPr>
        <w:pStyle w:val="2"/>
        <w:spacing w:line="242" w:lineRule="auto"/>
      </w:pPr>
    </w:p>
    <w:p w14:paraId="57CAAE6F">
      <w:pPr>
        <w:spacing w:before="1" w:line="384" w:lineRule="exact"/>
        <w:ind w:firstLine="1644"/>
      </w:pPr>
      <w:r>
        <w:rPr>
          <w:position w:val="-7"/>
        </w:rPr>
        <w:pict>
          <v:shape id="_x0000_s1027" o:spid="_x0000_s1027" o:spt="202" type="#_x0000_t202" style="height:19.25pt;width:878.75pt;" fillcolor="#D0000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0689D4EB">
                  <w:pPr>
                    <w:spacing w:before="1" w:line="241" w:lineRule="auto"/>
                    <w:jc w:val="right"/>
                    <w:rPr>
                      <w:rFonts w:ascii="宋体" w:hAnsi="宋体" w:eastAsia="宋体" w:cs="宋体"/>
                      <w:sz w:val="38"/>
                      <w:szCs w:val="38"/>
                    </w:rPr>
                  </w:pPr>
                  <w:r>
                    <w:rPr>
                      <w:rFonts w:ascii="宋体" w:hAnsi="宋体" w:eastAsia="宋体" w:cs="宋体"/>
                      <w:color w:val="C06080"/>
                      <w:sz w:val="38"/>
                      <w:szCs w:val="38"/>
                    </w:rPr>
                    <w:t>—10—</w:t>
                  </w:r>
                </w:p>
              </w:txbxContent>
            </v:textbox>
            <w10:wrap type="none"/>
            <w10:anchorlock/>
          </v:shape>
        </w:pict>
      </w:r>
    </w:p>
    <w:p w14:paraId="3836480D">
      <w:pPr>
        <w:pStyle w:val="2"/>
        <w:spacing w:line="241" w:lineRule="auto"/>
      </w:pPr>
    </w:p>
    <w:p w14:paraId="5243E432">
      <w:pPr>
        <w:pStyle w:val="2"/>
        <w:spacing w:line="241" w:lineRule="auto"/>
      </w:pPr>
    </w:p>
    <w:p w14:paraId="535F1BB5">
      <w:pPr>
        <w:pStyle w:val="2"/>
        <w:spacing w:line="241" w:lineRule="auto"/>
      </w:pPr>
    </w:p>
    <w:p w14:paraId="7623A6E8">
      <w:pPr>
        <w:pStyle w:val="2"/>
        <w:spacing w:line="242" w:lineRule="auto"/>
      </w:pPr>
    </w:p>
    <w:p w14:paraId="5B6F43AC">
      <w:pPr>
        <w:spacing w:before="153" w:line="223" w:lineRule="auto"/>
        <w:rPr>
          <w:rFonts w:hint="eastAsia" w:ascii="宋体" w:hAnsi="宋体" w:eastAsia="黑体" w:cs="宋体"/>
          <w:sz w:val="47"/>
          <w:szCs w:val="47"/>
          <w:lang w:eastAsia="zh-CN"/>
        </w:rPr>
      </w:pPr>
      <w:r>
        <w:rPr>
          <w:rFonts w:ascii="黑体" w:hAnsi="黑体" w:eastAsia="黑体" w:cs="黑体"/>
          <w:spacing w:val="2"/>
          <w:sz w:val="47"/>
          <w:szCs w:val="47"/>
        </w:rPr>
        <w:t>名</w:t>
      </w:r>
      <w:r>
        <w:rPr>
          <w:rFonts w:ascii="黑体" w:hAnsi="黑体" w:eastAsia="黑体" w:cs="黑体"/>
          <w:b/>
          <w:bCs/>
          <w:spacing w:val="2"/>
          <w:sz w:val="47"/>
          <w:szCs w:val="47"/>
        </w:rPr>
        <w:t>师面授精华、央企内训、考点串讲、习题模考、</w:t>
      </w:r>
      <w:r>
        <w:rPr>
          <w:rFonts w:ascii="黑体" w:hAnsi="黑体" w:eastAsia="黑体" w:cs="黑体"/>
          <w:spacing w:val="2"/>
          <w:sz w:val="47"/>
          <w:szCs w:val="47"/>
        </w:rPr>
        <w:t xml:space="preserve"> </w:t>
      </w:r>
      <w:r>
        <w:rPr>
          <w:rFonts w:ascii="黑体" w:hAnsi="黑体" w:eastAsia="黑体" w:cs="黑体"/>
          <w:b/>
          <w:bCs/>
          <w:spacing w:val="2"/>
          <w:sz w:val="47"/>
          <w:szCs w:val="47"/>
        </w:rPr>
        <w:t>考前三页纸、绝密押题联</w:t>
      </w:r>
      <w:r>
        <w:rPr>
          <w:rFonts w:ascii="黑体" w:hAnsi="黑体" w:eastAsia="黑体" w:cs="黑体"/>
          <w:b/>
          <w:bCs/>
          <w:spacing w:val="1"/>
          <w:sz w:val="47"/>
          <w:szCs w:val="47"/>
        </w:rPr>
        <w:t>系</w:t>
      </w:r>
      <w:r>
        <w:rPr>
          <w:rFonts w:ascii="宋体" w:hAnsi="宋体" w:eastAsia="宋体" w:cs="宋体"/>
          <w:b/>
          <w:bCs/>
          <w:sz w:val="47"/>
          <w:szCs w:val="47"/>
        </w:rPr>
        <w:t>QQ</w:t>
      </w:r>
      <w:r>
        <w:rPr>
          <w:rFonts w:ascii="宋体" w:hAnsi="宋体" w:eastAsia="宋体" w:cs="宋体"/>
          <w:b/>
          <w:bCs/>
          <w:spacing w:val="1"/>
          <w:sz w:val="47"/>
          <w:szCs w:val="47"/>
        </w:rPr>
        <w:t>/</w:t>
      </w:r>
      <w:r>
        <w:rPr>
          <w:rFonts w:ascii="黑体" w:hAnsi="黑体" w:eastAsia="黑体" w:cs="黑体"/>
          <w:b/>
          <w:bCs/>
          <w:spacing w:val="1"/>
          <w:sz w:val="47"/>
          <w:szCs w:val="47"/>
        </w:rPr>
        <w:t>微信：</w:t>
      </w:r>
    </w:p>
    <w:sectPr>
      <w:footerReference r:id="rId13" w:type="default"/>
      <w:pgSz w:w="23057" w:h="31680"/>
      <w:pgMar w:top="400" w:right="22" w:bottom="400" w:left="55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3EFB4">
    <w:pPr>
      <w:pStyle w:val="2"/>
      <w:spacing w:line="398" w:lineRule="auto"/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14" name="I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69C2BCC">
    <w:pPr>
      <w:pStyle w:val="2"/>
      <w:spacing w:line="272" w:lineRule="auto"/>
    </w:pPr>
  </w:p>
  <w:p w14:paraId="7FA2CCC3">
    <w:pPr>
      <w:pStyle w:val="2"/>
      <w:spacing w:line="272" w:lineRule="auto"/>
    </w:pPr>
  </w:p>
  <w:p w14:paraId="4C7251D9">
    <w:pPr>
      <w:pStyle w:val="2"/>
      <w:spacing w:line="272" w:lineRule="auto"/>
    </w:pPr>
  </w:p>
  <w:p w14:paraId="2462C997">
    <w:pPr>
      <w:pStyle w:val="2"/>
      <w:spacing w:line="272" w:lineRule="auto"/>
    </w:pPr>
  </w:p>
  <w:p w14:paraId="56F80291">
    <w:pPr>
      <w:spacing w:line="210" w:lineRule="auto"/>
      <w:ind w:left="574"/>
      <w:rPr>
        <w:rFonts w:ascii="Times New Roman" w:hAnsi="Times New Roman" w:eastAsia="Times New Roman" w:cs="Times New Roman"/>
        <w:sz w:val="50"/>
        <w:szCs w:val="50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</w:t>
    </w:r>
    <w:r>
      <w:rPr>
        <w:rFonts w:ascii="黑体" w:hAnsi="黑体" w:eastAsia="黑体" w:cs="黑体"/>
        <w:b/>
        <w:bCs/>
        <w:spacing w:val="-11"/>
        <w:sz w:val="50"/>
        <w:szCs w:val="50"/>
      </w:rPr>
      <w:t>：38491</w:t>
    </w:r>
    <w:r>
      <w:rPr>
        <w:rFonts w:ascii="Times New Roman" w:hAnsi="Times New Roman" w:eastAsia="Times New Roman" w:cs="Times New Roman"/>
        <w:spacing w:val="-11"/>
        <w:sz w:val="50"/>
        <w:szCs w:val="50"/>
      </w:rPr>
      <w:t>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71D13A">
    <w:pPr>
      <w:pStyle w:val="2"/>
      <w:spacing w:line="272" w:lineRule="auto"/>
    </w:pPr>
  </w:p>
  <w:p w14:paraId="33841763">
    <w:pPr>
      <w:pStyle w:val="2"/>
      <w:spacing w:line="272" w:lineRule="auto"/>
    </w:pPr>
  </w:p>
  <w:p w14:paraId="11251AB5">
    <w:pPr>
      <w:pStyle w:val="2"/>
      <w:spacing w:line="272" w:lineRule="auto"/>
    </w:pPr>
  </w:p>
  <w:p w14:paraId="529D8C59">
    <w:pPr>
      <w:pStyle w:val="2"/>
      <w:spacing w:line="272" w:lineRule="auto"/>
    </w:pPr>
  </w:p>
  <w:p w14:paraId="424881D3">
    <w:pPr>
      <w:spacing w:line="210" w:lineRule="auto"/>
      <w:ind w:left="574"/>
      <w:rPr>
        <w:rFonts w:ascii="Times New Roman" w:hAnsi="Times New Roman" w:eastAsia="Times New Roman" w:cs="Times New Roman"/>
        <w:sz w:val="50"/>
        <w:szCs w:val="50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</w:t>
    </w:r>
    <w:r>
      <w:rPr>
        <w:rFonts w:ascii="Times New Roman" w:hAnsi="Times New Roman" w:eastAsia="Times New Roman" w:cs="Times New Roman"/>
        <w:b/>
        <w:bCs/>
        <w:spacing w:val="-11"/>
        <w:sz w:val="50"/>
        <w:szCs w:val="50"/>
      </w:rPr>
      <w:t>Q/</w:t>
    </w:r>
    <w:r>
      <w:rPr>
        <w:rFonts w:ascii="黑体" w:hAnsi="黑体" w:eastAsia="黑体" w:cs="黑体"/>
        <w:b/>
        <w:bCs/>
        <w:spacing w:val="-11"/>
        <w:sz w:val="50"/>
        <w:szCs w:val="50"/>
      </w:rPr>
      <w:t>微信：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8F7065">
    <w:pPr>
      <w:pStyle w:val="2"/>
      <w:spacing w:line="429" w:lineRule="auto"/>
    </w:pPr>
    <w:r>
      <w:drawing>
        <wp:anchor distT="0" distB="0" distL="0" distR="0" simplePos="0" relativeHeight="251661312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36" name="IM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 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18C2541">
    <w:pPr>
      <w:pStyle w:val="2"/>
      <w:spacing w:line="287" w:lineRule="auto"/>
    </w:pPr>
  </w:p>
  <w:p w14:paraId="28570ACF">
    <w:pPr>
      <w:pStyle w:val="2"/>
      <w:spacing w:line="287" w:lineRule="auto"/>
    </w:pPr>
  </w:p>
  <w:p w14:paraId="4660FED4">
    <w:pPr>
      <w:pStyle w:val="2"/>
      <w:spacing w:line="287" w:lineRule="auto"/>
    </w:pPr>
  </w:p>
  <w:p w14:paraId="33A8F727">
    <w:pPr>
      <w:pStyle w:val="2"/>
      <w:spacing w:line="287" w:lineRule="auto"/>
    </w:pPr>
  </w:p>
  <w:p w14:paraId="474912F0">
    <w:pPr>
      <w:spacing w:line="210" w:lineRule="auto"/>
      <w:ind w:left="567"/>
      <w:rPr>
        <w:rFonts w:ascii="黑体" w:hAnsi="黑体" w:eastAsia="黑体" w:cs="黑体"/>
        <w:sz w:val="50"/>
        <w:szCs w:val="50"/>
      </w:rPr>
    </w:pPr>
    <w:r>
      <w:rPr>
        <w:rFonts w:ascii="黑体" w:hAnsi="黑体" w:eastAsia="黑体" w:cs="黑体"/>
        <w:spacing w:val="-10"/>
        <w:sz w:val="50"/>
        <w:szCs w:val="50"/>
      </w:rPr>
      <w:t>名</w:t>
    </w:r>
    <w:r>
      <w:rPr>
        <w:rFonts w:ascii="黑体" w:hAnsi="黑体" w:eastAsia="黑体" w:cs="黑体"/>
        <w:b/>
        <w:bCs/>
        <w:spacing w:val="-10"/>
        <w:sz w:val="50"/>
        <w:szCs w:val="50"/>
      </w:rPr>
      <w:t>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QQ/</w:t>
    </w:r>
    <w:r>
      <w:rPr>
        <w:rFonts w:ascii="黑体" w:hAnsi="黑体" w:eastAsia="黑体" w:cs="黑体"/>
        <w:b/>
        <w:bCs/>
        <w:spacing w:val="-10"/>
        <w:sz w:val="50"/>
        <w:szCs w:val="50"/>
      </w:rPr>
      <w:t>微信：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2D3651">
    <w:pPr>
      <w:pStyle w:val="2"/>
      <w:spacing w:line="398" w:lineRule="auto"/>
    </w:pPr>
    <w:r>
      <w:drawing>
        <wp:anchor distT="0" distB="0" distL="0" distR="0" simplePos="0" relativeHeight="251662336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48" name="IM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418B467">
    <w:pPr>
      <w:pStyle w:val="2"/>
      <w:spacing w:line="272" w:lineRule="auto"/>
    </w:pPr>
  </w:p>
  <w:p w14:paraId="070540B1">
    <w:pPr>
      <w:pStyle w:val="2"/>
      <w:spacing w:line="272" w:lineRule="auto"/>
    </w:pPr>
  </w:p>
  <w:p w14:paraId="22BE07D9">
    <w:pPr>
      <w:pStyle w:val="2"/>
      <w:spacing w:line="272" w:lineRule="auto"/>
    </w:pPr>
  </w:p>
  <w:p w14:paraId="650E052E">
    <w:pPr>
      <w:pStyle w:val="2"/>
      <w:spacing w:line="272" w:lineRule="auto"/>
    </w:pPr>
  </w:p>
  <w:p w14:paraId="1D88B1DA">
    <w:pPr>
      <w:spacing w:line="210" w:lineRule="auto"/>
      <w:ind w:left="574"/>
      <w:rPr>
        <w:rFonts w:ascii="Times New Roman" w:hAnsi="Times New Roman" w:eastAsia="Times New Roman" w:cs="Times New Roman"/>
        <w:sz w:val="50"/>
        <w:szCs w:val="50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</w:t>
    </w:r>
    <w:r>
      <w:rPr>
        <w:rFonts w:ascii="Times New Roman" w:hAnsi="Times New Roman" w:eastAsia="Times New Roman" w:cs="Times New Roman"/>
        <w:b/>
        <w:bCs/>
        <w:spacing w:val="-11"/>
        <w:sz w:val="50"/>
        <w:szCs w:val="50"/>
      </w:rPr>
      <w:t>Q/</w:t>
    </w:r>
    <w:r>
      <w:rPr>
        <w:rFonts w:ascii="黑体" w:hAnsi="黑体" w:eastAsia="黑体" w:cs="黑体"/>
        <w:b/>
        <w:bCs/>
        <w:spacing w:val="-11"/>
        <w:sz w:val="50"/>
        <w:szCs w:val="50"/>
      </w:rPr>
      <w:t>微信：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F1FE3">
    <w:pPr>
      <w:spacing w:before="1" w:line="210" w:lineRule="auto"/>
      <w:ind w:left="582"/>
      <w:rPr>
        <w:rFonts w:ascii="Times New Roman" w:hAnsi="Times New Roman" w:eastAsia="Times New Roman" w:cs="Times New Roman"/>
        <w:sz w:val="46"/>
        <w:szCs w:val="46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17C0FF">
    <w:pPr>
      <w:pStyle w:val="2"/>
      <w:spacing w:line="429" w:lineRule="auto"/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12159615</wp:posOffset>
          </wp:positionH>
          <wp:positionV relativeFrom="page">
            <wp:posOffset>18197830</wp:posOffset>
          </wp:positionV>
          <wp:extent cx="720090" cy="542290"/>
          <wp:effectExtent l="0" t="0" r="0" b="0"/>
          <wp:wrapNone/>
          <wp:docPr id="72" name="IM 7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 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29" cy="542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C5FBAB7">
    <w:pPr>
      <w:pStyle w:val="2"/>
      <w:spacing w:line="287" w:lineRule="auto"/>
    </w:pPr>
  </w:p>
  <w:p w14:paraId="55874209">
    <w:pPr>
      <w:pStyle w:val="2"/>
      <w:spacing w:line="287" w:lineRule="auto"/>
    </w:pPr>
  </w:p>
  <w:p w14:paraId="0C06FBAB">
    <w:pPr>
      <w:pStyle w:val="2"/>
      <w:spacing w:line="287" w:lineRule="auto"/>
    </w:pPr>
  </w:p>
  <w:p w14:paraId="0E16418E">
    <w:pPr>
      <w:pStyle w:val="2"/>
      <w:spacing w:line="287" w:lineRule="auto"/>
    </w:pPr>
  </w:p>
  <w:p w14:paraId="61B90C69">
    <w:pPr>
      <w:spacing w:line="210" w:lineRule="auto"/>
      <w:ind w:left="574"/>
      <w:rPr>
        <w:rFonts w:ascii="Times New Roman" w:hAnsi="Times New Roman" w:eastAsia="Times New Roman" w:cs="Times New Roman"/>
        <w:sz w:val="50"/>
        <w:szCs w:val="50"/>
      </w:rPr>
    </w:pPr>
    <w:r>
      <w:rPr>
        <w:rFonts w:ascii="黑体" w:hAnsi="黑体" w:eastAsia="黑体" w:cs="黑体"/>
        <w:b/>
        <w:bCs/>
        <w:spacing w:val="-10"/>
        <w:sz w:val="50"/>
        <w:szCs w:val="50"/>
      </w:rPr>
      <w:t>名师面授精华、央企内训、考点串讲、习题模考、考前三页纸、绝密押题联系</w:t>
    </w:r>
    <w:r>
      <w:rPr>
        <w:rFonts w:ascii="Times New Roman" w:hAnsi="Times New Roman" w:eastAsia="Times New Roman" w:cs="Times New Roman"/>
        <w:b/>
        <w:bCs/>
        <w:spacing w:val="-10"/>
        <w:sz w:val="50"/>
        <w:szCs w:val="50"/>
      </w:rPr>
      <w:t>Q</w:t>
    </w:r>
    <w:r>
      <w:rPr>
        <w:rFonts w:ascii="Times New Roman" w:hAnsi="Times New Roman" w:eastAsia="Times New Roman" w:cs="Times New Roman"/>
        <w:b/>
        <w:bCs/>
        <w:spacing w:val="-11"/>
        <w:sz w:val="50"/>
        <w:szCs w:val="50"/>
      </w:rPr>
      <w:t>Q/</w:t>
    </w:r>
    <w:r>
      <w:rPr>
        <w:rFonts w:ascii="黑体" w:hAnsi="黑体" w:eastAsia="黑体" w:cs="黑体"/>
        <w:b/>
        <w:bCs/>
        <w:spacing w:val="-11"/>
        <w:sz w:val="50"/>
        <w:szCs w:val="50"/>
      </w:rPr>
      <w:t>微信：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7FB763">
    <w:pPr>
      <w:pStyle w:val="2"/>
      <w:spacing w:line="409" w:lineRule="auto"/>
    </w:pP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12169140</wp:posOffset>
          </wp:positionH>
          <wp:positionV relativeFrom="page">
            <wp:posOffset>18207355</wp:posOffset>
          </wp:positionV>
          <wp:extent cx="725170" cy="547370"/>
          <wp:effectExtent l="0" t="0" r="0" b="0"/>
          <wp:wrapNone/>
          <wp:docPr id="82" name="IM 8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 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5206" cy="547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DAEA25">
    <w:pPr>
      <w:pStyle w:val="2"/>
      <w:spacing w:line="280" w:lineRule="auto"/>
    </w:pPr>
  </w:p>
  <w:p w14:paraId="68800BB9">
    <w:pPr>
      <w:pStyle w:val="2"/>
      <w:spacing w:line="279" w:lineRule="auto"/>
    </w:pPr>
  </w:p>
  <w:p w14:paraId="5A0E087E">
    <w:pPr>
      <w:pStyle w:val="2"/>
      <w:spacing w:line="279" w:lineRule="auto"/>
    </w:pPr>
  </w:p>
  <w:p w14:paraId="754956FB">
    <w:pPr>
      <w:pStyle w:val="2"/>
      <w:spacing w:line="279" w:lineRule="auto"/>
    </w:pPr>
  </w:p>
  <w:p w14:paraId="0E37A94A">
    <w:pPr>
      <w:spacing w:line="212" w:lineRule="auto"/>
      <w:rPr>
        <w:rFonts w:ascii="Times New Roman" w:hAnsi="Times New Roman" w:eastAsia="Times New Roman" w:cs="Times New Roman"/>
        <w:sz w:val="48"/>
        <w:szCs w:val="48"/>
      </w:rPr>
    </w:pPr>
    <w:r>
      <w:rPr>
        <w:rFonts w:ascii="黑体" w:hAnsi="黑体" w:eastAsia="黑体" w:cs="黑体"/>
        <w:spacing w:val="9"/>
        <w:sz w:val="48"/>
        <w:szCs w:val="48"/>
      </w:rPr>
      <w:t>名</w:t>
    </w:r>
    <w:r>
      <w:rPr>
        <w:rFonts w:ascii="黑体" w:hAnsi="黑体" w:eastAsia="黑体" w:cs="黑体"/>
        <w:b/>
        <w:bCs/>
        <w:spacing w:val="9"/>
        <w:sz w:val="48"/>
        <w:szCs w:val="48"/>
      </w:rPr>
      <w:t>师面授精华、央企内训、考点串讲、习题模考、考</w:t>
    </w:r>
    <w:r>
      <w:rPr>
        <w:rFonts w:ascii="黑体" w:hAnsi="黑体" w:eastAsia="黑体" w:cs="黑体"/>
        <w:b/>
        <w:bCs/>
        <w:spacing w:val="8"/>
        <w:sz w:val="48"/>
        <w:szCs w:val="48"/>
      </w:rPr>
      <w:t>前三页纸、绝密押题联系</w:t>
    </w:r>
    <w:r>
      <w:rPr>
        <w:rFonts w:ascii="Times New Roman" w:hAnsi="Times New Roman" w:eastAsia="Times New Roman" w:cs="Times New Roman"/>
        <w:b/>
        <w:bCs/>
        <w:sz w:val="48"/>
        <w:szCs w:val="48"/>
      </w:rPr>
      <w:t>QQ</w:t>
    </w:r>
    <w:r>
      <w:rPr>
        <w:rFonts w:ascii="Times New Roman" w:hAnsi="Times New Roman" w:eastAsia="Times New Roman" w:cs="Times New Roman"/>
        <w:b/>
        <w:bCs/>
        <w:spacing w:val="8"/>
        <w:sz w:val="48"/>
        <w:szCs w:val="48"/>
      </w:rPr>
      <w:t>/</w:t>
    </w:r>
    <w:r>
      <w:rPr>
        <w:rFonts w:ascii="黑体" w:hAnsi="黑体" w:eastAsia="黑体" w:cs="黑体"/>
        <w:b/>
        <w:bCs/>
        <w:spacing w:val="8"/>
        <w:sz w:val="48"/>
        <w:szCs w:val="48"/>
      </w:rPr>
      <w:t>微信：3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232A51"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D33F26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5B43C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50"/>
      <w:szCs w:val="5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0" Type="http://schemas.openxmlformats.org/officeDocument/2006/relationships/fontTable" Target="fontTable.xml"/><Relationship Id="rId3" Type="http://schemas.openxmlformats.org/officeDocument/2006/relationships/footnotes" Target="footnotes.xml"/><Relationship Id="rId29" Type="http://schemas.openxmlformats.org/officeDocument/2006/relationships/customXml" Target="../customXml/item1.xml"/><Relationship Id="rId28" Type="http://schemas.openxmlformats.org/officeDocument/2006/relationships/image" Target="media/image19.jpeg"/><Relationship Id="rId27" Type="http://schemas.openxmlformats.org/officeDocument/2006/relationships/image" Target="media/image18.jpeg"/><Relationship Id="rId26" Type="http://schemas.openxmlformats.org/officeDocument/2006/relationships/image" Target="media/image17.jpeg"/><Relationship Id="rId25" Type="http://schemas.openxmlformats.org/officeDocument/2006/relationships/image" Target="media/image16.jpeg"/><Relationship Id="rId24" Type="http://schemas.openxmlformats.org/officeDocument/2006/relationships/image" Target="media/image15.jpeg"/><Relationship Id="rId23" Type="http://schemas.openxmlformats.org/officeDocument/2006/relationships/image" Target="media/image14.jpe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0" Type="http://schemas.openxmlformats.org/officeDocument/2006/relationships/image" Target="media/image11.jpe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theme" Target="theme/theme1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4688</Words>
  <Characters>5126</Characters>
  <TotalTime>1</TotalTime>
  <ScaleCrop>false</ScaleCrop>
  <LinksUpToDate>false</LinksUpToDate>
  <CharactersWithSpaces>5389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2026-01-19T22:43:00Z</dcterms:created>
  <dc:creator>Administrator</dc:creator>
  <cp:lastModifiedBy>薛飞</cp:lastModifiedBy>
  <dcterms:modified xsi:type="dcterms:W3CDTF">2026-01-19T14:52:09Z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2026-01-19T22:43:18Z</vt:filetime>
  </property>
  <property fmtid="{D5CDD505-2E9C-101B-9397-08002B2CF9AE}" pid="4" name="UsrData">
    <vt:lpwstr>696e43000025b3001fde55f0wl</vt:lpwstr>
  </property>
  <property fmtid="{D5CDD505-2E9C-101B-9397-08002B2CF9AE}" pid="5" name="KSOTemplateDocerSaveRecord">
    <vt:lpwstr>eyJoZGlkIjoiZjkwMTBkN2I3YTM0ZGM0MmNiNGVlODY4ZWE2YWNlNWMiLCJ1c2VySWQiOiI5NTk2ODI5NzQifQ==</vt:lpwstr>
  </property>
  <property fmtid="{D5CDD505-2E9C-101B-9397-08002B2CF9AE}" pid="6" name="KSOProductBuildVer">
    <vt:lpwstr>2052-12.1.0.24034</vt:lpwstr>
  </property>
  <property fmtid="{D5CDD505-2E9C-101B-9397-08002B2CF9AE}" pid="7" name="ICV">
    <vt:lpwstr>93BC7B7752B949ECAF8C291C40B7AD03_12</vt:lpwstr>
  </property>
</Properties>
</file>