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FA5A9E">
      <w:pPr>
        <w:spacing w:before="196" w:line="213" w:lineRule="auto"/>
        <w:ind w:left="1226"/>
        <w:outlineLvl w:val="0"/>
        <w:rPr>
          <w:rFonts w:hint="eastAsia" w:ascii="黑体" w:hAnsi="黑体" w:eastAsia="黑体" w:cs="黑体"/>
          <w:sz w:val="48"/>
          <w:szCs w:val="48"/>
          <w:lang w:eastAsia="zh-CN"/>
        </w:rPr>
      </w:pPr>
      <w:r>
        <w:rPr>
          <w:rFonts w:ascii="黑体" w:hAnsi="黑体" w:eastAsia="黑体" w:cs="黑体"/>
          <w:b/>
          <w:bCs/>
          <w:spacing w:val="-20"/>
          <w:sz w:val="48"/>
          <w:szCs w:val="48"/>
        </w:rPr>
        <w:t>二建、监理、一建、一造、二造、安全、消防、咨询、检测课程押题联系</w:t>
      </w:r>
      <w:r>
        <w:rPr>
          <w:rFonts w:ascii="Times New Roman" w:hAnsi="Times New Roman" w:eastAsia="Times New Roman" w:cs="Times New Roman"/>
          <w:b/>
          <w:bCs/>
          <w:spacing w:val="-20"/>
          <w:sz w:val="48"/>
          <w:szCs w:val="48"/>
        </w:rPr>
        <w:t>QQ/</w:t>
      </w:r>
      <w:r>
        <w:rPr>
          <w:rFonts w:ascii="黑体" w:hAnsi="黑体" w:eastAsia="黑体" w:cs="黑体"/>
          <w:b/>
          <w:bCs/>
          <w:spacing w:val="-20"/>
          <w:sz w:val="48"/>
          <w:szCs w:val="48"/>
        </w:rPr>
        <w:t>微信：</w:t>
      </w:r>
      <w:r>
        <w:rPr>
          <w:rFonts w:hint="eastAsia" w:ascii="黑体" w:hAnsi="黑体" w:eastAsia="黑体" w:cs="黑体"/>
          <w:b/>
          <w:bCs/>
          <w:spacing w:val="-20"/>
          <w:sz w:val="48"/>
          <w:szCs w:val="48"/>
          <w:lang w:eastAsia="zh-CN"/>
        </w:rPr>
        <w:t>dayu_nm_cn</w:t>
      </w:r>
    </w:p>
    <w:p w14:paraId="29F8E925">
      <w:pPr>
        <w:spacing w:line="316" w:lineRule="auto"/>
        <w:rPr>
          <w:rFonts w:ascii="Arial"/>
          <w:sz w:val="21"/>
        </w:rPr>
      </w:pPr>
    </w:p>
    <w:p w14:paraId="0E05F82C">
      <w:pPr>
        <w:spacing w:line="317" w:lineRule="auto"/>
        <w:rPr>
          <w:rFonts w:ascii="Arial"/>
          <w:sz w:val="21"/>
        </w:rPr>
      </w:pPr>
    </w:p>
    <w:p w14:paraId="6CF82FDB">
      <w:pPr>
        <w:pStyle w:val="2"/>
        <w:spacing w:before="199" w:line="224" w:lineRule="auto"/>
        <w:ind w:left="2168"/>
        <w:rPr>
          <w:rFonts w:hint="eastAsia" w:ascii="黑体" w:hAnsi="黑体" w:eastAsia="宋体" w:cs="黑体"/>
          <w:sz w:val="61"/>
          <w:szCs w:val="61"/>
          <w:lang w:eastAsia="zh-CN"/>
        </w:rPr>
      </w:pPr>
      <w:r>
        <w:drawing>
          <wp:anchor distT="0" distB="0" distL="0" distR="0" simplePos="0" relativeHeight="251659264" behindDoc="1" locked="0" layoutInCell="1" allowOverlap="1">
            <wp:simplePos x="0" y="0"/>
            <wp:positionH relativeFrom="column">
              <wp:posOffset>0</wp:posOffset>
            </wp:positionH>
            <wp:positionV relativeFrom="paragraph">
              <wp:posOffset>-398145</wp:posOffset>
            </wp:positionV>
            <wp:extent cx="1637665" cy="165290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0"/>
                    <a:stretch>
                      <a:fillRect/>
                    </a:stretch>
                  </pic:blipFill>
                  <pic:spPr>
                    <a:xfrm>
                      <a:off x="0" y="0"/>
                      <a:ext cx="1637789" cy="1652593"/>
                    </a:xfrm>
                    <a:prstGeom prst="rect">
                      <a:avLst/>
                    </a:prstGeom>
                  </pic:spPr>
                </pic:pic>
              </a:graphicData>
            </a:graphic>
          </wp:anchor>
        </w:drawing>
      </w:r>
    </w:p>
    <w:p w14:paraId="0144F537">
      <w:pPr>
        <w:spacing w:before="72" w:line="23" w:lineRule="exact"/>
        <w:ind w:firstLine="2136"/>
      </w:pPr>
      <w:r>
        <w:drawing>
          <wp:inline distT="0" distB="0" distL="0" distR="0">
            <wp:extent cx="11705590" cy="1460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1"/>
                    <a:stretch>
                      <a:fillRect/>
                    </a:stretch>
                  </pic:blipFill>
                  <pic:spPr>
                    <a:xfrm>
                      <a:off x="0" y="0"/>
                      <a:ext cx="11706075" cy="14887"/>
                    </a:xfrm>
                    <a:prstGeom prst="rect">
                      <a:avLst/>
                    </a:prstGeom>
                  </pic:spPr>
                </pic:pic>
              </a:graphicData>
            </a:graphic>
          </wp:inline>
        </w:drawing>
      </w:r>
    </w:p>
    <w:p w14:paraId="7B82E086">
      <w:pPr>
        <w:spacing w:line="307" w:lineRule="auto"/>
        <w:rPr>
          <w:rFonts w:ascii="Arial"/>
          <w:sz w:val="21"/>
        </w:rPr>
      </w:pPr>
    </w:p>
    <w:p w14:paraId="55792C26">
      <w:pPr>
        <w:spacing w:line="308" w:lineRule="auto"/>
        <w:rPr>
          <w:rFonts w:ascii="Arial"/>
          <w:sz w:val="21"/>
        </w:rPr>
      </w:pPr>
    </w:p>
    <w:p w14:paraId="1F4AC2E7">
      <w:pPr>
        <w:pStyle w:val="2"/>
        <w:spacing w:before="156" w:line="382" w:lineRule="auto"/>
        <w:ind w:left="2136" w:right="15442" w:firstLine="6"/>
      </w:pPr>
      <w:r>
        <w:rPr>
          <w:b/>
          <w:bCs/>
          <w:spacing w:val="42"/>
        </w:rPr>
        <w:t>【考点11】注册商标</w:t>
      </w:r>
      <w:r>
        <w:rPr>
          <w:spacing w:val="3"/>
        </w:rPr>
        <w:t xml:space="preserve"> </w:t>
      </w:r>
      <w:r>
        <w:rPr>
          <w:spacing w:val="13"/>
        </w:rPr>
        <w:t>【考点星级</w:t>
      </w:r>
      <w:r>
        <w:rPr>
          <w:b/>
          <w:bCs/>
          <w:spacing w:val="13"/>
        </w:rPr>
        <w:t>】★★★</w:t>
      </w:r>
      <w:r>
        <w:rPr>
          <w:spacing w:val="3"/>
        </w:rPr>
        <w:t xml:space="preserve">  </w:t>
      </w:r>
      <w:r>
        <w:rPr>
          <w:spacing w:val="46"/>
        </w:rPr>
        <w:t>【考点分值】1-2分</w:t>
      </w:r>
    </w:p>
    <w:p w14:paraId="28B005E7">
      <w:pPr>
        <w:pStyle w:val="2"/>
        <w:spacing w:before="29" w:line="387" w:lineRule="auto"/>
        <w:ind w:left="2159" w:right="1895" w:firstLine="963"/>
        <w:jc w:val="both"/>
      </w:pPr>
      <w:r>
        <w:rPr>
          <w:spacing w:val="14"/>
        </w:rPr>
        <w:t>注册商标的有效期为10年，自核准注册之日起计</w:t>
      </w:r>
      <w:r>
        <w:rPr>
          <w:spacing w:val="13"/>
        </w:rPr>
        <w:t>算。注册商标有效期满，需要继</w:t>
      </w:r>
      <w:r>
        <w:t xml:space="preserve"> </w:t>
      </w:r>
      <w:r>
        <w:rPr>
          <w:spacing w:val="15"/>
        </w:rPr>
        <w:t>续使用的，商标注册人应当在期满前12个月内办理续展手续；在此期间</w:t>
      </w:r>
      <w:r>
        <w:rPr>
          <w:spacing w:val="14"/>
        </w:rPr>
        <w:t>未能办理的，</w:t>
      </w:r>
      <w:r>
        <w:t xml:space="preserve"> </w:t>
      </w:r>
      <w:r>
        <w:rPr>
          <w:spacing w:val="33"/>
        </w:rPr>
        <w:t>可以给予6个月的宽展期。每次续展注册的有效期为10年，自该商标上一届有效期</w:t>
      </w:r>
      <w:r>
        <w:rPr>
          <w:spacing w:val="2"/>
        </w:rPr>
        <w:t xml:space="preserve"> </w:t>
      </w:r>
      <w:r>
        <w:rPr>
          <w:spacing w:val="-15"/>
        </w:rPr>
        <w:t>满次日起计算。期满未办理续展手续的，注销其注</w:t>
      </w:r>
      <w:r>
        <w:rPr>
          <w:spacing w:val="-16"/>
        </w:rPr>
        <w:t>册商标。</w:t>
      </w:r>
    </w:p>
    <w:p w14:paraId="2AF604E2">
      <w:pPr>
        <w:pStyle w:val="2"/>
        <w:spacing w:before="32" w:line="219" w:lineRule="auto"/>
        <w:ind w:left="2136"/>
      </w:pPr>
      <w:r>
        <w:rPr>
          <w:spacing w:val="40"/>
        </w:rPr>
        <w:t>【考点来源】第一章第三节建设工程知识产权制度</w:t>
      </w:r>
    </w:p>
    <w:p w14:paraId="442CBBF6">
      <w:pPr>
        <w:spacing w:line="276" w:lineRule="auto"/>
        <w:rPr>
          <w:rFonts w:ascii="Arial"/>
          <w:sz w:val="21"/>
        </w:rPr>
      </w:pPr>
    </w:p>
    <w:p w14:paraId="311165A9">
      <w:pPr>
        <w:pStyle w:val="2"/>
        <w:spacing w:before="157" w:line="220" w:lineRule="auto"/>
        <w:ind w:left="2143"/>
      </w:pPr>
      <w:r>
        <w:rPr>
          <w:b/>
          <w:bCs/>
          <w:spacing w:val="38"/>
        </w:rPr>
        <w:t>【考点12】建筑物、构筑物或者其他设施倒塌、塌陷致害责任</w:t>
      </w:r>
    </w:p>
    <w:p w14:paraId="1988FEA7">
      <w:pPr>
        <w:pStyle w:val="2"/>
        <w:spacing w:before="387"/>
        <w:ind w:left="2136"/>
      </w:pPr>
      <w:r>
        <w:rPr>
          <w:spacing w:val="3"/>
        </w:rPr>
        <w:t xml:space="preserve">【考点星级】 </w:t>
      </w:r>
      <w:r>
        <w:rPr>
          <w:position w:val="-8"/>
        </w:rPr>
        <w:drawing>
          <wp:inline distT="0" distB="0" distL="0" distR="0">
            <wp:extent cx="1025525" cy="36449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2"/>
                    <a:stretch>
                      <a:fillRect/>
                    </a:stretch>
                  </pic:blipFill>
                  <pic:spPr>
                    <a:xfrm>
                      <a:off x="0" y="0"/>
                      <a:ext cx="1026035" cy="365121"/>
                    </a:xfrm>
                    <a:prstGeom prst="rect">
                      <a:avLst/>
                    </a:prstGeom>
                  </pic:spPr>
                </pic:pic>
              </a:graphicData>
            </a:graphic>
          </wp:inline>
        </w:drawing>
      </w:r>
    </w:p>
    <w:p w14:paraId="267B0633">
      <w:pPr>
        <w:spacing w:line="268" w:lineRule="auto"/>
        <w:rPr>
          <w:rFonts w:ascii="Arial"/>
          <w:sz w:val="21"/>
        </w:rPr>
      </w:pPr>
    </w:p>
    <w:p w14:paraId="1E704BDF">
      <w:pPr>
        <w:pStyle w:val="2"/>
        <w:spacing w:before="156" w:line="220" w:lineRule="auto"/>
        <w:ind w:left="2136"/>
      </w:pPr>
      <w:r>
        <w:rPr>
          <w:spacing w:val="46"/>
        </w:rPr>
        <w:t>【考点分值】1-2分</w:t>
      </w:r>
    </w:p>
    <w:p w14:paraId="72E4DBCC">
      <w:pPr>
        <w:pStyle w:val="2"/>
        <w:spacing w:before="238" w:line="409" w:lineRule="auto"/>
        <w:ind w:left="2159" w:right="1921" w:firstLine="963"/>
        <w:jc w:val="both"/>
      </w:pPr>
      <w:r>
        <w:rPr>
          <w:spacing w:val="14"/>
        </w:rPr>
        <w:t>建筑物、构筑物或者其他设施倒塌、塌陷造成他人损害的，由建设单位与施工单</w:t>
      </w:r>
      <w:r>
        <w:t xml:space="preserve"> </w:t>
      </w:r>
      <w:r>
        <w:rPr>
          <w:spacing w:val="15"/>
        </w:rPr>
        <w:t>位承担连带责任，但是建设单位与施工单位能够</w:t>
      </w:r>
      <w:r>
        <w:rPr>
          <w:spacing w:val="14"/>
        </w:rPr>
        <w:t>证明不存在质量缺陷的除外。建设单</w:t>
      </w:r>
      <w:r>
        <w:t xml:space="preserve"> </w:t>
      </w:r>
      <w:r>
        <w:rPr>
          <w:spacing w:val="19"/>
        </w:rPr>
        <w:t>位、施工单位赔偿后，有其他责任人的，有权向其他责任人追偿。</w:t>
      </w:r>
    </w:p>
    <w:p w14:paraId="66945F2F">
      <w:pPr>
        <w:pStyle w:val="2"/>
        <w:spacing w:before="4" w:line="391" w:lineRule="auto"/>
        <w:ind w:left="2136" w:right="1747" w:firstLine="986"/>
        <w:jc w:val="both"/>
      </w:pPr>
      <w:r>
        <w:rPr>
          <w:spacing w:val="29"/>
        </w:rPr>
        <w:t>因所有人、管理人、使用人或者第三人的原</w:t>
      </w:r>
      <w:r>
        <w:rPr>
          <w:spacing w:val="28"/>
        </w:rPr>
        <w:t>因，建筑物、构筑物或者其他设施</w:t>
      </w:r>
      <w:r>
        <w:t xml:space="preserve"> </w:t>
      </w:r>
      <w:r>
        <w:rPr>
          <w:spacing w:val="20"/>
        </w:rPr>
        <w:t>倒塌、塌陷造成他人损害的，由所有人、管理人、使用人或者第三人承担</w:t>
      </w:r>
      <w:r>
        <w:rPr>
          <w:spacing w:val="19"/>
        </w:rPr>
        <w:t>侵权责任。</w:t>
      </w:r>
      <w:r>
        <w:t xml:space="preserve"> </w:t>
      </w:r>
      <w:r>
        <w:rPr>
          <w:spacing w:val="40"/>
        </w:rPr>
        <w:t>【考点来源】第一章第四节建设工程侵权责任制度</w:t>
      </w:r>
    </w:p>
    <w:p w14:paraId="3E6D7868">
      <w:pPr>
        <w:pStyle w:val="2"/>
        <w:spacing w:before="3" w:line="219" w:lineRule="auto"/>
        <w:ind w:left="2143"/>
      </w:pPr>
      <w:r>
        <w:rPr>
          <w:b/>
          <w:bCs/>
          <w:spacing w:val="42"/>
        </w:rPr>
        <w:t>【考点13】高空抛物</w:t>
      </w:r>
    </w:p>
    <w:p w14:paraId="2925A293">
      <w:pPr>
        <w:spacing w:line="253" w:lineRule="auto"/>
        <w:rPr>
          <w:rFonts w:ascii="Arial"/>
          <w:sz w:val="21"/>
        </w:rPr>
      </w:pPr>
    </w:p>
    <w:p w14:paraId="04423026">
      <w:pPr>
        <w:pStyle w:val="2"/>
        <w:spacing w:before="157" w:line="223" w:lineRule="auto"/>
        <w:ind w:left="2136"/>
      </w:pPr>
      <w:r>
        <w:rPr>
          <w:spacing w:val="1"/>
        </w:rPr>
        <w:t xml:space="preserve">【考点星级】 </w:t>
      </w:r>
      <w:r>
        <w:rPr>
          <w:position w:val="-11"/>
        </w:rPr>
        <w:drawing>
          <wp:inline distT="0" distB="0" distL="0" distR="0">
            <wp:extent cx="1035685" cy="34988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3"/>
                    <a:stretch>
                      <a:fillRect/>
                    </a:stretch>
                  </pic:blipFill>
                  <pic:spPr>
                    <a:xfrm>
                      <a:off x="0" y="0"/>
                      <a:ext cx="1035987" cy="350233"/>
                    </a:xfrm>
                    <a:prstGeom prst="rect">
                      <a:avLst/>
                    </a:prstGeom>
                  </pic:spPr>
                </pic:pic>
              </a:graphicData>
            </a:graphic>
          </wp:inline>
        </w:drawing>
      </w:r>
    </w:p>
    <w:p w14:paraId="56AC544A">
      <w:pPr>
        <w:spacing w:line="275" w:lineRule="auto"/>
        <w:rPr>
          <w:rFonts w:ascii="Arial"/>
          <w:sz w:val="21"/>
        </w:rPr>
      </w:pPr>
    </w:p>
    <w:p w14:paraId="14ACE957">
      <w:pPr>
        <w:pStyle w:val="2"/>
        <w:spacing w:before="156" w:line="220" w:lineRule="auto"/>
        <w:ind w:left="2136"/>
      </w:pPr>
      <w:r>
        <w:rPr>
          <w:spacing w:val="46"/>
        </w:rPr>
        <w:t>【考点分值】1-2分</w:t>
      </w:r>
    </w:p>
    <w:p w14:paraId="176AC338">
      <w:pPr>
        <w:pStyle w:val="2"/>
        <w:spacing w:before="368" w:line="410" w:lineRule="auto"/>
        <w:ind w:left="2159" w:right="1932" w:firstLine="963"/>
        <w:jc w:val="both"/>
        <w:rPr>
          <w:sz w:val="39"/>
          <w:szCs w:val="39"/>
        </w:rPr>
      </w:pPr>
      <w:r>
        <w:rPr>
          <w:spacing w:val="14"/>
        </w:rPr>
        <w:t>从建筑物中抛掷物品或者从建筑物上坠落的物品造成他人损害的，由</w:t>
      </w:r>
      <w:r>
        <w:rPr>
          <w:spacing w:val="13"/>
        </w:rPr>
        <w:t>侵权人依法</w:t>
      </w:r>
      <w:r>
        <w:t xml:space="preserve"> </w:t>
      </w:r>
      <w:r>
        <w:rPr>
          <w:spacing w:val="14"/>
        </w:rPr>
        <w:t>承担侵权责任；经调查难以确定具体侵权人的，除能够证明自己不是侵权人的外，由</w:t>
      </w:r>
      <w:r>
        <w:rPr>
          <w:spacing w:val="10"/>
        </w:rPr>
        <w:t xml:space="preserve"> </w:t>
      </w:r>
      <w:r>
        <w:rPr>
          <w:spacing w:val="13"/>
        </w:rPr>
        <w:t>可能加害的建筑物使用人给予补偿。可能加害的建筑物使用人补偿后，有权向侵权人</w:t>
      </w:r>
      <w:r>
        <w:rPr>
          <w:spacing w:val="11"/>
        </w:rPr>
        <w:t xml:space="preserve"> </w:t>
      </w:r>
      <w:r>
        <w:rPr>
          <w:spacing w:val="-6"/>
          <w:sz w:val="39"/>
          <w:szCs w:val="39"/>
        </w:rPr>
        <w:t>追</w:t>
      </w:r>
      <w:r>
        <w:rPr>
          <w:spacing w:val="-50"/>
          <w:sz w:val="39"/>
          <w:szCs w:val="39"/>
        </w:rPr>
        <w:t xml:space="preserve"> </w:t>
      </w:r>
      <w:r>
        <w:rPr>
          <w:spacing w:val="-6"/>
          <w:sz w:val="39"/>
          <w:szCs w:val="39"/>
        </w:rPr>
        <w:t>偿</w:t>
      </w:r>
      <w:r>
        <w:rPr>
          <w:spacing w:val="-62"/>
          <w:sz w:val="39"/>
          <w:szCs w:val="39"/>
        </w:rPr>
        <w:t xml:space="preserve"> </w:t>
      </w:r>
      <w:r>
        <w:rPr>
          <w:spacing w:val="-6"/>
          <w:sz w:val="39"/>
          <w:szCs w:val="39"/>
        </w:rPr>
        <w:t>。</w:t>
      </w:r>
    </w:p>
    <w:p w14:paraId="6FDD9D1E">
      <w:pPr>
        <w:pStyle w:val="2"/>
        <w:spacing w:before="67" w:line="219" w:lineRule="auto"/>
        <w:ind w:left="3123"/>
      </w:pPr>
      <w:r>
        <w:rPr>
          <w:spacing w:val="28"/>
        </w:rPr>
        <w:t>物业服务企业等建筑物管理人应当采取必要的安全保障措施防止上述情形的发</w:t>
      </w:r>
    </w:p>
    <w:p w14:paraId="2363BBD1">
      <w:pPr>
        <w:spacing w:line="275" w:lineRule="auto"/>
        <w:rPr>
          <w:rFonts w:ascii="Arial"/>
          <w:sz w:val="21"/>
        </w:rPr>
      </w:pPr>
    </w:p>
    <w:p w14:paraId="4226BA8D">
      <w:pPr>
        <w:spacing w:line="276" w:lineRule="auto"/>
        <w:rPr>
          <w:rFonts w:ascii="Arial"/>
          <w:sz w:val="21"/>
        </w:rPr>
      </w:pPr>
    </w:p>
    <w:p w14:paraId="05014C81">
      <w:pPr>
        <w:spacing w:line="276" w:lineRule="auto"/>
        <w:rPr>
          <w:rFonts w:ascii="Arial"/>
          <w:sz w:val="21"/>
        </w:rPr>
      </w:pPr>
      <w:r>
        <w:drawing>
          <wp:anchor distT="0" distB="0" distL="0" distR="0" simplePos="0" relativeHeight="251660288" behindDoc="0" locked="0" layoutInCell="1" allowOverlap="1">
            <wp:simplePos x="0" y="0"/>
            <wp:positionH relativeFrom="column">
              <wp:posOffset>12159615</wp:posOffset>
            </wp:positionH>
            <wp:positionV relativeFrom="paragraph">
              <wp:posOffset>78105</wp:posOffset>
            </wp:positionV>
            <wp:extent cx="720090" cy="54229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4"/>
                    <a:stretch>
                      <a:fillRect/>
                    </a:stretch>
                  </pic:blipFill>
                  <pic:spPr>
                    <a:xfrm>
                      <a:off x="0" y="0"/>
                      <a:ext cx="720229" cy="542550"/>
                    </a:xfrm>
                    <a:prstGeom prst="rect">
                      <a:avLst/>
                    </a:prstGeom>
                  </pic:spPr>
                </pic:pic>
              </a:graphicData>
            </a:graphic>
          </wp:anchor>
        </w:drawing>
      </w:r>
    </w:p>
    <w:p w14:paraId="6D2DCE7B">
      <w:pPr>
        <w:spacing w:line="276" w:lineRule="auto"/>
        <w:rPr>
          <w:rFonts w:ascii="Arial"/>
          <w:sz w:val="21"/>
        </w:rPr>
      </w:pPr>
    </w:p>
    <w:p w14:paraId="6046627F">
      <w:pPr>
        <w:pStyle w:val="2"/>
        <w:spacing w:before="112" w:line="218" w:lineRule="auto"/>
        <w:ind w:left="6579"/>
        <w:rPr>
          <w:rFonts w:ascii="Arial" w:hAnsi="Arial" w:eastAsia="Arial" w:cs="Arial"/>
          <w:sz w:val="34"/>
          <w:szCs w:val="34"/>
        </w:rPr>
      </w:pPr>
      <w:r>
        <w:drawing>
          <wp:anchor distT="0" distB="0" distL="0" distR="0" simplePos="0" relativeHeight="251661312" behindDoc="0" locked="0" layoutInCell="1" allowOverlap="1">
            <wp:simplePos x="0" y="0"/>
            <wp:positionH relativeFrom="column">
              <wp:posOffset>1370965</wp:posOffset>
            </wp:positionH>
            <wp:positionV relativeFrom="paragraph">
              <wp:posOffset>296545</wp:posOffset>
            </wp:positionV>
            <wp:extent cx="11165205" cy="1079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5"/>
                    <a:stretch>
                      <a:fillRect/>
                    </a:stretch>
                  </pic:blipFill>
                  <pic:spPr>
                    <a:xfrm>
                      <a:off x="0" y="0"/>
                      <a:ext cx="11165290" cy="11099"/>
                    </a:xfrm>
                    <a:prstGeom prst="rect">
                      <a:avLst/>
                    </a:prstGeom>
                  </pic:spPr>
                </pic:pic>
              </a:graphicData>
            </a:graphic>
          </wp:anchor>
        </w:drawing>
      </w:r>
      <w:r>
        <w:rPr>
          <w:spacing w:val="-10"/>
          <w:sz w:val="34"/>
          <w:szCs w:val="34"/>
        </w:rPr>
        <w:t>官</w:t>
      </w:r>
      <w:r>
        <w:rPr>
          <w:spacing w:val="138"/>
          <w:sz w:val="34"/>
          <w:szCs w:val="34"/>
        </w:rPr>
        <w:t xml:space="preserve"> </w:t>
      </w:r>
      <w:r>
        <w:rPr>
          <w:spacing w:val="-10"/>
          <w:sz w:val="34"/>
          <w:szCs w:val="34"/>
        </w:rPr>
        <w:t>方  网</w:t>
      </w:r>
      <w:r>
        <w:rPr>
          <w:spacing w:val="139"/>
          <w:sz w:val="34"/>
          <w:szCs w:val="34"/>
        </w:rPr>
        <w:t xml:space="preserve"> </w:t>
      </w:r>
      <w:r>
        <w:rPr>
          <w:spacing w:val="-10"/>
          <w:sz w:val="34"/>
          <w:szCs w:val="34"/>
        </w:rPr>
        <w:t>站  ：</w:t>
      </w:r>
      <w:r>
        <w:fldChar w:fldCharType="begin"/>
      </w:r>
      <w:r>
        <w:instrText xml:space="preserve"> HYPERLINK "https://www.youlu.com" </w:instrText>
      </w:r>
      <w:r>
        <w:fldChar w:fldCharType="separate"/>
      </w:r>
      <w:r>
        <w:rPr>
          <w:rFonts w:ascii="Arial" w:hAnsi="Arial" w:eastAsia="Arial" w:cs="Arial"/>
          <w:spacing w:val="-10"/>
          <w:sz w:val="34"/>
          <w:szCs w:val="34"/>
        </w:rPr>
        <w:t>w</w:t>
      </w:r>
      <w:r>
        <w:rPr>
          <w:rFonts w:ascii="Arial" w:hAnsi="Arial" w:eastAsia="Arial" w:cs="Arial"/>
          <w:spacing w:val="3"/>
          <w:sz w:val="34"/>
          <w:szCs w:val="34"/>
        </w:rPr>
        <w:t xml:space="preserve">   </w:t>
      </w:r>
      <w:r>
        <w:rPr>
          <w:rFonts w:ascii="Arial" w:hAnsi="Arial" w:eastAsia="Arial" w:cs="Arial"/>
          <w:spacing w:val="-10"/>
          <w:sz w:val="34"/>
          <w:szCs w:val="34"/>
        </w:rPr>
        <w:t>w</w:t>
      </w:r>
      <w:r>
        <w:rPr>
          <w:rFonts w:ascii="Arial" w:hAnsi="Arial" w:eastAsia="Arial" w:cs="Arial"/>
          <w:spacing w:val="4"/>
          <w:sz w:val="34"/>
          <w:szCs w:val="34"/>
        </w:rPr>
        <w:t xml:space="preserve">   </w:t>
      </w:r>
      <w:r>
        <w:rPr>
          <w:rFonts w:ascii="Arial" w:hAnsi="Arial" w:eastAsia="Arial" w:cs="Arial"/>
          <w:spacing w:val="-10"/>
          <w:sz w:val="34"/>
          <w:szCs w:val="34"/>
        </w:rPr>
        <w:t>w</w:t>
      </w:r>
      <w:r>
        <w:rPr>
          <w:rFonts w:ascii="Arial" w:hAnsi="Arial" w:eastAsia="Arial" w:cs="Arial"/>
          <w:spacing w:val="14"/>
          <w:sz w:val="34"/>
          <w:szCs w:val="34"/>
        </w:rPr>
        <w:t xml:space="preserve">   </w:t>
      </w:r>
      <w:r>
        <w:rPr>
          <w:rFonts w:ascii="Arial" w:hAnsi="Arial" w:eastAsia="Arial" w:cs="Arial"/>
          <w:spacing w:val="-10"/>
          <w:sz w:val="34"/>
          <w:szCs w:val="34"/>
        </w:rPr>
        <w:t>.</w:t>
      </w:r>
      <w:r>
        <w:rPr>
          <w:rFonts w:ascii="Arial" w:hAnsi="Arial" w:eastAsia="Arial" w:cs="Arial"/>
          <w:spacing w:val="6"/>
          <w:sz w:val="34"/>
          <w:szCs w:val="34"/>
        </w:rPr>
        <w:t xml:space="preserve"> </w:t>
      </w:r>
      <w:r>
        <w:rPr>
          <w:rFonts w:hint="eastAsia" w:ascii="Arial" w:hAnsi="Arial" w:cs="Arial"/>
          <w:spacing w:val="6"/>
          <w:sz w:val="34"/>
          <w:szCs w:val="34"/>
          <w:lang w:eastAsia="zh-CN"/>
        </w:rPr>
        <w:t>dayu.nm.cn</w:t>
      </w:r>
      <w:r>
        <w:rPr>
          <w:rFonts w:ascii="Arial" w:hAnsi="Arial" w:eastAsia="Arial" w:cs="Arial"/>
          <w:spacing w:val="-10"/>
          <w:sz w:val="34"/>
          <w:szCs w:val="34"/>
        </w:rPr>
        <w:fldChar w:fldCharType="end"/>
      </w:r>
    </w:p>
    <w:p w14:paraId="718A5DDA">
      <w:pPr>
        <w:spacing w:line="281" w:lineRule="auto"/>
        <w:rPr>
          <w:rFonts w:ascii="Arial"/>
          <w:sz w:val="21"/>
        </w:rPr>
      </w:pPr>
    </w:p>
    <w:p w14:paraId="23D552C9">
      <w:pPr>
        <w:spacing w:line="281" w:lineRule="auto"/>
        <w:rPr>
          <w:rFonts w:ascii="Arial"/>
          <w:sz w:val="21"/>
        </w:rPr>
      </w:pPr>
    </w:p>
    <w:p w14:paraId="074DBD88">
      <w:pPr>
        <w:spacing w:line="282" w:lineRule="auto"/>
        <w:rPr>
          <w:rFonts w:ascii="Arial"/>
          <w:sz w:val="21"/>
        </w:rPr>
      </w:pPr>
    </w:p>
    <w:p w14:paraId="0B83F2D0">
      <w:pPr>
        <w:spacing w:line="282" w:lineRule="auto"/>
        <w:rPr>
          <w:rFonts w:ascii="Arial"/>
          <w:sz w:val="21"/>
        </w:rPr>
      </w:pPr>
    </w:p>
    <w:p w14:paraId="4082385A">
      <w:pPr>
        <w:spacing w:before="156" w:line="213" w:lineRule="auto"/>
        <w:ind w:left="573"/>
        <w:rPr>
          <w:rFonts w:hint="eastAsia" w:ascii="Times New Roman" w:hAnsi="Times New Roman" w:eastAsia="黑体" w:cs="Times New Roman"/>
          <w:sz w:val="48"/>
          <w:szCs w:val="48"/>
          <w:lang w:eastAsia="zh-CN"/>
        </w:rPr>
      </w:pPr>
      <w:r>
        <w:rPr>
          <w:rFonts w:ascii="黑体" w:hAnsi="黑体" w:eastAsia="黑体" w:cs="黑体"/>
          <w:b/>
          <w:bCs/>
          <w:spacing w:val="8"/>
          <w:sz w:val="48"/>
          <w:szCs w:val="48"/>
        </w:rPr>
        <w:t>名师面授精华、央企内训、考点串讲、习题模考、考前三页纸、绝密押题联系</w:t>
      </w:r>
      <w:r>
        <w:rPr>
          <w:rFonts w:ascii="Times New Roman" w:hAnsi="Times New Roman" w:eastAsia="Times New Roman" w:cs="Times New Roman"/>
          <w:b/>
          <w:bCs/>
          <w:sz w:val="48"/>
          <w:szCs w:val="48"/>
        </w:rPr>
        <w:t>QQ</w:t>
      </w:r>
      <w:r>
        <w:rPr>
          <w:rFonts w:ascii="Times New Roman" w:hAnsi="Times New Roman" w:eastAsia="Times New Roman" w:cs="Times New Roman"/>
          <w:b/>
          <w:bCs/>
          <w:spacing w:val="8"/>
          <w:sz w:val="48"/>
          <w:szCs w:val="48"/>
        </w:rPr>
        <w:t>/</w:t>
      </w:r>
      <w:r>
        <w:rPr>
          <w:rFonts w:ascii="黑体" w:hAnsi="黑体" w:eastAsia="黑体" w:cs="黑体"/>
          <w:b/>
          <w:bCs/>
          <w:spacing w:val="8"/>
          <w:sz w:val="48"/>
          <w:szCs w:val="48"/>
        </w:rPr>
        <w:t>微信：</w:t>
      </w:r>
      <w:r>
        <w:rPr>
          <w:rFonts w:hint="eastAsia" w:ascii="黑体" w:hAnsi="黑体" w:eastAsia="黑体" w:cs="黑体"/>
          <w:b/>
          <w:bCs/>
          <w:spacing w:val="8"/>
          <w:sz w:val="48"/>
          <w:szCs w:val="48"/>
          <w:lang w:eastAsia="zh-CN"/>
        </w:rPr>
        <w:t>dayu_nm_cn</w:t>
      </w:r>
    </w:p>
    <w:p w14:paraId="01604212">
      <w:pPr>
        <w:spacing w:line="213" w:lineRule="auto"/>
        <w:rPr>
          <w:rFonts w:ascii="Times New Roman" w:hAnsi="Times New Roman" w:eastAsia="Times New Roman" w:cs="Times New Roman"/>
          <w:sz w:val="48"/>
          <w:szCs w:val="48"/>
        </w:rPr>
        <w:sectPr>
          <w:headerReference r:id="rId5" w:type="default"/>
          <w:pgSz w:w="22389" w:h="31681"/>
          <w:pgMar w:top="1" w:right="7" w:bottom="0" w:left="0" w:header="0" w:footer="0" w:gutter="0"/>
          <w:cols w:space="720" w:num="1"/>
        </w:sectPr>
      </w:pPr>
    </w:p>
    <w:p w14:paraId="29609740">
      <w:pPr>
        <w:spacing w:before="2" w:line="212" w:lineRule="auto"/>
        <w:ind w:left="1226"/>
        <w:outlineLvl w:val="0"/>
        <w:rPr>
          <w:rFonts w:hint="eastAsia" w:ascii="黑体" w:hAnsi="黑体" w:eastAsia="黑体" w:cs="黑体"/>
          <w:sz w:val="48"/>
          <w:szCs w:val="48"/>
          <w:lang w:eastAsia="zh-CN"/>
        </w:rPr>
      </w:pPr>
      <w:r>
        <w:rPr>
          <w:rFonts w:ascii="黑体" w:hAnsi="黑体" w:eastAsia="黑体" w:cs="黑体"/>
          <w:b/>
          <w:bCs/>
          <w:spacing w:val="-20"/>
          <w:sz w:val="48"/>
          <w:szCs w:val="48"/>
        </w:rPr>
        <w:t>二建、监理、一建、一造、二造、安全、消防、咨询、检测课程押题联系</w:t>
      </w:r>
      <w:r>
        <w:rPr>
          <w:rFonts w:ascii="Times New Roman" w:hAnsi="Times New Roman" w:eastAsia="Times New Roman" w:cs="Times New Roman"/>
          <w:b/>
          <w:bCs/>
          <w:spacing w:val="-20"/>
          <w:sz w:val="48"/>
          <w:szCs w:val="48"/>
        </w:rPr>
        <w:t>QQ/</w:t>
      </w:r>
      <w:r>
        <w:rPr>
          <w:rFonts w:ascii="黑体" w:hAnsi="黑体" w:eastAsia="黑体" w:cs="黑体"/>
          <w:b/>
          <w:bCs/>
          <w:spacing w:val="-20"/>
          <w:sz w:val="48"/>
          <w:szCs w:val="48"/>
        </w:rPr>
        <w:t>微信：</w:t>
      </w:r>
      <w:r>
        <w:rPr>
          <w:rFonts w:hint="eastAsia" w:ascii="黑体" w:hAnsi="黑体" w:eastAsia="黑体" w:cs="黑体"/>
          <w:b/>
          <w:bCs/>
          <w:spacing w:val="-20"/>
          <w:sz w:val="48"/>
          <w:szCs w:val="48"/>
          <w:lang w:eastAsia="zh-CN"/>
        </w:rPr>
        <w:t>dayu_nm_cn</w:t>
      </w:r>
    </w:p>
    <w:p w14:paraId="30E778BB">
      <w:pPr>
        <w:spacing w:line="340" w:lineRule="auto"/>
        <w:rPr>
          <w:rFonts w:ascii="Arial"/>
          <w:sz w:val="21"/>
        </w:rPr>
      </w:pPr>
    </w:p>
    <w:p w14:paraId="66868C41">
      <w:pPr>
        <w:spacing w:line="340" w:lineRule="auto"/>
        <w:rPr>
          <w:rFonts w:ascii="Arial"/>
          <w:sz w:val="21"/>
        </w:rPr>
      </w:pPr>
    </w:p>
    <w:p w14:paraId="1FD822B5">
      <w:pPr>
        <w:pStyle w:val="2"/>
        <w:spacing w:before="198" w:line="224" w:lineRule="auto"/>
        <w:ind w:left="2168"/>
        <w:rPr>
          <w:rFonts w:hint="eastAsia" w:ascii="黑体" w:hAnsi="黑体" w:eastAsia="宋体" w:cs="黑体"/>
          <w:sz w:val="61"/>
          <w:szCs w:val="61"/>
          <w:lang w:eastAsia="zh-CN"/>
        </w:rPr>
      </w:pPr>
      <w:r>
        <w:drawing>
          <wp:anchor distT="0" distB="0" distL="0" distR="0" simplePos="0" relativeHeight="251662336" behindDoc="1" locked="0" layoutInCell="1" allowOverlap="1">
            <wp:simplePos x="0" y="0"/>
            <wp:positionH relativeFrom="column">
              <wp:posOffset>0</wp:posOffset>
            </wp:positionH>
            <wp:positionV relativeFrom="paragraph">
              <wp:posOffset>-398145</wp:posOffset>
            </wp:positionV>
            <wp:extent cx="1647825" cy="1652905"/>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6"/>
                    <a:stretch>
                      <a:fillRect/>
                    </a:stretch>
                  </pic:blipFill>
                  <pic:spPr>
                    <a:xfrm>
                      <a:off x="0" y="0"/>
                      <a:ext cx="1647599" cy="1652593"/>
                    </a:xfrm>
                    <a:prstGeom prst="rect">
                      <a:avLst/>
                    </a:prstGeom>
                  </pic:spPr>
                </pic:pic>
              </a:graphicData>
            </a:graphic>
          </wp:anchor>
        </w:drawing>
      </w:r>
    </w:p>
    <w:p w14:paraId="4A686F1B">
      <w:pPr>
        <w:spacing w:before="72" w:line="23" w:lineRule="exact"/>
        <w:ind w:firstLine="2136"/>
      </w:pPr>
      <w:r>
        <w:drawing>
          <wp:inline distT="0" distB="0" distL="0" distR="0">
            <wp:extent cx="11705590" cy="1460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1"/>
                    <a:stretch>
                      <a:fillRect/>
                    </a:stretch>
                  </pic:blipFill>
                  <pic:spPr>
                    <a:xfrm>
                      <a:off x="0" y="0"/>
                      <a:ext cx="11706075" cy="14887"/>
                    </a:xfrm>
                    <a:prstGeom prst="rect">
                      <a:avLst/>
                    </a:prstGeom>
                  </pic:spPr>
                </pic:pic>
              </a:graphicData>
            </a:graphic>
          </wp:inline>
        </w:drawing>
      </w:r>
    </w:p>
    <w:p w14:paraId="0280F629">
      <w:pPr>
        <w:spacing w:line="302" w:lineRule="auto"/>
        <w:rPr>
          <w:rFonts w:ascii="Arial"/>
          <w:sz w:val="21"/>
        </w:rPr>
      </w:pPr>
    </w:p>
    <w:p w14:paraId="3612E7C9">
      <w:pPr>
        <w:spacing w:line="303" w:lineRule="auto"/>
        <w:rPr>
          <w:rFonts w:ascii="Arial"/>
          <w:sz w:val="21"/>
        </w:rPr>
      </w:pPr>
    </w:p>
    <w:p w14:paraId="119D9C8E">
      <w:pPr>
        <w:pStyle w:val="2"/>
        <w:spacing w:before="156" w:line="381" w:lineRule="auto"/>
        <w:ind w:left="2136" w:right="2206" w:firstLine="23"/>
      </w:pPr>
      <w:r>
        <w:rPr>
          <w:spacing w:val="7"/>
        </w:rPr>
        <w:t>生；未采取必要的安全保障措施的，应当依法承担未履行安全保障义务</w:t>
      </w:r>
      <w:r>
        <w:rPr>
          <w:spacing w:val="6"/>
        </w:rPr>
        <w:t>的侵权责任。</w:t>
      </w:r>
      <w:r>
        <w:t xml:space="preserve"> </w:t>
      </w:r>
      <w:r>
        <w:rPr>
          <w:spacing w:val="38"/>
        </w:rPr>
        <w:t>【考点来源】第一章第四节建设工程侵权责任制度</w:t>
      </w:r>
    </w:p>
    <w:p w14:paraId="059151E3">
      <w:pPr>
        <w:pStyle w:val="2"/>
        <w:spacing w:before="2" w:line="219" w:lineRule="auto"/>
        <w:ind w:left="2143"/>
      </w:pPr>
      <w:r>
        <w:rPr>
          <w:b/>
          <w:bCs/>
          <w:spacing w:val="40"/>
        </w:rPr>
        <w:t>【考点14】增值税应纳税额的计算</w:t>
      </w:r>
    </w:p>
    <w:p w14:paraId="721C6E90">
      <w:pPr>
        <w:spacing w:line="300" w:lineRule="auto"/>
        <w:rPr>
          <w:rFonts w:ascii="Arial"/>
          <w:sz w:val="21"/>
        </w:rPr>
      </w:pPr>
    </w:p>
    <w:p w14:paraId="6A195288">
      <w:pPr>
        <w:pStyle w:val="2"/>
        <w:spacing w:before="157" w:line="387" w:lineRule="auto"/>
        <w:ind w:left="2136" w:right="15583"/>
      </w:pPr>
      <w:r>
        <w:rPr>
          <w:spacing w:val="37"/>
        </w:rPr>
        <w:t>【考点星级】★★★</w:t>
      </w:r>
      <w:r>
        <w:rPr>
          <w:spacing w:val="7"/>
        </w:rPr>
        <w:t xml:space="preserve"> </w:t>
      </w:r>
      <w:r>
        <w:rPr>
          <w:spacing w:val="44"/>
        </w:rPr>
        <w:t>【考点分值】102分</w:t>
      </w:r>
      <w:bookmarkStart w:id="0" w:name="_GoBack"/>
      <w:bookmarkEnd w:id="0"/>
    </w:p>
    <w:p w14:paraId="024C7193">
      <w:pPr>
        <w:pStyle w:val="2"/>
        <w:spacing w:before="2" w:line="302" w:lineRule="auto"/>
        <w:ind w:left="2159" w:right="2097" w:firstLine="963"/>
      </w:pPr>
      <w:r>
        <w:rPr>
          <w:spacing w:val="10"/>
        </w:rPr>
        <w:t>1.一般纳税人可以领购和自行开具增值税专用发票，采用抵扣法缴纳增值税</w:t>
      </w:r>
      <w:r>
        <w:rPr>
          <w:spacing w:val="9"/>
        </w:rPr>
        <w:t>款；</w:t>
      </w:r>
      <w:r>
        <w:t xml:space="preserve"> </w:t>
      </w:r>
      <w:r>
        <w:rPr>
          <w:spacing w:val="6"/>
        </w:rPr>
        <w:t>而小规模纳税人缴纳增值税款只能采取简易方法，不能采用抵扣法。</w:t>
      </w:r>
    </w:p>
    <w:p w14:paraId="195A80B8">
      <w:pPr>
        <w:spacing w:line="283" w:lineRule="auto"/>
        <w:rPr>
          <w:rFonts w:ascii="Arial"/>
          <w:sz w:val="21"/>
        </w:rPr>
      </w:pPr>
    </w:p>
    <w:p w14:paraId="51F9BE9D">
      <w:pPr>
        <w:pStyle w:val="2"/>
        <w:spacing w:before="156" w:line="220" w:lineRule="auto"/>
        <w:ind w:left="3123"/>
      </w:pPr>
      <w:r>
        <w:rPr>
          <w:spacing w:val="7"/>
        </w:rPr>
        <w:t>2.一般纳税人应纳税额计算公式：应纳税额=</w:t>
      </w:r>
      <w:r>
        <w:rPr>
          <w:spacing w:val="6"/>
        </w:rPr>
        <w:t>当期销项税额-当期进项税额。</w:t>
      </w:r>
    </w:p>
    <w:p w14:paraId="445C70E3">
      <w:pPr>
        <w:spacing w:line="295" w:lineRule="auto"/>
        <w:rPr>
          <w:rFonts w:ascii="Arial"/>
          <w:sz w:val="21"/>
        </w:rPr>
      </w:pPr>
    </w:p>
    <w:p w14:paraId="5E16DC2D">
      <w:pPr>
        <w:pStyle w:val="2"/>
        <w:spacing w:before="157" w:line="220" w:lineRule="auto"/>
        <w:ind w:left="3123"/>
      </w:pPr>
      <w:r>
        <w:rPr>
          <w:spacing w:val="4"/>
        </w:rPr>
        <w:t>当期销项税额小于当期进项税额不足抵扣时，其不足部分可以结转下期继续抵扣。</w:t>
      </w:r>
    </w:p>
    <w:p w14:paraId="0F066D61">
      <w:pPr>
        <w:spacing w:line="280" w:lineRule="auto"/>
        <w:rPr>
          <w:rFonts w:ascii="Arial"/>
          <w:sz w:val="21"/>
        </w:rPr>
      </w:pPr>
    </w:p>
    <w:p w14:paraId="3012DFC4">
      <w:pPr>
        <w:pStyle w:val="2"/>
        <w:spacing w:before="157" w:line="385" w:lineRule="auto"/>
        <w:ind w:left="2159" w:right="1949" w:firstLine="963"/>
      </w:pPr>
      <w:r>
        <w:rPr>
          <w:spacing w:val="14"/>
        </w:rPr>
        <w:t>一般纳税人兼营不同税率的项目，应当分别核算不同税率项目的销售额；未分别</w:t>
      </w:r>
      <w:r>
        <w:rPr>
          <w:spacing w:val="17"/>
        </w:rPr>
        <w:t xml:space="preserve"> </w:t>
      </w:r>
      <w:r>
        <w:rPr>
          <w:spacing w:val="4"/>
        </w:rPr>
        <w:t>核算销售额的，从高适用税率。</w:t>
      </w:r>
    </w:p>
    <w:p w14:paraId="538110DD">
      <w:pPr>
        <w:pStyle w:val="2"/>
        <w:spacing w:line="219" w:lineRule="auto"/>
        <w:ind w:left="2136"/>
      </w:pPr>
      <w:r>
        <w:rPr>
          <w:spacing w:val="29"/>
        </w:rPr>
        <w:t>【考点来源】第一章第五节建设工程税收制度</w:t>
      </w:r>
    </w:p>
    <w:p w14:paraId="013EB71F">
      <w:pPr>
        <w:spacing w:line="276" w:lineRule="auto"/>
        <w:rPr>
          <w:rFonts w:ascii="Arial"/>
          <w:sz w:val="21"/>
        </w:rPr>
      </w:pPr>
    </w:p>
    <w:p w14:paraId="37DE9843">
      <w:pPr>
        <w:pStyle w:val="2"/>
        <w:spacing w:before="157" w:line="220" w:lineRule="auto"/>
        <w:ind w:left="2143"/>
      </w:pPr>
      <w:r>
        <w:rPr>
          <w:b/>
          <w:bCs/>
          <w:spacing w:val="36"/>
        </w:rPr>
        <w:t>【考点15】增值税进项税额不得从销项税额中抵扣的项目</w:t>
      </w:r>
    </w:p>
    <w:p w14:paraId="351258C7">
      <w:pPr>
        <w:spacing w:line="304" w:lineRule="auto"/>
        <w:rPr>
          <w:rFonts w:ascii="Arial"/>
          <w:sz w:val="21"/>
        </w:rPr>
      </w:pPr>
    </w:p>
    <w:p w14:paraId="659E9685">
      <w:pPr>
        <w:pStyle w:val="2"/>
        <w:spacing w:before="157" w:line="381" w:lineRule="auto"/>
        <w:ind w:left="2136" w:right="15583"/>
      </w:pPr>
      <w:r>
        <w:rPr>
          <w:spacing w:val="37"/>
        </w:rPr>
        <w:t>【考点星级】★★★</w:t>
      </w:r>
      <w:r>
        <w:rPr>
          <w:spacing w:val="7"/>
        </w:rPr>
        <w:t xml:space="preserve"> </w:t>
      </w:r>
      <w:r>
        <w:rPr>
          <w:spacing w:val="46"/>
        </w:rPr>
        <w:t>【考点分值】1-2分</w:t>
      </w:r>
    </w:p>
    <w:p w14:paraId="4E7BC733">
      <w:pPr>
        <w:pStyle w:val="2"/>
        <w:spacing w:before="29" w:line="391" w:lineRule="auto"/>
        <w:ind w:left="2159" w:right="1832" w:firstLine="963"/>
      </w:pPr>
      <w:r>
        <w:rPr>
          <w:spacing w:val="7"/>
        </w:rPr>
        <w:t>下列项目的进项税额不得从销项税额中抵扣。(1)用于简易</w:t>
      </w:r>
      <w:r>
        <w:rPr>
          <w:spacing w:val="6"/>
        </w:rPr>
        <w:t>计税方法计税项目、免</w:t>
      </w:r>
      <w:r>
        <w:t xml:space="preserve"> </w:t>
      </w:r>
      <w:r>
        <w:rPr>
          <w:spacing w:val="4"/>
        </w:rPr>
        <w:t>征增值税项目、集体福利或者个人消费的购进货物、劳务、服务、无形资</w:t>
      </w:r>
      <w:r>
        <w:rPr>
          <w:spacing w:val="3"/>
        </w:rPr>
        <w:t>产和不动产；</w:t>
      </w:r>
    </w:p>
    <w:p w14:paraId="6E2E4BCA">
      <w:pPr>
        <w:pStyle w:val="2"/>
        <w:spacing w:before="1" w:line="389" w:lineRule="auto"/>
        <w:ind w:left="2159" w:right="1958" w:firstLine="85"/>
        <w:jc w:val="both"/>
      </w:pPr>
      <w:r>
        <w:rPr>
          <w:spacing w:val="10"/>
        </w:rPr>
        <w:t>(2)非正常损失的购进货物，以及相关的劳务和交通运输服务；(3)非正常损失的在产</w:t>
      </w:r>
      <w:r>
        <w:rPr>
          <w:spacing w:val="16"/>
        </w:rPr>
        <w:t xml:space="preserve"> </w:t>
      </w:r>
      <w:r>
        <w:rPr>
          <w:spacing w:val="6"/>
        </w:rPr>
        <w:t>品、产成品所耗用的购进货物(不包括固定资产)、劳务和交通运输服务；(4)国务院规</w:t>
      </w:r>
      <w:r>
        <w:rPr>
          <w:spacing w:val="12"/>
        </w:rPr>
        <w:t xml:space="preserve"> </w:t>
      </w:r>
      <w:r>
        <w:rPr>
          <w:spacing w:val="1"/>
        </w:rPr>
        <w:t>定的其他项目。</w:t>
      </w:r>
    </w:p>
    <w:p w14:paraId="5262458A">
      <w:pPr>
        <w:pStyle w:val="2"/>
        <w:spacing w:before="158" w:line="219" w:lineRule="auto"/>
        <w:ind w:left="2136"/>
      </w:pPr>
      <w:r>
        <w:rPr>
          <w:spacing w:val="29"/>
        </w:rPr>
        <w:t>【考点来源】第一章第五黄建设工程税收制度</w:t>
      </w:r>
    </w:p>
    <w:p w14:paraId="7F5994BE">
      <w:pPr>
        <w:pStyle w:val="2"/>
        <w:spacing w:before="280" w:line="220" w:lineRule="auto"/>
        <w:ind w:left="2143"/>
      </w:pPr>
      <w:r>
        <w:rPr>
          <w:b/>
          <w:bCs/>
          <w:spacing w:val="37"/>
        </w:rPr>
        <w:t>【考点16】免征增值税项目</w:t>
      </w:r>
    </w:p>
    <w:p w14:paraId="44CF0455">
      <w:pPr>
        <w:spacing w:line="243" w:lineRule="auto"/>
        <w:rPr>
          <w:rFonts w:ascii="Arial"/>
          <w:sz w:val="21"/>
        </w:rPr>
      </w:pPr>
    </w:p>
    <w:p w14:paraId="39E7583A">
      <w:pPr>
        <w:pStyle w:val="2"/>
        <w:spacing w:before="156" w:line="220" w:lineRule="auto"/>
        <w:ind w:left="2136"/>
      </w:pPr>
      <w:r>
        <w:rPr>
          <w:spacing w:val="10"/>
        </w:rPr>
        <w:t>【考点星</w:t>
      </w:r>
      <w:r>
        <w:rPr>
          <w:b/>
          <w:bCs/>
          <w:spacing w:val="10"/>
        </w:rPr>
        <w:t>级</w:t>
      </w:r>
      <w:r>
        <w:rPr>
          <w:spacing w:val="-45"/>
        </w:rPr>
        <w:t xml:space="preserve"> </w:t>
      </w:r>
      <w:r>
        <w:rPr>
          <w:b/>
          <w:bCs/>
          <w:spacing w:val="10"/>
        </w:rPr>
        <w:t>】</w:t>
      </w:r>
      <w:r>
        <w:rPr>
          <w:position w:val="-12"/>
        </w:rPr>
        <w:drawing>
          <wp:inline distT="0" distB="0" distL="0" distR="0">
            <wp:extent cx="1010920" cy="34988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7"/>
                    <a:stretch>
                      <a:fillRect/>
                    </a:stretch>
                  </pic:blipFill>
                  <pic:spPr>
                    <a:xfrm>
                      <a:off x="0" y="0"/>
                      <a:ext cx="1011250" cy="350233"/>
                    </a:xfrm>
                    <a:prstGeom prst="rect">
                      <a:avLst/>
                    </a:prstGeom>
                  </pic:spPr>
                </pic:pic>
              </a:graphicData>
            </a:graphic>
          </wp:inline>
        </w:drawing>
      </w:r>
    </w:p>
    <w:p w14:paraId="223095E3">
      <w:pPr>
        <w:spacing w:line="307" w:lineRule="auto"/>
        <w:rPr>
          <w:rFonts w:ascii="Arial"/>
          <w:sz w:val="21"/>
        </w:rPr>
      </w:pPr>
    </w:p>
    <w:p w14:paraId="1006FFBC">
      <w:pPr>
        <w:pStyle w:val="2"/>
        <w:spacing w:before="157" w:line="220" w:lineRule="auto"/>
        <w:ind w:left="2136"/>
      </w:pPr>
      <w:r>
        <w:rPr>
          <w:spacing w:val="46"/>
        </w:rPr>
        <w:t>【考点分值】1-2分</w:t>
      </w:r>
    </w:p>
    <w:p w14:paraId="47EFFEB9">
      <w:pPr>
        <w:spacing w:line="303" w:lineRule="auto"/>
        <w:rPr>
          <w:rFonts w:ascii="Arial"/>
          <w:sz w:val="21"/>
        </w:rPr>
      </w:pPr>
    </w:p>
    <w:p w14:paraId="1DDB57C2">
      <w:pPr>
        <w:pStyle w:val="2"/>
        <w:spacing w:before="157" w:line="220" w:lineRule="auto"/>
        <w:ind w:left="3123"/>
      </w:pPr>
      <w:r>
        <w:rPr>
          <w:spacing w:val="16"/>
        </w:rPr>
        <w:t>下列项目免征增值税：(1)农业生产者销售的自产农产品；(2)避孕药品和用具；</w:t>
      </w:r>
    </w:p>
    <w:p w14:paraId="5E2FFE51">
      <w:pPr>
        <w:spacing w:line="220" w:lineRule="auto"/>
        <w:sectPr>
          <w:footerReference r:id="rId6" w:type="default"/>
          <w:pgSz w:w="22389" w:h="31681"/>
          <w:pgMar w:top="152" w:right="7" w:bottom="3021" w:left="0" w:header="0" w:footer="234" w:gutter="0"/>
          <w:cols w:space="720" w:num="1"/>
        </w:sectPr>
      </w:pPr>
    </w:p>
    <w:p w14:paraId="63160914">
      <w:pPr>
        <w:jc w:val="right"/>
        <w:outlineLvl w:val="6"/>
        <w:rPr>
          <w:sz w:val="50"/>
          <w:szCs w:val="50"/>
        </w:rPr>
      </w:pPr>
      <w:r>
        <w:pict>
          <v:shape id="_x0000_s1026" o:spid="_x0000_s1026" o:spt="202" type="#_x0000_t202" style="position:absolute;left:0pt;margin-left:107.4pt;margin-top:78.3pt;height:42.95pt;width:916.75pt;z-index:-251652096;mso-width-relative:page;mso-height-relative:page;" filled="f" stroked="f" coordsize="21600,21600">
            <v:path/>
            <v:fill on="f" focussize="0,0"/>
            <v:stroke on="f"/>
            <v:imagedata o:title=""/>
            <o:lock v:ext="edit" aspectratio="f"/>
            <v:textbox inset="0mm,0mm,0mm,0mm">
              <w:txbxContent>
                <w:p w14:paraId="028C0C75">
                  <w:pPr>
                    <w:pStyle w:val="2"/>
                    <w:spacing w:before="20" w:line="224" w:lineRule="auto"/>
                    <w:ind w:left="20"/>
                    <w:rPr>
                      <w:sz w:val="50"/>
                      <w:szCs w:val="50"/>
                    </w:rPr>
                  </w:pPr>
                  <w:r>
                    <w:rPr>
                      <w:rFonts w:ascii="黑体" w:hAnsi="黑体" w:eastAsia="黑体" w:cs="黑体"/>
                      <w:color w:val="D02030"/>
                      <w:spacing w:val="9"/>
                      <w:position w:val="5"/>
                      <w:sz w:val="61"/>
                      <w:szCs w:val="61"/>
                    </w:rPr>
                    <w:t xml:space="preserve">                                </w:t>
                  </w:r>
                  <w:r>
                    <w:rPr>
                      <w:rFonts w:ascii="黑体" w:hAnsi="黑体" w:eastAsia="黑体" w:cs="黑体"/>
                      <w:color w:val="D02030"/>
                      <w:spacing w:val="8"/>
                      <w:position w:val="5"/>
                      <w:sz w:val="61"/>
                      <w:szCs w:val="61"/>
                    </w:rPr>
                    <w:t xml:space="preserve">      </w:t>
                  </w:r>
                  <w:r>
                    <w:rPr>
                      <w:spacing w:val="8"/>
                      <w:position w:val="-6"/>
                      <w:sz w:val="50"/>
                      <w:szCs w:val="50"/>
                    </w:rPr>
                    <w:t>点亮职业人生</w:t>
                  </w:r>
                </w:p>
              </w:txbxContent>
            </v:textbox>
          </v:shape>
        </w:pict>
      </w:r>
      <w:r>
        <w:rPr>
          <w:rFonts w:ascii="黑体" w:hAnsi="黑体" w:eastAsia="黑体" w:cs="黑体"/>
          <w:b/>
          <w:bCs/>
          <w:spacing w:val="-36"/>
          <w:sz w:val="50"/>
          <w:szCs w:val="50"/>
        </w:rPr>
        <w:t>二建、监理、一建、一造、二造、安全、消防、咨询、检测课程押题联系</w:t>
      </w:r>
      <w:r>
        <w:rPr>
          <w:rFonts w:ascii="Times New Roman" w:hAnsi="Times New Roman" w:eastAsia="Times New Roman" w:cs="Times New Roman"/>
          <w:b/>
          <w:bCs/>
          <w:spacing w:val="-37"/>
          <w:sz w:val="50"/>
          <w:szCs w:val="50"/>
        </w:rPr>
        <w:t>QQ/</w:t>
      </w:r>
      <w:r>
        <w:rPr>
          <w:rFonts w:ascii="黑体" w:hAnsi="黑体" w:eastAsia="黑体" w:cs="黑体"/>
          <w:b/>
          <w:bCs/>
          <w:spacing w:val="-37"/>
          <w:sz w:val="50"/>
          <w:szCs w:val="50"/>
        </w:rPr>
        <w:t>微信：</w:t>
      </w:r>
      <w:r>
        <w:rPr>
          <w:rFonts w:hint="eastAsia" w:ascii="黑体" w:hAnsi="黑体" w:eastAsia="黑体" w:cs="黑体"/>
          <w:b/>
          <w:bCs/>
          <w:spacing w:val="-37"/>
          <w:sz w:val="50"/>
          <w:szCs w:val="50"/>
          <w:lang w:eastAsia="zh-CN"/>
        </w:rPr>
        <w:t>dayu_nm_cn</w:t>
      </w:r>
      <w:r>
        <w:rPr>
          <w:rFonts w:ascii="黑体" w:hAnsi="黑体" w:eastAsia="黑体" w:cs="黑体"/>
          <w:spacing w:val="-37"/>
          <w:sz w:val="50"/>
          <w:szCs w:val="50"/>
        </w:rPr>
        <w:t xml:space="preserve">  </w:t>
      </w:r>
    </w:p>
    <w:p w14:paraId="323478F5">
      <w:pPr>
        <w:spacing w:line="471" w:lineRule="auto"/>
        <w:rPr>
          <w:rFonts w:ascii="Arial"/>
          <w:sz w:val="21"/>
        </w:rPr>
      </w:pPr>
    </w:p>
    <w:p w14:paraId="1F5E43A2">
      <w:pPr>
        <w:spacing w:line="23" w:lineRule="exact"/>
        <w:ind w:firstLine="2136"/>
      </w:pPr>
      <w:r>
        <w:drawing>
          <wp:inline distT="0" distB="0" distL="0" distR="0">
            <wp:extent cx="11705590" cy="1460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1"/>
                    <a:stretch>
                      <a:fillRect/>
                    </a:stretch>
                  </pic:blipFill>
                  <pic:spPr>
                    <a:xfrm>
                      <a:off x="0" y="0"/>
                      <a:ext cx="11706075" cy="14887"/>
                    </a:xfrm>
                    <a:prstGeom prst="rect">
                      <a:avLst/>
                    </a:prstGeom>
                  </pic:spPr>
                </pic:pic>
              </a:graphicData>
            </a:graphic>
          </wp:inline>
        </w:drawing>
      </w:r>
    </w:p>
    <w:p w14:paraId="3A79E250">
      <w:pPr>
        <w:spacing w:line="289" w:lineRule="auto"/>
        <w:rPr>
          <w:rFonts w:ascii="Arial"/>
          <w:sz w:val="21"/>
        </w:rPr>
      </w:pPr>
    </w:p>
    <w:p w14:paraId="185121DC">
      <w:pPr>
        <w:spacing w:line="289" w:lineRule="auto"/>
        <w:rPr>
          <w:rFonts w:ascii="Arial"/>
          <w:sz w:val="21"/>
        </w:rPr>
      </w:pPr>
    </w:p>
    <w:p w14:paraId="32CABCC8">
      <w:pPr>
        <w:pStyle w:val="2"/>
        <w:spacing w:before="162" w:line="364" w:lineRule="auto"/>
        <w:ind w:left="2159" w:right="1904"/>
        <w:jc w:val="both"/>
        <w:rPr>
          <w:sz w:val="50"/>
          <w:szCs w:val="50"/>
        </w:rPr>
      </w:pPr>
      <w:r>
        <w:drawing>
          <wp:anchor distT="0" distB="0" distL="0" distR="0" simplePos="0" relativeHeight="251663360" behindDoc="1" locked="0" layoutInCell="1" allowOverlap="1">
            <wp:simplePos x="0" y="0"/>
            <wp:positionH relativeFrom="column">
              <wp:posOffset>0</wp:posOffset>
            </wp:positionH>
            <wp:positionV relativeFrom="paragraph">
              <wp:posOffset>-1422400</wp:posOffset>
            </wp:positionV>
            <wp:extent cx="1844675" cy="1667510"/>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8"/>
                    <a:stretch>
                      <a:fillRect/>
                    </a:stretch>
                  </pic:blipFill>
                  <pic:spPr>
                    <a:xfrm>
                      <a:off x="0" y="0"/>
                      <a:ext cx="1844930" cy="1667481"/>
                    </a:xfrm>
                    <a:prstGeom prst="rect">
                      <a:avLst/>
                    </a:prstGeom>
                  </pic:spPr>
                </pic:pic>
              </a:graphicData>
            </a:graphic>
          </wp:anchor>
        </w:drawing>
      </w:r>
      <w:r>
        <w:rPr>
          <w:spacing w:val="-13"/>
          <w:sz w:val="50"/>
          <w:szCs w:val="50"/>
        </w:rPr>
        <w:t>(3)古旧图书；(4)直接用于科学研究、科学试验和教学的进口仪器、设备；(5)外国政</w:t>
      </w:r>
      <w:r>
        <w:rPr>
          <w:spacing w:val="9"/>
          <w:sz w:val="50"/>
          <w:szCs w:val="50"/>
        </w:rPr>
        <w:t xml:space="preserve"> </w:t>
      </w:r>
      <w:r>
        <w:rPr>
          <w:spacing w:val="-23"/>
          <w:sz w:val="50"/>
          <w:szCs w:val="50"/>
        </w:rPr>
        <w:t>府、国际组织无偿援助的进口物资和设备；(6)由残疾</w:t>
      </w:r>
      <w:r>
        <w:rPr>
          <w:spacing w:val="-24"/>
          <w:sz w:val="50"/>
          <w:szCs w:val="50"/>
        </w:rPr>
        <w:t>人的组织直接进口供残疾人专用的</w:t>
      </w:r>
      <w:r>
        <w:rPr>
          <w:sz w:val="50"/>
          <w:szCs w:val="50"/>
        </w:rPr>
        <w:t xml:space="preserve"> </w:t>
      </w:r>
      <w:r>
        <w:rPr>
          <w:spacing w:val="-20"/>
          <w:sz w:val="50"/>
          <w:szCs w:val="50"/>
        </w:rPr>
        <w:t>物品；(7)销售的自己使用过的物品。</w:t>
      </w:r>
    </w:p>
    <w:p w14:paraId="41C607F0">
      <w:pPr>
        <w:pStyle w:val="2"/>
        <w:spacing w:before="54" w:line="220" w:lineRule="auto"/>
        <w:ind w:left="2124"/>
        <w:rPr>
          <w:sz w:val="50"/>
          <w:szCs w:val="50"/>
        </w:rPr>
      </w:pPr>
      <w:r>
        <w:rPr>
          <w:spacing w:val="20"/>
          <w:sz w:val="50"/>
          <w:szCs w:val="50"/>
        </w:rPr>
        <w:t>【考点来源】第一章第五节建设工程税收制度</w:t>
      </w:r>
    </w:p>
    <w:p w14:paraId="1EEE77BA">
      <w:pPr>
        <w:pStyle w:val="2"/>
        <w:spacing w:before="398" w:line="220" w:lineRule="auto"/>
        <w:ind w:left="2131"/>
        <w:rPr>
          <w:sz w:val="50"/>
          <w:szCs w:val="50"/>
        </w:rPr>
      </w:pPr>
      <w:r>
        <w:rPr>
          <w:b/>
          <w:bCs/>
          <w:spacing w:val="23"/>
          <w:sz w:val="50"/>
          <w:szCs w:val="50"/>
        </w:rPr>
        <w:t>【考点17】环境保护税计税依据</w:t>
      </w:r>
    </w:p>
    <w:p w14:paraId="44781D4F">
      <w:pPr>
        <w:spacing w:line="319" w:lineRule="auto"/>
        <w:rPr>
          <w:rFonts w:ascii="Arial"/>
          <w:sz w:val="21"/>
        </w:rPr>
      </w:pPr>
    </w:p>
    <w:p w14:paraId="1BFED688">
      <w:pPr>
        <w:pStyle w:val="2"/>
        <w:spacing w:before="163" w:line="349" w:lineRule="auto"/>
        <w:ind w:left="2124" w:right="15583"/>
        <w:rPr>
          <w:sz w:val="50"/>
          <w:szCs w:val="50"/>
        </w:rPr>
      </w:pPr>
      <w:r>
        <w:rPr>
          <w:spacing w:val="19"/>
          <w:sz w:val="50"/>
          <w:szCs w:val="50"/>
        </w:rPr>
        <w:t>【考点星级】★★★</w:t>
      </w:r>
      <w:r>
        <w:rPr>
          <w:sz w:val="50"/>
          <w:szCs w:val="50"/>
        </w:rPr>
        <w:t xml:space="preserve"> </w:t>
      </w:r>
      <w:r>
        <w:rPr>
          <w:spacing w:val="31"/>
          <w:sz w:val="50"/>
          <w:szCs w:val="50"/>
        </w:rPr>
        <w:t>【考点分值】1-2分</w:t>
      </w:r>
    </w:p>
    <w:p w14:paraId="1EBDF518">
      <w:pPr>
        <w:pStyle w:val="2"/>
        <w:spacing w:before="96" w:line="324" w:lineRule="auto"/>
        <w:ind w:left="2159" w:right="1988" w:firstLine="1071"/>
        <w:jc w:val="both"/>
        <w:rPr>
          <w:sz w:val="50"/>
          <w:szCs w:val="50"/>
        </w:rPr>
      </w:pPr>
      <w:r>
        <w:rPr>
          <w:spacing w:val="42"/>
          <w:sz w:val="50"/>
          <w:szCs w:val="50"/>
        </w:rPr>
        <w:t>应税污染物的计税依据，按照下列方法确定：(1)应税大气污染物按照污</w:t>
      </w:r>
      <w:r>
        <w:rPr>
          <w:spacing w:val="10"/>
          <w:sz w:val="50"/>
          <w:szCs w:val="50"/>
        </w:rPr>
        <w:t xml:space="preserve"> </w:t>
      </w:r>
      <w:r>
        <w:rPr>
          <w:spacing w:val="27"/>
          <w:sz w:val="50"/>
          <w:szCs w:val="50"/>
        </w:rPr>
        <w:t>染物排放量折合的污染当量数确定；(2)应税水污染物按照污染物排放量折合的</w:t>
      </w:r>
      <w:r>
        <w:rPr>
          <w:spacing w:val="10"/>
          <w:sz w:val="50"/>
          <w:szCs w:val="50"/>
        </w:rPr>
        <w:t xml:space="preserve"> </w:t>
      </w:r>
      <w:r>
        <w:rPr>
          <w:spacing w:val="33"/>
          <w:sz w:val="50"/>
          <w:szCs w:val="50"/>
        </w:rPr>
        <w:t>污染当量数确定；(3)应税固体废物按照固体废物的排放量确定；(4)应税噪声</w:t>
      </w:r>
    </w:p>
    <w:p w14:paraId="1B4680BC">
      <w:pPr>
        <w:spacing w:line="324" w:lineRule="auto"/>
        <w:rPr>
          <w:sz w:val="50"/>
          <w:szCs w:val="50"/>
        </w:rPr>
        <w:sectPr>
          <w:footerReference r:id="rId7" w:type="default"/>
          <w:pgSz w:w="22389" w:h="31681"/>
          <w:pgMar w:top="1" w:right="7" w:bottom="3021" w:left="0" w:header="0" w:footer="232" w:gutter="0"/>
          <w:cols w:equalWidth="0" w:num="1">
            <w:col w:w="22382"/>
          </w:cols>
        </w:sectPr>
      </w:pPr>
    </w:p>
    <w:p w14:paraId="22BA16F7">
      <w:pPr>
        <w:pStyle w:val="2"/>
        <w:spacing w:before="393" w:line="221" w:lineRule="auto"/>
        <w:ind w:left="2159"/>
        <w:rPr>
          <w:sz w:val="50"/>
          <w:szCs w:val="50"/>
        </w:rPr>
      </w:pPr>
      <w:r>
        <w:rPr>
          <w:spacing w:val="21"/>
          <w:sz w:val="50"/>
          <w:szCs w:val="50"/>
        </w:rPr>
        <w:t>按照超过国家规定标准的分贝数确定。</w:t>
      </w:r>
    </w:p>
    <w:p w14:paraId="7D4AE9FD">
      <w:pPr>
        <w:pStyle w:val="2"/>
        <w:spacing w:before="379" w:line="220" w:lineRule="auto"/>
        <w:ind w:left="2124"/>
        <w:rPr>
          <w:sz w:val="50"/>
          <w:szCs w:val="50"/>
        </w:rPr>
      </w:pPr>
      <w:r>
        <w:rPr>
          <w:spacing w:val="20"/>
          <w:sz w:val="50"/>
          <w:szCs w:val="50"/>
        </w:rPr>
        <w:t>【考点来源】第一章第五节建设工程税收制度</w:t>
      </w:r>
    </w:p>
    <w:p w14:paraId="3051B406">
      <w:pPr>
        <w:spacing w:line="243" w:lineRule="auto"/>
        <w:rPr>
          <w:rFonts w:ascii="Arial"/>
          <w:sz w:val="21"/>
        </w:rPr>
      </w:pPr>
    </w:p>
    <w:p w14:paraId="3AB88ACD">
      <w:pPr>
        <w:pStyle w:val="2"/>
        <w:spacing w:before="163" w:line="221" w:lineRule="auto"/>
        <w:ind w:left="2131"/>
        <w:rPr>
          <w:sz w:val="50"/>
          <w:szCs w:val="50"/>
        </w:rPr>
      </w:pPr>
      <w:r>
        <w:rPr>
          <w:b/>
          <w:bCs/>
          <w:spacing w:val="25"/>
          <w:sz w:val="50"/>
          <w:szCs w:val="50"/>
        </w:rPr>
        <w:t>【考点18】行政处罚的种类</w:t>
      </w:r>
    </w:p>
    <w:p w14:paraId="1A1D9F91">
      <w:pPr>
        <w:spacing w:line="269" w:lineRule="auto"/>
        <w:rPr>
          <w:rFonts w:ascii="Arial"/>
          <w:sz w:val="21"/>
        </w:rPr>
      </w:pPr>
    </w:p>
    <w:p w14:paraId="424BC614">
      <w:pPr>
        <w:pStyle w:val="2"/>
        <w:spacing w:before="164" w:line="221" w:lineRule="auto"/>
        <w:ind w:left="2124"/>
        <w:rPr>
          <w:sz w:val="50"/>
          <w:szCs w:val="50"/>
        </w:rPr>
      </w:pPr>
      <w:r>
        <w:rPr>
          <w:spacing w:val="19"/>
          <w:sz w:val="50"/>
          <w:szCs w:val="50"/>
        </w:rPr>
        <w:t>【考点星级】★★★</w:t>
      </w:r>
    </w:p>
    <w:p w14:paraId="2CC5AC43">
      <w:pPr>
        <w:spacing w:line="66" w:lineRule="auto"/>
        <w:rPr>
          <w:rFonts w:ascii="Arial"/>
          <w:sz w:val="2"/>
        </w:rPr>
      </w:pPr>
    </w:p>
    <w:p w14:paraId="5715F0E6">
      <w:pPr>
        <w:spacing w:line="14" w:lineRule="auto"/>
        <w:rPr>
          <w:rFonts w:ascii="Arial"/>
          <w:sz w:val="2"/>
        </w:rPr>
      </w:pPr>
      <w:r>
        <w:rPr>
          <w:rFonts w:ascii="Arial" w:hAnsi="Arial" w:eastAsia="Arial" w:cs="Arial"/>
          <w:sz w:val="2"/>
          <w:szCs w:val="2"/>
        </w:rPr>
        <w:br w:type="column"/>
      </w:r>
    </w:p>
    <w:p w14:paraId="56C8639E">
      <w:pPr>
        <w:pStyle w:val="2"/>
        <w:spacing w:before="100" w:line="198" w:lineRule="auto"/>
        <w:ind w:left="2299"/>
        <w:rPr>
          <w:sz w:val="50"/>
          <w:szCs w:val="50"/>
        </w:rPr>
      </w:pPr>
      <w:r>
        <w:rPr>
          <w:spacing w:val="-47"/>
          <w:w w:val="77"/>
          <w:sz w:val="50"/>
          <w:szCs w:val="50"/>
        </w:rPr>
        <w:t>9178</w:t>
      </w:r>
    </w:p>
    <w:p w14:paraId="75234B98">
      <w:pPr>
        <w:pStyle w:val="2"/>
        <w:spacing w:before="3" w:line="188" w:lineRule="auto"/>
        <w:ind w:right="6081" w:firstLine="1289"/>
        <w:rPr>
          <w:sz w:val="50"/>
          <w:szCs w:val="50"/>
        </w:rPr>
      </w:pPr>
      <w:r>
        <w:rPr>
          <w:spacing w:val="-13"/>
          <w:sz w:val="50"/>
          <w:szCs w:val="50"/>
        </w:rPr>
        <w:t>38</w:t>
      </w:r>
      <w:r>
        <w:rPr>
          <w:sz w:val="50"/>
          <w:szCs w:val="50"/>
        </w:rPr>
        <w:t xml:space="preserve"> 以</w:t>
      </w:r>
    </w:p>
    <w:p w14:paraId="48C59494">
      <w:pPr>
        <w:spacing w:line="188" w:lineRule="auto"/>
        <w:rPr>
          <w:sz w:val="50"/>
          <w:szCs w:val="50"/>
        </w:rPr>
        <w:sectPr>
          <w:type w:val="continuous"/>
          <w:pgSz w:w="22389" w:h="31681"/>
          <w:pgMar w:top="1" w:right="7" w:bottom="3021" w:left="0" w:header="0" w:footer="232" w:gutter="0"/>
          <w:cols w:equalWidth="0" w:num="2">
            <w:col w:w="14435" w:space="100"/>
            <w:col w:w="7847"/>
          </w:cols>
        </w:sectPr>
      </w:pPr>
    </w:p>
    <w:p w14:paraId="31C030DF">
      <w:pPr>
        <w:pStyle w:val="2"/>
        <w:spacing w:before="381" w:line="221" w:lineRule="auto"/>
        <w:ind w:left="2124"/>
        <w:rPr>
          <w:sz w:val="50"/>
          <w:szCs w:val="50"/>
        </w:rPr>
      </w:pPr>
      <w:r>
        <w:rPr>
          <w:spacing w:val="31"/>
          <w:sz w:val="50"/>
          <w:szCs w:val="50"/>
        </w:rPr>
        <w:t>【考点分值】1-2分</w:t>
      </w:r>
    </w:p>
    <w:p w14:paraId="191FF930">
      <w:pPr>
        <w:spacing w:line="365" w:lineRule="auto"/>
        <w:rPr>
          <w:rFonts w:ascii="Arial"/>
          <w:sz w:val="21"/>
        </w:rPr>
      </w:pPr>
    </w:p>
    <w:p w14:paraId="70FB07C0">
      <w:pPr>
        <w:pStyle w:val="2"/>
        <w:spacing w:before="163" w:line="374" w:lineRule="auto"/>
        <w:ind w:left="2159" w:right="2137" w:firstLine="1071"/>
        <w:jc w:val="both"/>
        <w:rPr>
          <w:sz w:val="50"/>
          <w:szCs w:val="50"/>
        </w:rPr>
      </w:pPr>
      <w:r>
        <w:rPr>
          <w:spacing w:val="46"/>
          <w:sz w:val="50"/>
          <w:szCs w:val="50"/>
        </w:rPr>
        <w:t>行政处罚的种类：①警告、通报批评；②罚款、没收违法所得、没收非</w:t>
      </w:r>
      <w:r>
        <w:rPr>
          <w:spacing w:val="14"/>
          <w:sz w:val="50"/>
          <w:szCs w:val="50"/>
        </w:rPr>
        <w:t xml:space="preserve"> </w:t>
      </w:r>
      <w:r>
        <w:rPr>
          <w:spacing w:val="32"/>
          <w:sz w:val="50"/>
          <w:szCs w:val="50"/>
        </w:rPr>
        <w:t>法财物；③暂扣许可证件、降低资质等级、吊销许可证件；④限</w:t>
      </w:r>
      <w:r>
        <w:rPr>
          <w:spacing w:val="31"/>
          <w:sz w:val="50"/>
          <w:szCs w:val="50"/>
        </w:rPr>
        <w:t>制开展生产经</w:t>
      </w:r>
      <w:r>
        <w:rPr>
          <w:sz w:val="50"/>
          <w:szCs w:val="50"/>
        </w:rPr>
        <w:t xml:space="preserve"> </w:t>
      </w:r>
      <w:r>
        <w:rPr>
          <w:spacing w:val="32"/>
          <w:sz w:val="50"/>
          <w:szCs w:val="50"/>
        </w:rPr>
        <w:t>营活动、责令停产停业、责令关闭、限制从业；⑤行政</w:t>
      </w:r>
      <w:r>
        <w:rPr>
          <w:spacing w:val="31"/>
          <w:sz w:val="50"/>
          <w:szCs w:val="50"/>
        </w:rPr>
        <w:t>拘留；⑥法律、行政法</w:t>
      </w:r>
      <w:r>
        <w:rPr>
          <w:sz w:val="50"/>
          <w:szCs w:val="50"/>
        </w:rPr>
        <w:t xml:space="preserve"> </w:t>
      </w:r>
      <w:r>
        <w:rPr>
          <w:spacing w:val="17"/>
          <w:sz w:val="50"/>
          <w:szCs w:val="50"/>
        </w:rPr>
        <w:t>规规定的其他行政处罚。</w:t>
      </w:r>
    </w:p>
    <w:p w14:paraId="7DC85564">
      <w:pPr>
        <w:pStyle w:val="2"/>
        <w:spacing w:before="127" w:line="220" w:lineRule="auto"/>
        <w:ind w:left="2190"/>
        <w:rPr>
          <w:sz w:val="37"/>
          <w:szCs w:val="37"/>
        </w:rPr>
      </w:pPr>
      <w:r>
        <w:rPr>
          <w:spacing w:val="-15"/>
          <w:sz w:val="37"/>
          <w:szCs w:val="37"/>
        </w:rPr>
        <w:t xml:space="preserve">【 考 点 来 源 】 第 一 章 第 六 节 建 设 工 程 </w:t>
      </w:r>
      <w:r>
        <w:rPr>
          <w:spacing w:val="-16"/>
          <w:sz w:val="37"/>
          <w:szCs w:val="37"/>
        </w:rPr>
        <w:t>行 政</w:t>
      </w:r>
      <w:r>
        <w:rPr>
          <w:spacing w:val="-20"/>
          <w:sz w:val="37"/>
          <w:szCs w:val="37"/>
        </w:rPr>
        <w:t xml:space="preserve"> </w:t>
      </w:r>
      <w:r>
        <w:rPr>
          <w:spacing w:val="-16"/>
          <w:sz w:val="37"/>
          <w:szCs w:val="37"/>
        </w:rPr>
        <w:t>法</w:t>
      </w:r>
      <w:r>
        <w:rPr>
          <w:spacing w:val="-21"/>
          <w:sz w:val="37"/>
          <w:szCs w:val="37"/>
        </w:rPr>
        <w:t xml:space="preserve"> </w:t>
      </w:r>
      <w:r>
        <w:rPr>
          <w:spacing w:val="-16"/>
          <w:sz w:val="37"/>
          <w:szCs w:val="37"/>
        </w:rPr>
        <w:t>律</w:t>
      </w:r>
      <w:r>
        <w:rPr>
          <w:spacing w:val="-20"/>
          <w:sz w:val="37"/>
          <w:szCs w:val="37"/>
        </w:rPr>
        <w:t xml:space="preserve"> </w:t>
      </w:r>
      <w:r>
        <w:rPr>
          <w:spacing w:val="-16"/>
          <w:sz w:val="37"/>
          <w:szCs w:val="37"/>
        </w:rPr>
        <w:t>制</w:t>
      </w:r>
      <w:r>
        <w:rPr>
          <w:spacing w:val="-23"/>
          <w:sz w:val="37"/>
          <w:szCs w:val="37"/>
        </w:rPr>
        <w:t xml:space="preserve"> </w:t>
      </w:r>
      <w:r>
        <w:rPr>
          <w:spacing w:val="-16"/>
          <w:sz w:val="37"/>
          <w:szCs w:val="37"/>
        </w:rPr>
        <w:t>度</w:t>
      </w:r>
    </w:p>
    <w:p w14:paraId="2BA6B42C">
      <w:pPr>
        <w:pStyle w:val="2"/>
        <w:spacing w:before="182" w:line="187" w:lineRule="auto"/>
        <w:ind w:left="8533"/>
        <w:rPr>
          <w:sz w:val="50"/>
          <w:szCs w:val="50"/>
        </w:rPr>
      </w:pPr>
      <w:r>
        <w:rPr>
          <w:spacing w:val="-2"/>
          <w:sz w:val="50"/>
          <w:szCs w:val="50"/>
        </w:rPr>
        <w:t>4917</w:t>
      </w:r>
    </w:p>
    <w:p w14:paraId="5F6EF364">
      <w:pPr>
        <w:pStyle w:val="2"/>
        <w:spacing w:before="2" w:line="220" w:lineRule="auto"/>
        <w:ind w:left="2196"/>
        <w:rPr>
          <w:sz w:val="37"/>
          <w:szCs w:val="37"/>
        </w:rPr>
      </w:pPr>
      <w:r>
        <w:rPr>
          <w:b/>
          <w:bCs/>
          <w:spacing w:val="-18"/>
          <w:sz w:val="37"/>
          <w:szCs w:val="37"/>
        </w:rPr>
        <w:t>【</w:t>
      </w:r>
      <w:r>
        <w:rPr>
          <w:spacing w:val="42"/>
          <w:sz w:val="37"/>
          <w:szCs w:val="37"/>
        </w:rPr>
        <w:t xml:space="preserve"> </w:t>
      </w:r>
      <w:r>
        <w:rPr>
          <w:b/>
          <w:bCs/>
          <w:spacing w:val="-18"/>
          <w:sz w:val="37"/>
          <w:szCs w:val="37"/>
        </w:rPr>
        <w:t>考</w:t>
      </w:r>
      <w:r>
        <w:rPr>
          <w:spacing w:val="-18"/>
          <w:sz w:val="37"/>
          <w:szCs w:val="37"/>
        </w:rPr>
        <w:t xml:space="preserve"> </w:t>
      </w:r>
      <w:r>
        <w:rPr>
          <w:b/>
          <w:bCs/>
          <w:spacing w:val="-18"/>
          <w:sz w:val="37"/>
          <w:szCs w:val="37"/>
        </w:rPr>
        <w:t>点</w:t>
      </w:r>
      <w:r>
        <w:rPr>
          <w:spacing w:val="-18"/>
          <w:sz w:val="37"/>
          <w:szCs w:val="37"/>
        </w:rPr>
        <w:t xml:space="preserve"> </w:t>
      </w:r>
      <w:r>
        <w:rPr>
          <w:b/>
          <w:bCs/>
          <w:spacing w:val="-18"/>
          <w:sz w:val="37"/>
          <w:szCs w:val="37"/>
        </w:rPr>
        <w:t>1</w:t>
      </w:r>
      <w:r>
        <w:rPr>
          <w:spacing w:val="-18"/>
          <w:sz w:val="37"/>
          <w:szCs w:val="37"/>
        </w:rPr>
        <w:t xml:space="preserve"> </w:t>
      </w:r>
      <w:r>
        <w:rPr>
          <w:b/>
          <w:bCs/>
          <w:spacing w:val="-18"/>
          <w:sz w:val="37"/>
          <w:szCs w:val="37"/>
        </w:rPr>
        <w:t>9</w:t>
      </w:r>
      <w:r>
        <w:rPr>
          <w:spacing w:val="20"/>
          <w:sz w:val="37"/>
          <w:szCs w:val="37"/>
        </w:rPr>
        <w:t xml:space="preserve"> </w:t>
      </w:r>
      <w:r>
        <w:rPr>
          <w:b/>
          <w:bCs/>
          <w:spacing w:val="-18"/>
          <w:sz w:val="37"/>
          <w:szCs w:val="37"/>
        </w:rPr>
        <w:t>】</w:t>
      </w:r>
      <w:r>
        <w:rPr>
          <w:spacing w:val="-18"/>
          <w:sz w:val="37"/>
          <w:szCs w:val="37"/>
        </w:rPr>
        <w:t xml:space="preserve"> </w:t>
      </w:r>
      <w:r>
        <w:rPr>
          <w:b/>
          <w:bCs/>
          <w:spacing w:val="-18"/>
          <w:sz w:val="37"/>
          <w:szCs w:val="37"/>
        </w:rPr>
        <w:t>行</w:t>
      </w:r>
      <w:r>
        <w:rPr>
          <w:spacing w:val="-18"/>
          <w:sz w:val="37"/>
          <w:szCs w:val="37"/>
        </w:rPr>
        <w:t xml:space="preserve"> </w:t>
      </w:r>
      <w:r>
        <w:rPr>
          <w:b/>
          <w:bCs/>
          <w:spacing w:val="-18"/>
          <w:sz w:val="37"/>
          <w:szCs w:val="37"/>
        </w:rPr>
        <w:t>政</w:t>
      </w:r>
      <w:r>
        <w:rPr>
          <w:spacing w:val="-18"/>
          <w:sz w:val="37"/>
          <w:szCs w:val="37"/>
        </w:rPr>
        <w:t xml:space="preserve"> </w:t>
      </w:r>
      <w:r>
        <w:rPr>
          <w:b/>
          <w:bCs/>
          <w:spacing w:val="-18"/>
          <w:sz w:val="37"/>
          <w:szCs w:val="37"/>
        </w:rPr>
        <w:t>强</w:t>
      </w:r>
      <w:r>
        <w:rPr>
          <w:spacing w:val="-18"/>
          <w:sz w:val="37"/>
          <w:szCs w:val="37"/>
        </w:rPr>
        <w:t xml:space="preserve"> </w:t>
      </w:r>
      <w:r>
        <w:rPr>
          <w:b/>
          <w:bCs/>
          <w:spacing w:val="-18"/>
          <w:sz w:val="37"/>
          <w:szCs w:val="37"/>
        </w:rPr>
        <w:t>制</w:t>
      </w:r>
      <w:r>
        <w:rPr>
          <w:spacing w:val="-18"/>
          <w:sz w:val="37"/>
          <w:szCs w:val="37"/>
        </w:rPr>
        <w:t xml:space="preserve"> </w:t>
      </w:r>
      <w:r>
        <w:rPr>
          <w:b/>
          <w:bCs/>
          <w:spacing w:val="-18"/>
          <w:sz w:val="37"/>
          <w:szCs w:val="37"/>
        </w:rPr>
        <w:t>措</w:t>
      </w:r>
      <w:r>
        <w:rPr>
          <w:spacing w:val="-18"/>
          <w:sz w:val="37"/>
          <w:szCs w:val="37"/>
        </w:rPr>
        <w:t xml:space="preserve"> </w:t>
      </w:r>
      <w:r>
        <w:rPr>
          <w:b/>
          <w:bCs/>
          <w:spacing w:val="-18"/>
          <w:sz w:val="37"/>
          <w:szCs w:val="37"/>
        </w:rPr>
        <w:t>施</w:t>
      </w:r>
      <w:r>
        <w:rPr>
          <w:spacing w:val="-18"/>
          <w:sz w:val="37"/>
          <w:szCs w:val="37"/>
        </w:rPr>
        <w:t xml:space="preserve"> </w:t>
      </w:r>
      <w:r>
        <w:rPr>
          <w:b/>
          <w:bCs/>
          <w:spacing w:val="-18"/>
          <w:sz w:val="37"/>
          <w:szCs w:val="37"/>
        </w:rPr>
        <w:t>和</w:t>
      </w:r>
      <w:r>
        <w:rPr>
          <w:spacing w:val="-18"/>
          <w:sz w:val="37"/>
          <w:szCs w:val="37"/>
        </w:rPr>
        <w:t xml:space="preserve"> </w:t>
      </w:r>
      <w:r>
        <w:rPr>
          <w:b/>
          <w:bCs/>
          <w:spacing w:val="-18"/>
          <w:sz w:val="37"/>
          <w:szCs w:val="37"/>
        </w:rPr>
        <w:t>执</w:t>
      </w:r>
      <w:r>
        <w:rPr>
          <w:spacing w:val="-18"/>
          <w:sz w:val="37"/>
          <w:szCs w:val="37"/>
        </w:rPr>
        <w:t xml:space="preserve"> </w:t>
      </w:r>
      <w:r>
        <w:rPr>
          <w:b/>
          <w:bCs/>
          <w:spacing w:val="-18"/>
          <w:sz w:val="37"/>
          <w:szCs w:val="37"/>
        </w:rPr>
        <w:t>行</w:t>
      </w:r>
    </w:p>
    <w:p w14:paraId="2A48F0D0">
      <w:pPr>
        <w:pStyle w:val="2"/>
        <w:spacing w:before="309" w:line="705" w:lineRule="exact"/>
        <w:ind w:left="2190"/>
        <w:rPr>
          <w:sz w:val="37"/>
          <w:szCs w:val="37"/>
        </w:rPr>
      </w:pPr>
      <w:r>
        <w:pict>
          <v:shape id="_x0000_s1027" o:spid="_x0000_s1027" o:spt="202" type="#_x0000_t202" style="position:absolute;left:0pt;margin-left:333.2pt;margin-top:1.75pt;height:27.25pt;width:67.9pt;z-index:-251651072;mso-width-relative:page;mso-height-relative:page;" filled="f" stroked="f" coordsize="21600,21600">
            <v:path/>
            <v:fill on="f" focussize="0,0"/>
            <v:stroke on="f"/>
            <v:imagedata o:title=""/>
            <o:lock v:ext="edit" aspectratio="f"/>
            <v:textbox inset="0mm,0mm,0mm,0mm">
              <w:txbxContent>
                <w:p w14:paraId="04B63C5A">
                  <w:pPr>
                    <w:pStyle w:val="2"/>
                    <w:spacing w:before="20" w:line="186" w:lineRule="auto"/>
                    <w:ind w:left="20"/>
                    <w:rPr>
                      <w:sz w:val="50"/>
                      <w:szCs w:val="50"/>
                    </w:rPr>
                  </w:pPr>
                  <w:r>
                    <w:rPr>
                      <w:spacing w:val="-6"/>
                      <w:sz w:val="50"/>
                      <w:szCs w:val="50"/>
                    </w:rPr>
                    <w:t>X</w:t>
                  </w:r>
                  <w:r>
                    <w:rPr>
                      <w:spacing w:val="46"/>
                      <w:sz w:val="50"/>
                      <w:szCs w:val="50"/>
                    </w:rPr>
                    <w:t xml:space="preserve">  </w:t>
                  </w:r>
                  <w:r>
                    <w:rPr>
                      <w:spacing w:val="-6"/>
                      <w:sz w:val="50"/>
                      <w:szCs w:val="50"/>
                    </w:rPr>
                    <w:t>她</w:t>
                  </w:r>
                </w:p>
              </w:txbxContent>
            </v:textbox>
          </v:shape>
        </w:pict>
      </w:r>
      <w:r>
        <w:rPr>
          <w:spacing w:val="-34"/>
          <w:position w:val="-6"/>
          <w:sz w:val="37"/>
          <w:szCs w:val="37"/>
        </w:rPr>
        <w:t>【</w:t>
      </w:r>
      <w:r>
        <w:rPr>
          <w:spacing w:val="73"/>
          <w:position w:val="-6"/>
          <w:sz w:val="37"/>
          <w:szCs w:val="37"/>
        </w:rPr>
        <w:t xml:space="preserve"> </w:t>
      </w:r>
      <w:r>
        <w:rPr>
          <w:spacing w:val="-34"/>
          <w:position w:val="-6"/>
          <w:sz w:val="37"/>
          <w:szCs w:val="37"/>
        </w:rPr>
        <w:t>考</w:t>
      </w:r>
      <w:r>
        <w:rPr>
          <w:spacing w:val="33"/>
          <w:position w:val="-6"/>
          <w:sz w:val="37"/>
          <w:szCs w:val="37"/>
        </w:rPr>
        <w:t xml:space="preserve"> </w:t>
      </w:r>
      <w:r>
        <w:rPr>
          <w:spacing w:val="-34"/>
          <w:position w:val="-6"/>
          <w:sz w:val="37"/>
          <w:szCs w:val="37"/>
        </w:rPr>
        <w:t>点</w:t>
      </w:r>
      <w:r>
        <w:rPr>
          <w:spacing w:val="19"/>
          <w:position w:val="-6"/>
          <w:sz w:val="37"/>
          <w:szCs w:val="37"/>
        </w:rPr>
        <w:t xml:space="preserve"> </w:t>
      </w:r>
      <w:r>
        <w:rPr>
          <w:spacing w:val="-34"/>
          <w:position w:val="-6"/>
          <w:sz w:val="37"/>
          <w:szCs w:val="37"/>
        </w:rPr>
        <w:t>星</w:t>
      </w:r>
      <w:r>
        <w:rPr>
          <w:b/>
          <w:bCs/>
          <w:spacing w:val="-34"/>
          <w:position w:val="-6"/>
          <w:sz w:val="37"/>
          <w:szCs w:val="37"/>
        </w:rPr>
        <w:t>级</w:t>
      </w:r>
      <w:r>
        <w:rPr>
          <w:spacing w:val="128"/>
          <w:position w:val="-6"/>
          <w:sz w:val="37"/>
          <w:szCs w:val="37"/>
        </w:rPr>
        <w:t xml:space="preserve"> </w:t>
      </w:r>
      <w:r>
        <w:rPr>
          <w:b/>
          <w:bCs/>
          <w:spacing w:val="-34"/>
          <w:position w:val="-6"/>
          <w:sz w:val="37"/>
          <w:szCs w:val="37"/>
        </w:rPr>
        <w:t>】</w:t>
      </w:r>
      <w:r>
        <w:rPr>
          <w:spacing w:val="-104"/>
          <w:position w:val="-6"/>
          <w:sz w:val="37"/>
          <w:szCs w:val="37"/>
        </w:rPr>
        <w:t xml:space="preserve"> </w:t>
      </w:r>
      <w:r>
        <w:rPr>
          <w:position w:val="-3"/>
          <w:sz w:val="37"/>
          <w:szCs w:val="37"/>
        </w:rPr>
        <w:drawing>
          <wp:inline distT="0" distB="0" distL="0" distR="0">
            <wp:extent cx="1005840" cy="34480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9"/>
                    <a:stretch>
                      <a:fillRect/>
                    </a:stretch>
                  </pic:blipFill>
                  <pic:spPr>
                    <a:xfrm>
                      <a:off x="0" y="0"/>
                      <a:ext cx="1006416" cy="345204"/>
                    </a:xfrm>
                    <a:prstGeom prst="rect">
                      <a:avLst/>
                    </a:prstGeom>
                  </pic:spPr>
                </pic:pic>
              </a:graphicData>
            </a:graphic>
          </wp:inline>
        </w:drawing>
      </w:r>
    </w:p>
    <w:p w14:paraId="6C10D5DB">
      <w:pPr>
        <w:pStyle w:val="2"/>
        <w:spacing w:before="302" w:line="221" w:lineRule="auto"/>
        <w:ind w:left="2124"/>
        <w:rPr>
          <w:sz w:val="50"/>
          <w:szCs w:val="50"/>
        </w:rPr>
      </w:pPr>
      <w:r>
        <w:rPr>
          <w:spacing w:val="31"/>
          <w:sz w:val="50"/>
          <w:szCs w:val="50"/>
        </w:rPr>
        <w:t>【考点分值】1-2分</w:t>
      </w:r>
    </w:p>
    <w:p w14:paraId="16844866">
      <w:pPr>
        <w:spacing w:line="327" w:lineRule="auto"/>
        <w:rPr>
          <w:rFonts w:ascii="Arial"/>
          <w:sz w:val="21"/>
        </w:rPr>
      </w:pPr>
    </w:p>
    <w:p w14:paraId="37CE911B">
      <w:pPr>
        <w:pStyle w:val="2"/>
        <w:spacing w:before="163" w:line="278" w:lineRule="auto"/>
        <w:ind w:left="2159" w:right="2248" w:firstLine="1071"/>
        <w:rPr>
          <w:sz w:val="50"/>
          <w:szCs w:val="50"/>
        </w:rPr>
      </w:pPr>
      <w:r>
        <w:rPr>
          <w:spacing w:val="27"/>
          <w:sz w:val="50"/>
          <w:szCs w:val="50"/>
        </w:rPr>
        <w:t>1.行政强制措施的种类：①限制公民人身自由；②查封场所、设施或者财</w:t>
      </w:r>
      <w:r>
        <w:rPr>
          <w:spacing w:val="8"/>
          <w:sz w:val="50"/>
          <w:szCs w:val="50"/>
        </w:rPr>
        <w:t xml:space="preserve"> </w:t>
      </w:r>
      <w:r>
        <w:rPr>
          <w:spacing w:val="41"/>
          <w:sz w:val="50"/>
          <w:szCs w:val="50"/>
        </w:rPr>
        <w:t>物；③扣押财物；④冻结存款、汇款；⑤其他行政强制措施。</w:t>
      </w:r>
    </w:p>
    <w:p w14:paraId="556E748C">
      <w:pPr>
        <w:spacing w:line="278" w:lineRule="auto"/>
        <w:rPr>
          <w:sz w:val="50"/>
          <w:szCs w:val="50"/>
        </w:rPr>
        <w:sectPr>
          <w:type w:val="continuous"/>
          <w:pgSz w:w="22389" w:h="31681"/>
          <w:pgMar w:top="1" w:right="7" w:bottom="3021" w:left="0" w:header="0" w:footer="232" w:gutter="0"/>
          <w:cols w:equalWidth="0" w:num="1">
            <w:col w:w="22382"/>
          </w:cols>
        </w:sectPr>
      </w:pPr>
    </w:p>
    <w:p w14:paraId="27A1FC9A">
      <w:pPr>
        <w:spacing w:before="2" w:line="212" w:lineRule="auto"/>
        <w:ind w:left="1226"/>
        <w:outlineLvl w:val="6"/>
        <w:rPr>
          <w:rFonts w:hint="eastAsia" w:ascii="黑体" w:hAnsi="黑体" w:eastAsia="黑体" w:cs="黑体"/>
          <w:sz w:val="48"/>
          <w:szCs w:val="48"/>
          <w:lang w:eastAsia="zh-CN"/>
        </w:rPr>
      </w:pPr>
      <w:r>
        <w:rPr>
          <w:rFonts w:ascii="黑体" w:hAnsi="黑体" w:eastAsia="黑体" w:cs="黑体"/>
          <w:b/>
          <w:bCs/>
          <w:spacing w:val="-20"/>
          <w:sz w:val="48"/>
          <w:szCs w:val="48"/>
        </w:rPr>
        <w:t>二建、监理、一建、一造、二造、安全、消防、咨询、检测课程押题联系</w:t>
      </w:r>
      <w:r>
        <w:rPr>
          <w:rFonts w:ascii="Times New Roman" w:hAnsi="Times New Roman" w:eastAsia="Times New Roman" w:cs="Times New Roman"/>
          <w:b/>
          <w:bCs/>
          <w:spacing w:val="-20"/>
          <w:sz w:val="48"/>
          <w:szCs w:val="48"/>
        </w:rPr>
        <w:t>QQ/</w:t>
      </w:r>
      <w:r>
        <w:rPr>
          <w:rFonts w:ascii="黑体" w:hAnsi="黑体" w:eastAsia="黑体" w:cs="黑体"/>
          <w:b/>
          <w:bCs/>
          <w:spacing w:val="-20"/>
          <w:sz w:val="48"/>
          <w:szCs w:val="48"/>
        </w:rPr>
        <w:t>微信：</w:t>
      </w:r>
      <w:r>
        <w:rPr>
          <w:rFonts w:hint="eastAsia" w:ascii="黑体" w:hAnsi="黑体" w:eastAsia="黑体" w:cs="黑体"/>
          <w:b/>
          <w:bCs/>
          <w:spacing w:val="-20"/>
          <w:sz w:val="48"/>
          <w:szCs w:val="48"/>
          <w:lang w:eastAsia="zh-CN"/>
        </w:rPr>
        <w:t>dayu_nm_cn</w:t>
      </w:r>
    </w:p>
    <w:p w14:paraId="54E1619F">
      <w:pPr>
        <w:spacing w:line="339" w:lineRule="auto"/>
        <w:rPr>
          <w:rFonts w:ascii="Arial"/>
          <w:sz w:val="21"/>
        </w:rPr>
      </w:pPr>
    </w:p>
    <w:p w14:paraId="4154274E">
      <w:pPr>
        <w:spacing w:line="339" w:lineRule="auto"/>
        <w:rPr>
          <w:rFonts w:ascii="Arial"/>
          <w:sz w:val="21"/>
        </w:rPr>
      </w:pPr>
    </w:p>
    <w:p w14:paraId="4A3F8D1A">
      <w:pPr>
        <w:pStyle w:val="2"/>
        <w:spacing w:before="199" w:line="224" w:lineRule="auto"/>
        <w:ind w:left="2168"/>
      </w:pPr>
      <w:r>
        <w:drawing>
          <wp:anchor distT="0" distB="0" distL="0" distR="0" simplePos="0" relativeHeight="251666432" behindDoc="1" locked="0" layoutInCell="1" allowOverlap="1">
            <wp:simplePos x="0" y="0"/>
            <wp:positionH relativeFrom="column">
              <wp:posOffset>0</wp:posOffset>
            </wp:positionH>
            <wp:positionV relativeFrom="paragraph">
              <wp:posOffset>-398145</wp:posOffset>
            </wp:positionV>
            <wp:extent cx="1844675" cy="1667510"/>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20"/>
                    <a:stretch>
                      <a:fillRect/>
                    </a:stretch>
                  </pic:blipFill>
                  <pic:spPr>
                    <a:xfrm>
                      <a:off x="0" y="0"/>
                      <a:ext cx="1844930" cy="1667481"/>
                    </a:xfrm>
                    <a:prstGeom prst="rect">
                      <a:avLst/>
                    </a:prstGeom>
                  </pic:spPr>
                </pic:pic>
              </a:graphicData>
            </a:graphic>
          </wp:anchor>
        </w:drawing>
      </w:r>
      <w:r>
        <w:rPr>
          <w:rFonts w:ascii="黑体" w:hAnsi="黑体" w:eastAsia="黑体" w:cs="黑体"/>
          <w:color w:val="D02030"/>
          <w:spacing w:val="1"/>
          <w:position w:val="2"/>
          <w:sz w:val="61"/>
          <w:szCs w:val="61"/>
        </w:rPr>
        <w:t xml:space="preserve">                                       </w:t>
      </w:r>
      <w:r>
        <w:rPr>
          <w:spacing w:val="15"/>
          <w:position w:val="-3"/>
        </w:rPr>
        <w:t>点亮职业人生</w:t>
      </w:r>
    </w:p>
    <w:p w14:paraId="2191BE4E">
      <w:pPr>
        <w:spacing w:before="61" w:line="23" w:lineRule="exact"/>
        <w:ind w:firstLine="2136"/>
      </w:pPr>
      <w:r>
        <w:drawing>
          <wp:inline distT="0" distB="0" distL="0" distR="0">
            <wp:extent cx="11705590" cy="1460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11"/>
                    <a:stretch>
                      <a:fillRect/>
                    </a:stretch>
                  </pic:blipFill>
                  <pic:spPr>
                    <a:xfrm>
                      <a:off x="0" y="0"/>
                      <a:ext cx="11706075" cy="14887"/>
                    </a:xfrm>
                    <a:prstGeom prst="rect">
                      <a:avLst/>
                    </a:prstGeom>
                  </pic:spPr>
                </pic:pic>
              </a:graphicData>
            </a:graphic>
          </wp:inline>
        </w:drawing>
      </w:r>
    </w:p>
    <w:p w14:paraId="60D41455">
      <w:pPr>
        <w:spacing w:line="271" w:lineRule="auto"/>
        <w:rPr>
          <w:rFonts w:ascii="Arial"/>
          <w:sz w:val="21"/>
        </w:rPr>
      </w:pPr>
    </w:p>
    <w:p w14:paraId="422942D5">
      <w:pPr>
        <w:spacing w:line="271" w:lineRule="auto"/>
        <w:rPr>
          <w:rFonts w:ascii="Arial"/>
          <w:sz w:val="21"/>
        </w:rPr>
      </w:pPr>
    </w:p>
    <w:p w14:paraId="2750D1D1">
      <w:pPr>
        <w:pStyle w:val="2"/>
        <w:spacing w:before="169" w:line="220" w:lineRule="auto"/>
        <w:ind w:left="3231"/>
        <w:rPr>
          <w:sz w:val="52"/>
          <w:szCs w:val="52"/>
        </w:rPr>
      </w:pPr>
      <w:r>
        <w:rPr>
          <w:spacing w:val="24"/>
          <w:sz w:val="52"/>
          <w:szCs w:val="52"/>
        </w:rPr>
        <w:t>2.行政强制执行的方式：①加处罚款或者滞纳金；②划拨存款、汇款；</w:t>
      </w:r>
    </w:p>
    <w:p w14:paraId="5EA77211">
      <w:pPr>
        <w:pStyle w:val="2"/>
        <w:spacing w:before="32" w:line="220" w:lineRule="auto"/>
        <w:ind w:left="2159"/>
        <w:rPr>
          <w:sz w:val="52"/>
          <w:szCs w:val="52"/>
        </w:rPr>
      </w:pPr>
      <w:r>
        <w:rPr>
          <w:spacing w:val="28"/>
          <w:sz w:val="52"/>
          <w:szCs w:val="52"/>
        </w:rPr>
        <w:t>③拍卖或者依法处理查封、扣押的场所、设施或者财物；④排除妨碍、恢复</w:t>
      </w:r>
    </w:p>
    <w:p w14:paraId="402EB00A">
      <w:pPr>
        <w:pStyle w:val="2"/>
        <w:spacing w:before="131" w:line="216" w:lineRule="auto"/>
        <w:ind w:left="14457"/>
      </w:pPr>
      <w:r>
        <w:rPr>
          <w:spacing w:val="-8"/>
        </w:rPr>
        <w:t>78</w:t>
      </w:r>
    </w:p>
    <w:p w14:paraId="187EF483">
      <w:pPr>
        <w:pStyle w:val="2"/>
        <w:spacing w:line="220" w:lineRule="auto"/>
        <w:ind w:left="2159"/>
        <w:rPr>
          <w:sz w:val="52"/>
          <w:szCs w:val="52"/>
        </w:rPr>
      </w:pPr>
      <w:r>
        <w:rPr>
          <w:spacing w:val="19"/>
          <w:sz w:val="52"/>
          <w:szCs w:val="52"/>
        </w:rPr>
        <w:t>原状；⑤代履行；⑥其他强制执行方式。</w:t>
      </w:r>
    </w:p>
    <w:p w14:paraId="1464F901">
      <w:pPr>
        <w:spacing w:line="317" w:lineRule="auto"/>
        <w:rPr>
          <w:rFonts w:ascii="Arial"/>
          <w:sz w:val="21"/>
        </w:rPr>
      </w:pPr>
    </w:p>
    <w:p w14:paraId="5A45A8FF">
      <w:pPr>
        <w:pStyle w:val="2"/>
        <w:spacing w:before="157" w:line="387" w:lineRule="auto"/>
        <w:ind w:left="2142" w:right="8804" w:hanging="6"/>
      </w:pPr>
      <w:r>
        <w:rPr>
          <w:spacing w:val="40"/>
        </w:rPr>
        <w:t>【考点来源】第一章第六节建设工程行政法律制度</w:t>
      </w:r>
      <w:r>
        <w:t xml:space="preserve"> </w:t>
      </w:r>
      <w:r>
        <w:rPr>
          <w:b/>
          <w:bCs/>
          <w:spacing w:val="34"/>
        </w:rPr>
        <w:t>【考点20】</w:t>
      </w:r>
      <w:r>
        <w:rPr>
          <w:spacing w:val="-62"/>
        </w:rPr>
        <w:t xml:space="preserve"> </w:t>
      </w:r>
      <w:r>
        <w:rPr>
          <w:spacing w:val="34"/>
        </w:rPr>
        <w:t>主刑和附加刑</w:t>
      </w:r>
    </w:p>
    <w:p w14:paraId="58BA9EB1">
      <w:pPr>
        <w:pStyle w:val="2"/>
        <w:spacing w:line="637" w:lineRule="exact"/>
        <w:ind w:left="2136"/>
      </w:pPr>
      <w:r>
        <w:rPr>
          <w:spacing w:val="4"/>
          <w:position w:val="-3"/>
        </w:rPr>
        <w:t xml:space="preserve">【考点星级】 </w:t>
      </w:r>
      <w:r>
        <w:rPr>
          <w:position w:val="-7"/>
        </w:rPr>
        <w:drawing>
          <wp:inline distT="0" distB="0" distL="0" distR="0">
            <wp:extent cx="1005840" cy="33528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21"/>
                    <a:stretch>
                      <a:fillRect/>
                    </a:stretch>
                  </pic:blipFill>
                  <pic:spPr>
                    <a:xfrm>
                      <a:off x="0" y="0"/>
                      <a:ext cx="1006416" cy="335346"/>
                    </a:xfrm>
                    <a:prstGeom prst="rect">
                      <a:avLst/>
                    </a:prstGeom>
                  </pic:spPr>
                </pic:pic>
              </a:graphicData>
            </a:graphic>
          </wp:inline>
        </w:drawing>
      </w:r>
    </w:p>
    <w:p w14:paraId="743DA4BB">
      <w:pPr>
        <w:pStyle w:val="2"/>
        <w:spacing w:before="368" w:line="220" w:lineRule="auto"/>
        <w:ind w:left="2136"/>
      </w:pPr>
      <w:r>
        <w:rPr>
          <w:spacing w:val="46"/>
        </w:rPr>
        <w:t>【考点分值】1-2分</w:t>
      </w:r>
    </w:p>
    <w:p w14:paraId="1F630BE6">
      <w:pPr>
        <w:spacing w:line="298" w:lineRule="auto"/>
        <w:rPr>
          <w:rFonts w:ascii="Arial"/>
          <w:sz w:val="21"/>
        </w:rPr>
      </w:pPr>
    </w:p>
    <w:p w14:paraId="66DCE0D2">
      <w:pPr>
        <w:pStyle w:val="2"/>
        <w:spacing w:before="157" w:line="389" w:lineRule="auto"/>
        <w:ind w:left="2159" w:right="1946" w:firstLine="1071"/>
        <w:jc w:val="both"/>
      </w:pPr>
      <w:r>
        <w:rPr>
          <w:spacing w:val="29"/>
        </w:rPr>
        <w:t>刑罚分为主刑和附加刑。主刑的种类如下：(1)管制；(2)拘</w:t>
      </w:r>
      <w:r>
        <w:rPr>
          <w:spacing w:val="28"/>
        </w:rPr>
        <w:t>役；  (3)有期徒</w:t>
      </w:r>
      <w:r>
        <w:t xml:space="preserve"> </w:t>
      </w:r>
      <w:r>
        <w:rPr>
          <w:spacing w:val="62"/>
        </w:rPr>
        <w:t>刑；(4)无期徒刑；(5)死刑。附加刑的种类如下：(1)罚金；(2)剥夺政治权</w:t>
      </w:r>
      <w:r>
        <w:rPr>
          <w:spacing w:val="15"/>
        </w:rPr>
        <w:t xml:space="preserve"> </w:t>
      </w:r>
      <w:r>
        <w:rPr>
          <w:spacing w:val="-3"/>
        </w:rPr>
        <w:t>利；(3)没收财产。</w:t>
      </w:r>
    </w:p>
    <w:p w14:paraId="2D3324FA">
      <w:pPr>
        <w:pStyle w:val="2"/>
        <w:spacing w:before="7" w:line="217" w:lineRule="auto"/>
        <w:ind w:left="2136"/>
        <w:rPr>
          <w:rFonts w:hint="eastAsia" w:ascii="Times New Roman" w:hAnsi="Times New Roman" w:eastAsia="宋体" w:cs="Times New Roman"/>
          <w:lang w:eastAsia="zh-CN"/>
        </w:rPr>
      </w:pPr>
      <w:r>
        <w:rPr>
          <w:spacing w:val="38"/>
          <w:position w:val="2"/>
        </w:rPr>
        <w:t xml:space="preserve">【考点来源】第一章第七节建设工程刑事法律制度   </w:t>
      </w:r>
    </w:p>
    <w:sectPr>
      <w:footerReference r:id="rId8" w:type="default"/>
      <w:pgSz w:w="22389" w:h="31681"/>
      <w:pgMar w:top="152" w:right="7" w:bottom="3021" w:left="0" w:header="0" w:footer="23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6050B">
    <w:pPr>
      <w:spacing w:line="398" w:lineRule="auto"/>
      <w:rPr>
        <w:rFonts w:ascii="Arial"/>
        <w:sz w:val="21"/>
      </w:rPr>
    </w:pPr>
    <w:r>
      <w:drawing>
        <wp:anchor distT="0" distB="0" distL="0" distR="0" simplePos="0" relativeHeight="251659264" behindDoc="0" locked="0" layoutInCell="0" allowOverlap="1">
          <wp:simplePos x="0" y="0"/>
          <wp:positionH relativeFrom="page">
            <wp:posOffset>12159615</wp:posOffset>
          </wp:positionH>
          <wp:positionV relativeFrom="page">
            <wp:posOffset>18197830</wp:posOffset>
          </wp:positionV>
          <wp:extent cx="720090" cy="542290"/>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720229" cy="542550"/>
                  </a:xfrm>
                  <a:prstGeom prst="rect">
                    <a:avLst/>
                  </a:prstGeom>
                </pic:spPr>
              </pic:pic>
            </a:graphicData>
          </a:graphic>
        </wp:anchor>
      </w:drawing>
    </w:r>
  </w:p>
  <w:p w14:paraId="0697D0E5">
    <w:pPr>
      <w:spacing w:line="278" w:lineRule="auto"/>
      <w:rPr>
        <w:rFonts w:ascii="Arial"/>
        <w:sz w:val="21"/>
      </w:rPr>
    </w:pPr>
  </w:p>
  <w:p w14:paraId="162D632B">
    <w:pPr>
      <w:spacing w:line="278" w:lineRule="auto"/>
      <w:rPr>
        <w:rFonts w:ascii="Arial"/>
        <w:sz w:val="21"/>
      </w:rPr>
    </w:pPr>
  </w:p>
  <w:p w14:paraId="34D229FA">
    <w:pPr>
      <w:spacing w:line="278" w:lineRule="auto"/>
      <w:rPr>
        <w:rFonts w:ascii="Arial"/>
        <w:sz w:val="21"/>
      </w:rPr>
    </w:pPr>
  </w:p>
  <w:p w14:paraId="5ACBC832">
    <w:pPr>
      <w:spacing w:line="278" w:lineRule="auto"/>
      <w:rPr>
        <w:rFonts w:ascii="Arial"/>
        <w:sz w:val="21"/>
      </w:rPr>
    </w:pPr>
  </w:p>
  <w:p w14:paraId="3E775FF1">
    <w:pPr>
      <w:spacing w:before="2" w:line="208" w:lineRule="auto"/>
      <w:ind w:left="573"/>
      <w:rPr>
        <w:rFonts w:hint="eastAsia" w:ascii="Times New Roman" w:hAnsi="Times New Roman" w:eastAsia="黑体" w:cs="Times New Roman"/>
        <w:sz w:val="48"/>
        <w:szCs w:val="48"/>
        <w:lang w:eastAsia="zh-CN"/>
      </w:rPr>
    </w:pPr>
    <w:r>
      <w:rPr>
        <w:rFonts w:ascii="黑体" w:hAnsi="黑体" w:eastAsia="黑体" w:cs="黑体"/>
        <w:b/>
        <w:bCs/>
        <w:spacing w:val="8"/>
        <w:sz w:val="48"/>
        <w:szCs w:val="48"/>
      </w:rPr>
      <w:t>名师面授精华、央企内训、考点串讲、习题模考、考前三页纸、绝密押题联系</w:t>
    </w:r>
    <w:r>
      <w:rPr>
        <w:rFonts w:ascii="Times New Roman" w:hAnsi="Times New Roman" w:eastAsia="Times New Roman" w:cs="Times New Roman"/>
        <w:b/>
        <w:bCs/>
        <w:sz w:val="48"/>
        <w:szCs w:val="48"/>
      </w:rPr>
      <w:t>QQ</w:t>
    </w:r>
    <w:r>
      <w:rPr>
        <w:rFonts w:ascii="Times New Roman" w:hAnsi="Times New Roman" w:eastAsia="Times New Roman" w:cs="Times New Roman"/>
        <w:b/>
        <w:bCs/>
        <w:spacing w:val="8"/>
        <w:sz w:val="48"/>
        <w:szCs w:val="48"/>
      </w:rPr>
      <w:t>/</w:t>
    </w:r>
    <w:r>
      <w:rPr>
        <w:rFonts w:ascii="黑体" w:hAnsi="黑体" w:eastAsia="黑体" w:cs="黑体"/>
        <w:b/>
        <w:bCs/>
        <w:spacing w:val="8"/>
        <w:sz w:val="48"/>
        <w:szCs w:val="48"/>
      </w:rPr>
      <w:t>微信：</w:t>
    </w:r>
    <w:r>
      <w:rPr>
        <w:rFonts w:hint="eastAsia" w:ascii="黑体" w:hAnsi="黑体" w:eastAsia="黑体" w:cs="黑体"/>
        <w:b/>
        <w:bCs/>
        <w:spacing w:val="8"/>
        <w:sz w:val="48"/>
        <w:szCs w:val="48"/>
        <w:lang w:eastAsia="zh-CN"/>
      </w:rPr>
      <w:t>dayu_nm_cn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C73FD">
    <w:pPr>
      <w:spacing w:line="429" w:lineRule="auto"/>
      <w:rPr>
        <w:rFonts w:ascii="Arial"/>
        <w:sz w:val="21"/>
      </w:rPr>
    </w:pPr>
    <w:r>
      <w:drawing>
        <wp:anchor distT="0" distB="0" distL="0" distR="0" simplePos="0" relativeHeight="251660288" behindDoc="0" locked="0" layoutInCell="0" allowOverlap="1">
          <wp:simplePos x="0" y="0"/>
          <wp:positionH relativeFrom="page">
            <wp:posOffset>12159615</wp:posOffset>
          </wp:positionH>
          <wp:positionV relativeFrom="page">
            <wp:posOffset>18197830</wp:posOffset>
          </wp:positionV>
          <wp:extent cx="720090" cy="542290"/>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720229" cy="542550"/>
                  </a:xfrm>
                  <a:prstGeom prst="rect">
                    <a:avLst/>
                  </a:prstGeom>
                </pic:spPr>
              </pic:pic>
            </a:graphicData>
          </a:graphic>
        </wp:anchor>
      </w:drawing>
    </w:r>
  </w:p>
  <w:p w14:paraId="61B30C18">
    <w:pPr>
      <w:pStyle w:val="2"/>
      <w:spacing w:before="110" w:after="110" w:line="218" w:lineRule="auto"/>
      <w:ind w:left="6586"/>
      <w:rPr>
        <w:rFonts w:ascii="Arial" w:hAnsi="Arial" w:eastAsia="Arial" w:cs="Arial"/>
        <w:sz w:val="34"/>
        <w:szCs w:val="34"/>
      </w:rPr>
    </w:pPr>
    <w:r>
      <w:drawing>
        <wp:anchor distT="0" distB="0" distL="0" distR="0" simplePos="0" relativeHeight="251661312" behindDoc="0" locked="0" layoutInCell="1" allowOverlap="1">
          <wp:simplePos x="0" y="0"/>
          <wp:positionH relativeFrom="column">
            <wp:posOffset>1370965</wp:posOffset>
          </wp:positionH>
          <wp:positionV relativeFrom="paragraph">
            <wp:posOffset>296545</wp:posOffset>
          </wp:positionV>
          <wp:extent cx="11179175" cy="10795"/>
          <wp:effectExtent l="0" t="0" r="0" b="0"/>
          <wp:wrapNone/>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2"/>
                  <a:stretch>
                    <a:fillRect/>
                  </a:stretch>
                </pic:blipFill>
                <pic:spPr>
                  <a:xfrm>
                    <a:off x="0" y="0"/>
                    <a:ext cx="11179337" cy="11099"/>
                  </a:xfrm>
                  <a:prstGeom prst="rect">
                    <a:avLst/>
                  </a:prstGeom>
                </pic:spPr>
              </pic:pic>
            </a:graphicData>
          </a:graphic>
        </wp:anchor>
      </w:drawing>
    </w:r>
    <w:r>
      <w:rPr>
        <w:spacing w:val="-10"/>
        <w:sz w:val="34"/>
        <w:szCs w:val="34"/>
      </w:rPr>
      <w:t>官</w:t>
    </w:r>
    <w:r>
      <w:rPr>
        <w:spacing w:val="140"/>
        <w:sz w:val="34"/>
        <w:szCs w:val="34"/>
      </w:rPr>
      <w:t xml:space="preserve"> </w:t>
    </w:r>
    <w:r>
      <w:rPr>
        <w:spacing w:val="-10"/>
        <w:sz w:val="34"/>
        <w:szCs w:val="34"/>
      </w:rPr>
      <w:t>方  网</w:t>
    </w:r>
    <w:r>
      <w:rPr>
        <w:spacing w:val="139"/>
        <w:sz w:val="34"/>
        <w:szCs w:val="34"/>
      </w:rPr>
      <w:t xml:space="preserve"> </w:t>
    </w:r>
    <w:r>
      <w:rPr>
        <w:spacing w:val="-10"/>
        <w:sz w:val="34"/>
        <w:szCs w:val="34"/>
      </w:rPr>
      <w:t>站  ：</w:t>
    </w:r>
    <w:r>
      <w:fldChar w:fldCharType="begin"/>
    </w:r>
    <w:r>
      <w:instrText xml:space="preserve"> HYPERLINK "https://www.youlu.com" </w:instrText>
    </w:r>
    <w:r>
      <w:fldChar w:fldCharType="separate"/>
    </w:r>
    <w:r>
      <w:rPr>
        <w:rFonts w:ascii="Arial" w:hAnsi="Arial" w:eastAsia="Arial" w:cs="Arial"/>
        <w:spacing w:val="-10"/>
        <w:sz w:val="34"/>
        <w:szCs w:val="34"/>
      </w:rPr>
      <w:t>w</w:t>
    </w:r>
    <w:r>
      <w:rPr>
        <w:rFonts w:ascii="Arial" w:hAnsi="Arial" w:eastAsia="Arial" w:cs="Arial"/>
        <w:spacing w:val="4"/>
        <w:sz w:val="34"/>
        <w:szCs w:val="34"/>
      </w:rPr>
      <w:t xml:space="preserve">   </w:t>
    </w:r>
    <w:r>
      <w:rPr>
        <w:rFonts w:ascii="Arial" w:hAnsi="Arial" w:eastAsia="Arial" w:cs="Arial"/>
        <w:spacing w:val="-10"/>
        <w:sz w:val="34"/>
        <w:szCs w:val="34"/>
      </w:rPr>
      <w:t>w</w:t>
    </w:r>
    <w:r>
      <w:rPr>
        <w:rFonts w:ascii="Arial" w:hAnsi="Arial" w:eastAsia="Arial" w:cs="Arial"/>
        <w:spacing w:val="4"/>
        <w:sz w:val="34"/>
        <w:szCs w:val="34"/>
      </w:rPr>
      <w:t xml:space="preserve">   </w:t>
    </w:r>
    <w:r>
      <w:rPr>
        <w:rFonts w:ascii="Arial" w:hAnsi="Arial" w:eastAsia="Arial" w:cs="Arial"/>
        <w:spacing w:val="-10"/>
        <w:sz w:val="34"/>
        <w:szCs w:val="34"/>
      </w:rPr>
      <w:t>w</w:t>
    </w:r>
    <w:r>
      <w:rPr>
        <w:rFonts w:ascii="Arial" w:hAnsi="Arial" w:eastAsia="Arial" w:cs="Arial"/>
        <w:spacing w:val="14"/>
        <w:sz w:val="34"/>
        <w:szCs w:val="34"/>
      </w:rPr>
      <w:t xml:space="preserve">   </w:t>
    </w:r>
    <w:r>
      <w:rPr>
        <w:rFonts w:ascii="Arial" w:hAnsi="Arial" w:eastAsia="Arial" w:cs="Arial"/>
        <w:spacing w:val="-10"/>
        <w:sz w:val="34"/>
        <w:szCs w:val="34"/>
      </w:rPr>
      <w:t>.</w:t>
    </w:r>
    <w:r>
      <w:rPr>
        <w:rFonts w:ascii="Arial" w:hAnsi="Arial" w:eastAsia="Arial" w:cs="Arial"/>
        <w:spacing w:val="5"/>
        <w:sz w:val="34"/>
        <w:szCs w:val="34"/>
      </w:rPr>
      <w:t xml:space="preserve"> </w:t>
    </w:r>
    <w:r>
      <w:rPr>
        <w:rFonts w:hint="eastAsia" w:ascii="Arial" w:hAnsi="Arial" w:cs="Arial"/>
        <w:spacing w:val="5"/>
        <w:sz w:val="34"/>
        <w:szCs w:val="34"/>
        <w:lang w:eastAsia="zh-CN"/>
      </w:rPr>
      <w:t>dayu.nm.cn</w:t>
    </w:r>
    <w:r>
      <w:rPr>
        <w:rFonts w:ascii="Arial" w:hAnsi="Arial" w:eastAsia="Arial" w:cs="Arial"/>
        <w:spacing w:val="-10"/>
        <w:sz w:val="34"/>
        <w:szCs w:val="34"/>
      </w:rPr>
      <w:fldChar w:fldCharType="end"/>
    </w:r>
  </w:p>
  <w:p w14:paraId="205D7494">
    <w:pPr>
      <w:spacing w:line="287" w:lineRule="auto"/>
      <w:rPr>
        <w:rFonts w:ascii="Arial"/>
        <w:sz w:val="21"/>
      </w:rPr>
    </w:pPr>
  </w:p>
  <w:p w14:paraId="04926DA1">
    <w:pPr>
      <w:spacing w:line="287" w:lineRule="auto"/>
      <w:rPr>
        <w:rFonts w:ascii="Arial"/>
        <w:sz w:val="21"/>
      </w:rPr>
    </w:pPr>
  </w:p>
  <w:p w14:paraId="4611E415">
    <w:pPr>
      <w:spacing w:line="287" w:lineRule="auto"/>
      <w:rPr>
        <w:rFonts w:ascii="Arial"/>
        <w:sz w:val="21"/>
      </w:rPr>
    </w:pPr>
  </w:p>
  <w:p w14:paraId="0FD0293C">
    <w:pPr>
      <w:spacing w:line="287" w:lineRule="auto"/>
      <w:rPr>
        <w:rFonts w:ascii="Arial"/>
        <w:sz w:val="21"/>
      </w:rPr>
    </w:pPr>
  </w:p>
  <w:p w14:paraId="73CF587C">
    <w:pPr>
      <w:spacing w:line="210" w:lineRule="auto"/>
      <w:ind w:left="574"/>
      <w:rPr>
        <w:rFonts w:hint="eastAsia" w:ascii="Times New Roman" w:hAnsi="Times New Roman" w:eastAsia="黑体" w:cs="Times New Roman"/>
        <w:sz w:val="50"/>
        <w:szCs w:val="50"/>
        <w:lang w:eastAsia="zh-CN"/>
      </w:rPr>
    </w:pPr>
    <w:r>
      <w:rPr>
        <w:rFonts w:ascii="黑体" w:hAnsi="黑体" w:eastAsia="黑体" w:cs="黑体"/>
        <w:b/>
        <w:bCs/>
        <w:spacing w:val="-11"/>
        <w:sz w:val="50"/>
        <w:szCs w:val="50"/>
      </w:rPr>
      <w:t>名师面授精华、央企内训、考点串讲、习题模考、考前三页纸、绝密押题联系</w:t>
    </w:r>
    <w:r>
      <w:rPr>
        <w:rFonts w:ascii="Times New Roman" w:hAnsi="Times New Roman" w:eastAsia="Times New Roman" w:cs="Times New Roman"/>
        <w:b/>
        <w:bCs/>
        <w:spacing w:val="-11"/>
        <w:sz w:val="50"/>
        <w:szCs w:val="50"/>
      </w:rPr>
      <w:t>QQ/</w:t>
    </w:r>
    <w:r>
      <w:rPr>
        <w:rFonts w:ascii="黑体" w:hAnsi="黑体" w:eastAsia="黑体" w:cs="黑体"/>
        <w:b/>
        <w:bCs/>
        <w:spacing w:val="-11"/>
        <w:sz w:val="50"/>
        <w:szCs w:val="50"/>
      </w:rPr>
      <w:t>微信：</w:t>
    </w:r>
    <w:r>
      <w:rPr>
        <w:rFonts w:hint="eastAsia" w:ascii="黑体" w:hAnsi="黑体" w:eastAsia="黑体" w:cs="黑体"/>
        <w:b/>
        <w:bCs/>
        <w:spacing w:val="-11"/>
        <w:sz w:val="50"/>
        <w:szCs w:val="50"/>
        <w:lang w:eastAsia="zh-CN"/>
      </w:rPr>
      <w:t>dayu_nm_cn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D450F">
    <w:pPr>
      <w:spacing w:line="264" w:lineRule="auto"/>
      <w:rPr>
        <w:rFonts w:ascii="Arial"/>
        <w:sz w:val="21"/>
      </w:rPr>
    </w:pPr>
  </w:p>
  <w:p w14:paraId="5752074B">
    <w:pPr>
      <w:spacing w:line="264" w:lineRule="auto"/>
      <w:rPr>
        <w:rFonts w:ascii="Arial"/>
        <w:sz w:val="21"/>
      </w:rPr>
    </w:pPr>
  </w:p>
  <w:p w14:paraId="19EFFE4F">
    <w:pPr>
      <w:spacing w:line="263" w:lineRule="auto"/>
      <w:rPr>
        <w:rFonts w:ascii="Arial"/>
        <w:sz w:val="21"/>
      </w:rPr>
    </w:pPr>
  </w:p>
  <w:p w14:paraId="68A67695">
    <w:pPr>
      <w:spacing w:line="263" w:lineRule="auto"/>
      <w:rPr>
        <w:rFonts w:ascii="Arial"/>
        <w:sz w:val="21"/>
      </w:rPr>
    </w:pPr>
  </w:p>
  <w:p w14:paraId="1CAA71E7">
    <w:pPr>
      <w:spacing w:before="2" w:line="208" w:lineRule="auto"/>
      <w:ind w:left="567"/>
      <w:rPr>
        <w:rFonts w:hint="eastAsia" w:ascii="黑体" w:hAnsi="黑体" w:eastAsia="黑体" w:cs="黑体"/>
        <w:sz w:val="48"/>
        <w:szCs w:val="48"/>
        <w:lang w:eastAsia="zh-CN"/>
      </w:rPr>
    </w:pPr>
    <w:r>
      <w:rPr>
        <w:rFonts w:ascii="黑体" w:hAnsi="黑体" w:eastAsia="黑体" w:cs="黑体"/>
        <w:spacing w:val="9"/>
        <w:sz w:val="48"/>
        <w:szCs w:val="48"/>
      </w:rPr>
      <w:t>名</w:t>
    </w:r>
    <w:r>
      <w:rPr>
        <w:rFonts w:ascii="黑体" w:hAnsi="黑体" w:eastAsia="黑体" w:cs="黑体"/>
        <w:b/>
        <w:bCs/>
        <w:spacing w:val="9"/>
        <w:sz w:val="48"/>
        <w:szCs w:val="48"/>
      </w:rPr>
      <w:t>师面授精华、央企内训、考点串讲、习题模考、考前三页纸、绝密押题联系</w:t>
    </w:r>
    <w:r>
      <w:rPr>
        <w:rFonts w:ascii="Times New Roman" w:hAnsi="Times New Roman" w:eastAsia="Times New Roman" w:cs="Times New Roman"/>
        <w:b/>
        <w:bCs/>
        <w:sz w:val="48"/>
        <w:szCs w:val="48"/>
      </w:rPr>
      <w:t>QQ</w:t>
    </w:r>
    <w:r>
      <w:rPr>
        <w:rFonts w:ascii="Times New Roman" w:hAnsi="Times New Roman" w:eastAsia="Times New Roman" w:cs="Times New Roman"/>
        <w:b/>
        <w:bCs/>
        <w:spacing w:val="9"/>
        <w:sz w:val="48"/>
        <w:szCs w:val="48"/>
      </w:rPr>
      <w:t>/</w:t>
    </w:r>
    <w:r>
      <w:rPr>
        <w:rFonts w:ascii="黑体" w:hAnsi="黑体" w:eastAsia="黑体" w:cs="黑体"/>
        <w:b/>
        <w:bCs/>
        <w:spacing w:val="9"/>
        <w:sz w:val="48"/>
        <w:szCs w:val="48"/>
      </w:rPr>
      <w:t>微信：</w:t>
    </w:r>
    <w:r>
      <w:rPr>
        <w:rFonts w:hint="eastAsia" w:ascii="黑体" w:hAnsi="黑体" w:eastAsia="黑体" w:cs="黑体"/>
        <w:b/>
        <w:bCs/>
        <w:spacing w:val="9"/>
        <w:sz w:val="48"/>
        <w:szCs w:val="48"/>
        <w:lang w:eastAsia="zh-CN"/>
      </w:rPr>
      <w:t>dayu_nm_cn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E0AA5">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0D25501"/>
    <w:rsid w:val="6F4A3D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48"/>
      <w:szCs w:val="48"/>
      <w:lang w:val="en-US" w:eastAsia="en-US" w:bidi="ar-SA"/>
    </w:rPr>
  </w:style>
  <w:style w:type="paragraph" w:styleId="3">
    <w:name w:val="footer"/>
    <w:basedOn w:val="1"/>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pn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Pages>
  <Words>2135</Words>
  <Characters>2277</Characters>
  <TotalTime>2</TotalTime>
  <ScaleCrop>false</ScaleCrop>
  <LinksUpToDate>false</LinksUpToDate>
  <CharactersWithSpaces>2449</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2026-01-19T22:31:00Z</dcterms:created>
  <dc:creator>Administrator</dc:creator>
  <cp:lastModifiedBy>薛飞</cp:lastModifiedBy>
  <dcterms:modified xsi:type="dcterms:W3CDTF">2026-01-19T14:40:12Z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2026-01-19T22:31:44Z</vt:filetime>
  </property>
  <property fmtid="{D5CDD505-2E9C-101B-9397-08002B2CF9AE}" pid="4" name="UsrData">
    <vt:lpwstr>696e404a93e4d8001f849842wl</vt:lpwstr>
  </property>
  <property fmtid="{D5CDD505-2E9C-101B-9397-08002B2CF9AE}" pid="5" name="KSOTemplateDocerSaveRecord">
    <vt:lpwstr>eyJoZGlkIjoiZjkwMTBkN2I3YTM0ZGM0MmNiNGVlODY4ZWE2YWNlNWMiLCJ1c2VySWQiOiI5NTk2ODI5NzQifQ==</vt:lpwstr>
  </property>
  <property fmtid="{D5CDD505-2E9C-101B-9397-08002B2CF9AE}" pid="6" name="KSOProductBuildVer">
    <vt:lpwstr>2052-12.1.0.24034</vt:lpwstr>
  </property>
  <property fmtid="{D5CDD505-2E9C-101B-9397-08002B2CF9AE}" pid="7" name="ICV">
    <vt:lpwstr>BB2915E71E2644A5A42F87F721697582_12</vt:lpwstr>
  </property>
</Properties>
</file>