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BF6ED">
      <w:pPr>
        <w:spacing w:line="212" w:lineRule="auto"/>
        <w:ind w:left="289"/>
      </w:pPr>
      <w:r>
        <w:rPr>
          <w:rFonts w:hint="eastAsia" w:ascii="宋体" w:hAnsi="宋体" w:eastAsia="宋体" w:cs="宋体"/>
          <w:spacing w:val="-10"/>
          <w:sz w:val="20"/>
          <w:szCs w:val="20"/>
          <w:lang w:eastAsia="zh-CN"/>
        </w:rPr>
        <w:t>大鱼社区</w:t>
      </w:r>
      <w:r>
        <w:rPr>
          <w:rFonts w:ascii="宋体" w:hAnsi="宋体" w:eastAsia="宋体" w:cs="宋体"/>
          <w:spacing w:val="-27"/>
          <w:sz w:val="20"/>
          <w:szCs w:val="20"/>
        </w:rPr>
        <w:t xml:space="preserve"> </w:t>
      </w:r>
      <w:r>
        <w:rPr>
          <w:rFonts w:ascii="宋体" w:hAnsi="宋体" w:eastAsia="宋体" w:cs="宋体"/>
          <w:spacing w:val="-10"/>
          <w:sz w:val="20"/>
          <w:szCs w:val="20"/>
        </w:rPr>
        <w:t>团</w:t>
      </w:r>
      <w:r>
        <w:rPr>
          <w:rFonts w:ascii="宋体" w:hAnsi="宋体" w:eastAsia="宋体" w:cs="宋体"/>
          <w:spacing w:val="-29"/>
          <w:sz w:val="20"/>
          <w:szCs w:val="20"/>
        </w:rPr>
        <w:t xml:space="preserve"> </w:t>
      </w:r>
      <w:r>
        <w:rPr>
          <w:rFonts w:ascii="宋体" w:hAnsi="宋体" w:eastAsia="宋体" w:cs="宋体"/>
          <w:spacing w:val="-10"/>
          <w:sz w:val="20"/>
          <w:szCs w:val="20"/>
        </w:rPr>
        <w:t>队</w:t>
      </w:r>
      <w:r>
        <w:rPr>
          <w:rFonts w:ascii="宋体" w:hAnsi="宋体" w:eastAsia="宋体" w:cs="宋体"/>
          <w:spacing w:val="-45"/>
          <w:sz w:val="20"/>
          <w:szCs w:val="20"/>
        </w:rPr>
        <w:t xml:space="preserve"> </w:t>
      </w:r>
      <w:r>
        <w:rPr>
          <w:rFonts w:ascii="宋体" w:hAnsi="宋体" w:eastAsia="宋体" w:cs="宋体"/>
          <w:spacing w:val="-10"/>
          <w:sz w:val="20"/>
          <w:szCs w:val="20"/>
        </w:rPr>
        <w:t>助</w:t>
      </w:r>
      <w:r>
        <w:rPr>
          <w:rFonts w:ascii="宋体" w:hAnsi="宋体" w:eastAsia="宋体" w:cs="宋体"/>
          <w:spacing w:val="-44"/>
          <w:sz w:val="20"/>
          <w:szCs w:val="20"/>
        </w:rPr>
        <w:t xml:space="preserve"> </w:t>
      </w:r>
      <w:r>
        <w:rPr>
          <w:rFonts w:ascii="宋体" w:hAnsi="宋体" w:eastAsia="宋体" w:cs="宋体"/>
          <w:spacing w:val="-10"/>
          <w:sz w:val="20"/>
          <w:szCs w:val="20"/>
        </w:rPr>
        <w:t>你</w:t>
      </w:r>
      <w:r>
        <w:rPr>
          <w:rFonts w:ascii="宋体" w:hAnsi="宋体" w:eastAsia="宋体" w:cs="宋体"/>
          <w:spacing w:val="-42"/>
          <w:sz w:val="20"/>
          <w:szCs w:val="20"/>
        </w:rPr>
        <w:t xml:space="preserve"> </w:t>
      </w:r>
      <w:r>
        <w:rPr>
          <w:rFonts w:ascii="宋体" w:hAnsi="宋体" w:eastAsia="宋体" w:cs="宋体"/>
          <w:spacing w:val="-10"/>
          <w:sz w:val="20"/>
          <w:szCs w:val="20"/>
        </w:rPr>
        <w:t>备</w:t>
      </w:r>
      <w:r>
        <w:rPr>
          <w:rFonts w:ascii="宋体" w:hAnsi="宋体" w:eastAsia="宋体" w:cs="宋体"/>
          <w:spacing w:val="-45"/>
          <w:sz w:val="20"/>
          <w:szCs w:val="20"/>
        </w:rPr>
        <w:t xml:space="preserve"> </w:t>
      </w:r>
      <w:r>
        <w:rPr>
          <w:rFonts w:ascii="宋体" w:hAnsi="宋体" w:eastAsia="宋体" w:cs="宋体"/>
          <w:spacing w:val="-10"/>
          <w:sz w:val="20"/>
          <w:szCs w:val="20"/>
        </w:rPr>
        <w:t>考</w:t>
      </w:r>
      <w:r>
        <w:rPr>
          <w:rFonts w:ascii="宋体" w:hAnsi="宋体" w:eastAsia="宋体" w:cs="宋体"/>
          <w:spacing w:val="-27"/>
          <w:sz w:val="20"/>
          <w:szCs w:val="20"/>
        </w:rPr>
        <w:t xml:space="preserve"> </w:t>
      </w:r>
      <w:r>
        <w:rPr>
          <w:rFonts w:ascii="宋体" w:hAnsi="宋体" w:eastAsia="宋体" w:cs="宋体"/>
          <w:spacing w:val="-10"/>
          <w:sz w:val="20"/>
          <w:szCs w:val="20"/>
        </w:rPr>
        <w:t>：</w:t>
      </w:r>
      <w:r>
        <w:rPr>
          <w:rFonts w:ascii="宋体" w:hAnsi="宋体" w:eastAsia="宋体" w:cs="宋体"/>
          <w:spacing w:val="-44"/>
          <w:sz w:val="20"/>
          <w:szCs w:val="20"/>
        </w:rPr>
        <w:t xml:space="preserve"> </w:t>
      </w:r>
      <w:r>
        <w:rPr>
          <w:rFonts w:ascii="宋体" w:hAnsi="宋体" w:eastAsia="宋体" w:cs="宋体"/>
          <w:spacing w:val="-10"/>
          <w:sz w:val="20"/>
          <w:szCs w:val="20"/>
        </w:rPr>
        <w:t>少</w:t>
      </w:r>
      <w:r>
        <w:rPr>
          <w:rFonts w:ascii="宋体" w:hAnsi="宋体" w:eastAsia="宋体" w:cs="宋体"/>
          <w:spacing w:val="-43"/>
          <w:sz w:val="20"/>
          <w:szCs w:val="20"/>
        </w:rPr>
        <w:t xml:space="preserve"> </w:t>
      </w:r>
      <w:r>
        <w:rPr>
          <w:rFonts w:ascii="宋体" w:hAnsi="宋体" w:eastAsia="宋体" w:cs="宋体"/>
          <w:spacing w:val="-10"/>
          <w:sz w:val="20"/>
          <w:szCs w:val="20"/>
        </w:rPr>
        <w:t>走</w:t>
      </w:r>
      <w:r>
        <w:rPr>
          <w:rFonts w:ascii="宋体" w:hAnsi="宋体" w:eastAsia="宋体" w:cs="宋体"/>
          <w:spacing w:val="-39"/>
          <w:sz w:val="20"/>
          <w:szCs w:val="20"/>
        </w:rPr>
        <w:t xml:space="preserve"> </w:t>
      </w:r>
      <w:r>
        <w:rPr>
          <w:rFonts w:ascii="宋体" w:hAnsi="宋体" w:eastAsia="宋体" w:cs="宋体"/>
          <w:spacing w:val="-10"/>
          <w:sz w:val="20"/>
          <w:szCs w:val="20"/>
        </w:rPr>
        <w:t>弯</w:t>
      </w:r>
      <w:r>
        <w:rPr>
          <w:rFonts w:ascii="宋体" w:hAnsi="宋体" w:eastAsia="宋体" w:cs="宋体"/>
          <w:spacing w:val="-44"/>
          <w:sz w:val="20"/>
          <w:szCs w:val="20"/>
        </w:rPr>
        <w:t xml:space="preserve"> </w:t>
      </w:r>
      <w:r>
        <w:rPr>
          <w:rFonts w:ascii="宋体" w:hAnsi="宋体" w:eastAsia="宋体" w:cs="宋体"/>
          <w:spacing w:val="-10"/>
          <w:sz w:val="20"/>
          <w:szCs w:val="20"/>
        </w:rPr>
        <w:t>路</w:t>
      </w:r>
      <w:r>
        <w:rPr>
          <w:rFonts w:ascii="宋体" w:hAnsi="宋体" w:eastAsia="宋体" w:cs="宋体"/>
          <w:spacing w:val="-28"/>
          <w:sz w:val="20"/>
          <w:szCs w:val="20"/>
        </w:rPr>
        <w:t xml:space="preserve"> </w:t>
      </w:r>
      <w:r>
        <w:rPr>
          <w:rFonts w:ascii="宋体" w:hAnsi="宋体" w:eastAsia="宋体" w:cs="宋体"/>
          <w:spacing w:val="-10"/>
          <w:sz w:val="20"/>
          <w:szCs w:val="20"/>
        </w:rPr>
        <w:t>，</w:t>
      </w:r>
      <w:r>
        <w:rPr>
          <w:rFonts w:ascii="宋体" w:hAnsi="宋体" w:eastAsia="宋体" w:cs="宋体"/>
          <w:spacing w:val="-42"/>
          <w:sz w:val="20"/>
          <w:szCs w:val="20"/>
        </w:rPr>
        <w:t xml:space="preserve"> </w:t>
      </w:r>
      <w:r>
        <w:rPr>
          <w:rFonts w:ascii="宋体" w:hAnsi="宋体" w:eastAsia="宋体" w:cs="宋体"/>
          <w:spacing w:val="-10"/>
          <w:sz w:val="20"/>
          <w:szCs w:val="20"/>
        </w:rPr>
        <w:t>快</w:t>
      </w:r>
      <w:r>
        <w:rPr>
          <w:rFonts w:ascii="宋体" w:hAnsi="宋体" w:eastAsia="宋体" w:cs="宋体"/>
          <w:spacing w:val="-46"/>
          <w:sz w:val="20"/>
          <w:szCs w:val="20"/>
        </w:rPr>
        <w:t xml:space="preserve"> </w:t>
      </w:r>
      <w:r>
        <w:rPr>
          <w:rFonts w:ascii="宋体" w:hAnsi="宋体" w:eastAsia="宋体" w:cs="宋体"/>
          <w:spacing w:val="-10"/>
          <w:sz w:val="20"/>
          <w:szCs w:val="20"/>
        </w:rPr>
        <w:t>速</w:t>
      </w:r>
      <w:r>
        <w:rPr>
          <w:rFonts w:ascii="宋体" w:hAnsi="宋体" w:eastAsia="宋体" w:cs="宋体"/>
          <w:spacing w:val="-44"/>
          <w:sz w:val="20"/>
          <w:szCs w:val="20"/>
        </w:rPr>
        <w:t xml:space="preserve"> </w:t>
      </w:r>
      <w:r>
        <w:rPr>
          <w:rFonts w:ascii="宋体" w:hAnsi="宋体" w:eastAsia="宋体" w:cs="宋体"/>
          <w:spacing w:val="-10"/>
          <w:sz w:val="20"/>
          <w:szCs w:val="20"/>
        </w:rPr>
        <w:t>通</w:t>
      </w:r>
      <w:r>
        <w:rPr>
          <w:rFonts w:ascii="宋体" w:hAnsi="宋体" w:eastAsia="宋体" w:cs="宋体"/>
          <w:spacing w:val="-42"/>
          <w:sz w:val="20"/>
          <w:szCs w:val="20"/>
        </w:rPr>
        <w:t xml:space="preserve"> </w:t>
      </w:r>
      <w:r>
        <w:rPr>
          <w:rFonts w:ascii="宋体" w:hAnsi="宋体" w:eastAsia="宋体" w:cs="宋体"/>
          <w:spacing w:val="-10"/>
          <w:sz w:val="20"/>
          <w:szCs w:val="20"/>
        </w:rPr>
        <w:t>关 !</w:t>
      </w:r>
      <w:r>
        <w:rPr>
          <w:rFonts w:ascii="宋体" w:hAnsi="宋体" w:eastAsia="宋体" w:cs="宋体"/>
          <w:spacing w:val="-45"/>
          <w:sz w:val="20"/>
          <w:szCs w:val="20"/>
        </w:rPr>
        <w:t xml:space="preserve"> </w:t>
      </w:r>
      <w:r>
        <w:rPr>
          <w:rFonts w:ascii="宋体" w:hAnsi="宋体" w:eastAsia="宋体" w:cs="宋体"/>
          <w:spacing w:val="-10"/>
          <w:sz w:val="20"/>
          <w:szCs w:val="20"/>
        </w:rPr>
        <w:t>认</w:t>
      </w:r>
      <w:r>
        <w:rPr>
          <w:rFonts w:ascii="宋体" w:hAnsi="宋体" w:eastAsia="宋体" w:cs="宋体"/>
          <w:spacing w:val="-43"/>
          <w:sz w:val="20"/>
          <w:szCs w:val="20"/>
        </w:rPr>
        <w:t xml:space="preserve"> </w:t>
      </w:r>
      <w:r>
        <w:rPr>
          <w:rFonts w:ascii="宋体" w:hAnsi="宋体" w:eastAsia="宋体" w:cs="宋体"/>
          <w:spacing w:val="-10"/>
          <w:sz w:val="20"/>
          <w:szCs w:val="20"/>
        </w:rPr>
        <w:t>准</w:t>
      </w:r>
      <w:r>
        <w:rPr>
          <w:rFonts w:ascii="Times New Roman" w:hAnsi="Times New Roman" w:eastAsia="Times New Roman" w:cs="Times New Roman"/>
          <w:spacing w:val="-10"/>
          <w:sz w:val="20"/>
          <w:szCs w:val="20"/>
        </w:rPr>
        <w:t xml:space="preserve">VX:   </w:t>
      </w:r>
      <w:r>
        <w:rPr>
          <w:rFonts w:hint="eastAsia" w:ascii="Times New Roman" w:hAnsi="Times New Roman" w:eastAsia="宋体" w:cs="Times New Roman"/>
          <w:spacing w:val="-10"/>
          <w:sz w:val="20"/>
          <w:szCs w:val="20"/>
          <w:lang w:eastAsia="zh-CN"/>
        </w:rPr>
        <w:t>dayu_nm_cn</w:t>
      </w:r>
      <w:r>
        <w:rPr>
          <w:rFonts w:ascii="宋体" w:hAnsi="宋体" w:eastAsia="宋体" w:cs="宋体"/>
          <w:spacing w:val="-10"/>
          <w:sz w:val="20"/>
          <w:szCs w:val="20"/>
        </w:rPr>
        <w:t xml:space="preserve"> (</w:t>
      </w:r>
      <w:r>
        <w:rPr>
          <w:rFonts w:ascii="宋体" w:hAnsi="宋体" w:eastAsia="宋体" w:cs="宋体"/>
          <w:spacing w:val="-38"/>
          <w:sz w:val="20"/>
          <w:szCs w:val="20"/>
        </w:rPr>
        <w:t xml:space="preserve"> </w:t>
      </w:r>
      <w:r>
        <w:rPr>
          <w:rFonts w:ascii="宋体" w:hAnsi="宋体" w:eastAsia="宋体" w:cs="宋体"/>
          <w:spacing w:val="-10"/>
          <w:sz w:val="20"/>
          <w:szCs w:val="20"/>
        </w:rPr>
        <w:t>天</w:t>
      </w:r>
      <w:r>
        <w:rPr>
          <w:rFonts w:ascii="宋体" w:hAnsi="宋体" w:eastAsia="宋体" w:cs="宋体"/>
          <w:spacing w:val="-43"/>
          <w:sz w:val="20"/>
          <w:szCs w:val="20"/>
        </w:rPr>
        <w:t xml:space="preserve"> </w:t>
      </w:r>
      <w:r>
        <w:rPr>
          <w:rFonts w:ascii="宋体" w:hAnsi="宋体" w:eastAsia="宋体" w:cs="宋体"/>
          <w:spacing w:val="-10"/>
          <w:sz w:val="20"/>
          <w:szCs w:val="20"/>
        </w:rPr>
        <w:t>道</w:t>
      </w:r>
      <w:r>
        <w:rPr>
          <w:rFonts w:ascii="宋体" w:hAnsi="宋体" w:eastAsia="宋体" w:cs="宋体"/>
          <w:spacing w:val="-43"/>
          <w:sz w:val="20"/>
          <w:szCs w:val="20"/>
        </w:rPr>
        <w:t xml:space="preserve"> </w:t>
      </w:r>
      <w:r>
        <w:rPr>
          <w:rFonts w:ascii="宋体" w:hAnsi="宋体" w:eastAsia="宋体" w:cs="宋体"/>
          <w:spacing w:val="-10"/>
          <w:sz w:val="20"/>
          <w:szCs w:val="20"/>
        </w:rPr>
        <w:t>酬</w:t>
      </w:r>
      <w:r>
        <w:rPr>
          <w:rFonts w:ascii="宋体" w:hAnsi="宋体" w:eastAsia="宋体" w:cs="宋体"/>
          <w:spacing w:val="-40"/>
          <w:sz w:val="20"/>
          <w:szCs w:val="20"/>
        </w:rPr>
        <w:t xml:space="preserve"> </w:t>
      </w:r>
      <w:r>
        <w:rPr>
          <w:rFonts w:ascii="宋体" w:hAnsi="宋体" w:eastAsia="宋体" w:cs="宋体"/>
          <w:spacing w:val="-10"/>
          <w:sz w:val="20"/>
          <w:szCs w:val="20"/>
        </w:rPr>
        <w:t>勤</w:t>
      </w:r>
      <w:r>
        <w:rPr>
          <w:rFonts w:ascii="宋体" w:hAnsi="宋体" w:eastAsia="宋体" w:cs="宋体"/>
          <w:spacing w:val="-26"/>
          <w:sz w:val="20"/>
          <w:szCs w:val="20"/>
        </w:rPr>
        <w:t xml:space="preserve"> </w:t>
      </w:r>
      <w:r>
        <w:rPr>
          <w:rFonts w:ascii="宋体" w:hAnsi="宋体" w:eastAsia="宋体" w:cs="宋体"/>
          <w:spacing w:val="-10"/>
          <w:sz w:val="20"/>
          <w:szCs w:val="20"/>
        </w:rPr>
        <w:t>， 白</w:t>
      </w:r>
      <w:r>
        <w:rPr>
          <w:rFonts w:ascii="宋体" w:hAnsi="宋体" w:eastAsia="宋体" w:cs="宋体"/>
          <w:spacing w:val="-42"/>
          <w:sz w:val="20"/>
          <w:szCs w:val="20"/>
        </w:rPr>
        <w:t xml:space="preserve"> </w:t>
      </w:r>
      <w:r>
        <w:rPr>
          <w:rFonts w:ascii="宋体" w:hAnsi="宋体" w:eastAsia="宋体" w:cs="宋体"/>
          <w:spacing w:val="-10"/>
          <w:sz w:val="20"/>
          <w:szCs w:val="20"/>
        </w:rPr>
        <w:t>嫖</w:t>
      </w:r>
      <w:r>
        <w:rPr>
          <w:rFonts w:ascii="宋体" w:hAnsi="宋体" w:eastAsia="宋体" w:cs="宋体"/>
          <w:spacing w:val="-36"/>
          <w:sz w:val="20"/>
          <w:szCs w:val="20"/>
        </w:rPr>
        <w:t xml:space="preserve"> </w:t>
      </w:r>
      <w:r>
        <w:rPr>
          <w:rFonts w:ascii="宋体" w:hAnsi="宋体" w:eastAsia="宋体" w:cs="宋体"/>
          <w:spacing w:val="-10"/>
          <w:sz w:val="20"/>
          <w:szCs w:val="20"/>
        </w:rPr>
        <w:t>勿</w:t>
      </w:r>
      <w:r>
        <w:rPr>
          <w:rFonts w:ascii="宋体" w:hAnsi="宋体" w:eastAsia="宋体" w:cs="宋体"/>
          <w:spacing w:val="-42"/>
          <w:sz w:val="20"/>
          <w:szCs w:val="20"/>
        </w:rPr>
        <w:t xml:space="preserve"> </w:t>
      </w:r>
      <w:r>
        <w:rPr>
          <w:rFonts w:ascii="宋体" w:hAnsi="宋体" w:eastAsia="宋体" w:cs="宋体"/>
          <w:spacing w:val="-10"/>
          <w:sz w:val="20"/>
          <w:szCs w:val="20"/>
        </w:rPr>
        <w:t>扰</w:t>
      </w:r>
      <w:r>
        <w:rPr>
          <w:rFonts w:ascii="宋体" w:hAnsi="宋体" w:eastAsia="宋体" w:cs="宋体"/>
          <w:spacing w:val="-41"/>
          <w:sz w:val="20"/>
          <w:szCs w:val="20"/>
        </w:rPr>
        <w:t xml:space="preserve"> </w:t>
      </w:r>
      <w:r>
        <w:rPr>
          <w:rFonts w:ascii="宋体" w:hAnsi="宋体" w:eastAsia="宋体" w:cs="宋体"/>
          <w:spacing w:val="-10"/>
          <w:sz w:val="20"/>
          <w:szCs w:val="20"/>
        </w:rPr>
        <w:t>)</w:t>
      </w:r>
      <w:bookmarkStart w:id="2" w:name="_GoBack"/>
      <w:bookmarkEnd w:id="2"/>
    </w:p>
    <w:p w14:paraId="6D812F4C">
      <w:pPr>
        <w:pStyle w:val="2"/>
        <w:spacing w:line="251" w:lineRule="auto"/>
      </w:pPr>
    </w:p>
    <w:p w14:paraId="5D09003A">
      <w:pPr>
        <w:pStyle w:val="2"/>
        <w:spacing w:line="251" w:lineRule="auto"/>
      </w:pPr>
    </w:p>
    <w:p w14:paraId="7FC83E73">
      <w:pPr>
        <w:pStyle w:val="2"/>
        <w:spacing w:line="252" w:lineRule="auto"/>
      </w:pPr>
    </w:p>
    <w:p w14:paraId="088DC78D">
      <w:pPr>
        <w:spacing w:line="340" w:lineRule="exact"/>
        <w:ind w:firstLine="979"/>
      </w:pPr>
      <w:r>
        <w:rPr>
          <w:position w:val="-6"/>
        </w:rPr>
        <w:pict>
          <v:shape id="_x0000_s1033" o:spid="_x0000_s1033" o:spt="202" type="#_x0000_t202" style="height:17.05pt;width:391.5pt;" fillcolor="#0395CB" filled="t" stroked="f" coordsize="21600,21600">
            <v:path/>
            <v:fill on="t" focussize="0,0"/>
            <v:stroke on="f"/>
            <v:imagedata o:title=""/>
            <o:lock v:ext="edit" aspectratio="f"/>
            <v:textbox inset="0mm,0mm,0mm,0mm">
              <w:txbxContent>
                <w:p w14:paraId="48C46F3E">
                  <w:pPr>
                    <w:spacing w:before="35" w:line="222" w:lineRule="auto"/>
                    <w:ind w:left="2363"/>
                    <w:rPr>
                      <w:rFonts w:ascii="黑体" w:hAnsi="黑体" w:eastAsia="黑体" w:cs="黑体"/>
                      <w:sz w:val="27"/>
                      <w:szCs w:val="27"/>
                    </w:rPr>
                  </w:pPr>
                  <w:r>
                    <w:rPr>
                      <w:rFonts w:ascii="黑体" w:hAnsi="黑体" w:eastAsia="黑体" w:cs="黑体"/>
                      <w:b/>
                      <w:bCs/>
                      <w:color w:val="FFFFFF"/>
                      <w:spacing w:val="6"/>
                      <w:sz w:val="27"/>
                      <w:szCs w:val="27"/>
                    </w:rPr>
                    <w:t>第1篇</w:t>
                  </w:r>
                  <w:r>
                    <w:rPr>
                      <w:rFonts w:ascii="黑体" w:hAnsi="黑体" w:eastAsia="黑体" w:cs="黑体"/>
                      <w:color w:val="FFFFFF"/>
                      <w:spacing w:val="45"/>
                      <w:sz w:val="27"/>
                      <w:szCs w:val="27"/>
                    </w:rPr>
                    <w:t xml:space="preserve"> </w:t>
                  </w:r>
                  <w:r>
                    <w:rPr>
                      <w:rFonts w:ascii="黑体" w:hAnsi="黑体" w:eastAsia="黑体" w:cs="黑体"/>
                      <w:b/>
                      <w:bCs/>
                      <w:color w:val="FFFFFF"/>
                      <w:spacing w:val="6"/>
                      <w:sz w:val="27"/>
                      <w:szCs w:val="27"/>
                    </w:rPr>
                    <w:t>水利水电工程技术</w:t>
                  </w:r>
                </w:p>
              </w:txbxContent>
            </v:textbox>
            <w10:wrap type="none"/>
            <w10:anchorlock/>
          </v:shape>
        </w:pict>
      </w:r>
    </w:p>
    <w:p w14:paraId="2E378A46">
      <w:pPr>
        <w:pStyle w:val="2"/>
        <w:spacing w:line="297" w:lineRule="auto"/>
      </w:pPr>
    </w:p>
    <w:sdt>
      <w:sdtPr>
        <w:rPr>
          <w:rFonts w:ascii="黑体" w:hAnsi="黑体" w:eastAsia="黑体" w:cs="黑体"/>
          <w:sz w:val="20"/>
          <w:szCs w:val="20"/>
        </w:rPr>
        <w:id w:val="147483427"/>
        <w:docPartObj>
          <w:docPartGallery w:val="Table of Contents"/>
          <w:docPartUnique/>
        </w:docPartObj>
      </w:sdtPr>
      <w:sdtEndPr>
        <w:rPr>
          <w:rFonts w:ascii="Times New Roman" w:hAnsi="Times New Roman" w:eastAsia="Times New Roman" w:cs="Times New Roman"/>
          <w:sz w:val="20"/>
          <w:szCs w:val="20"/>
        </w:rPr>
      </w:sdtEndPr>
      <w:sdtContent>
        <w:p w14:paraId="3D20255F">
          <w:pPr>
            <w:tabs>
              <w:tab w:val="right" w:leader="dot" w:pos="8795"/>
            </w:tabs>
            <w:spacing w:before="65" w:line="222" w:lineRule="auto"/>
            <w:ind w:left="982"/>
            <w:rPr>
              <w:rFonts w:ascii="Times New Roman" w:hAnsi="Times New Roman" w:eastAsia="Times New Roman" w:cs="Times New Roman"/>
              <w:sz w:val="20"/>
              <w:szCs w:val="20"/>
            </w:rPr>
          </w:pPr>
          <w:r>
            <w:fldChar w:fldCharType="begin"/>
          </w:r>
          <w:r>
            <w:instrText xml:space="preserve"> HYPERLINK \l "bookmark1" </w:instrText>
          </w:r>
          <w:r>
            <w:fldChar w:fldCharType="separate"/>
          </w:r>
          <w:r>
            <w:rPr>
              <w:rFonts w:ascii="黑体" w:hAnsi="黑体" w:eastAsia="黑体" w:cs="黑体"/>
              <w:b/>
              <w:bCs/>
              <w:color w:val="2080A0"/>
              <w:spacing w:val="-11"/>
              <w:sz w:val="20"/>
              <w:szCs w:val="20"/>
            </w:rPr>
            <w:t>第</w:t>
          </w:r>
          <w:r>
            <w:rPr>
              <w:rFonts w:ascii="黑体" w:hAnsi="黑体" w:eastAsia="黑体" w:cs="黑体"/>
              <w:color w:val="2080A0"/>
              <w:spacing w:val="31"/>
              <w:sz w:val="20"/>
              <w:szCs w:val="20"/>
            </w:rPr>
            <w:t xml:space="preserve"> </w:t>
          </w:r>
          <w:r>
            <w:rPr>
              <w:rFonts w:ascii="黑体" w:hAnsi="黑体" w:eastAsia="黑体" w:cs="黑体"/>
              <w:b/>
              <w:bCs/>
              <w:color w:val="2080A0"/>
              <w:spacing w:val="-11"/>
              <w:sz w:val="20"/>
              <w:szCs w:val="20"/>
            </w:rPr>
            <w:t>1</w:t>
          </w:r>
          <w:r>
            <w:rPr>
              <w:rFonts w:ascii="黑体" w:hAnsi="黑体" w:eastAsia="黑体" w:cs="黑体"/>
              <w:color w:val="2080A0"/>
              <w:spacing w:val="-11"/>
              <w:sz w:val="20"/>
              <w:szCs w:val="20"/>
            </w:rPr>
            <w:t xml:space="preserve"> </w:t>
          </w:r>
          <w:r>
            <w:rPr>
              <w:rFonts w:ascii="黑体" w:hAnsi="黑体" w:eastAsia="黑体" w:cs="黑体"/>
              <w:b/>
              <w:bCs/>
              <w:color w:val="2080A0"/>
              <w:spacing w:val="-11"/>
              <w:sz w:val="20"/>
              <w:szCs w:val="20"/>
            </w:rPr>
            <w:t>章</w:t>
          </w:r>
          <w:r>
            <w:rPr>
              <w:rFonts w:ascii="黑体" w:hAnsi="黑体" w:eastAsia="黑体" w:cs="黑体"/>
              <w:color w:val="2080A0"/>
              <w:spacing w:val="58"/>
              <w:sz w:val="20"/>
              <w:szCs w:val="20"/>
            </w:rPr>
            <w:t xml:space="preserve"> </w:t>
          </w:r>
          <w:r>
            <w:rPr>
              <w:rFonts w:ascii="黑体" w:hAnsi="黑体" w:eastAsia="黑体" w:cs="黑体"/>
              <w:b/>
              <w:bCs/>
              <w:color w:val="2080A0"/>
              <w:spacing w:val="-11"/>
              <w:sz w:val="20"/>
              <w:szCs w:val="20"/>
            </w:rPr>
            <w:t>水</w:t>
          </w:r>
          <w:r>
            <w:rPr>
              <w:rFonts w:ascii="黑体" w:hAnsi="黑体" w:eastAsia="黑体" w:cs="黑体"/>
              <w:color w:val="2080A0"/>
              <w:spacing w:val="-35"/>
              <w:sz w:val="20"/>
              <w:szCs w:val="20"/>
            </w:rPr>
            <w:t xml:space="preserve"> </w:t>
          </w:r>
          <w:r>
            <w:rPr>
              <w:rFonts w:ascii="黑体" w:hAnsi="黑体" w:eastAsia="黑体" w:cs="黑体"/>
              <w:b/>
              <w:bCs/>
              <w:color w:val="2080A0"/>
              <w:spacing w:val="-11"/>
              <w:sz w:val="20"/>
              <w:szCs w:val="20"/>
            </w:rPr>
            <w:t>利</w:t>
          </w:r>
          <w:r>
            <w:rPr>
              <w:rFonts w:ascii="黑体" w:hAnsi="黑体" w:eastAsia="黑体" w:cs="黑体"/>
              <w:color w:val="2080A0"/>
              <w:spacing w:val="-36"/>
              <w:sz w:val="20"/>
              <w:szCs w:val="20"/>
            </w:rPr>
            <w:t xml:space="preserve"> </w:t>
          </w:r>
          <w:r>
            <w:rPr>
              <w:rFonts w:ascii="黑体" w:hAnsi="黑体" w:eastAsia="黑体" w:cs="黑体"/>
              <w:b/>
              <w:bCs/>
              <w:color w:val="2080A0"/>
              <w:spacing w:val="-11"/>
              <w:sz w:val="20"/>
              <w:szCs w:val="20"/>
            </w:rPr>
            <w:t>水</w:t>
          </w:r>
          <w:r>
            <w:rPr>
              <w:rFonts w:ascii="黑体" w:hAnsi="黑体" w:eastAsia="黑体" w:cs="黑体"/>
              <w:color w:val="2080A0"/>
              <w:spacing w:val="-24"/>
              <w:sz w:val="20"/>
              <w:szCs w:val="20"/>
            </w:rPr>
            <w:t xml:space="preserve"> </w:t>
          </w:r>
          <w:r>
            <w:rPr>
              <w:rFonts w:ascii="黑体" w:hAnsi="黑体" w:eastAsia="黑体" w:cs="黑体"/>
              <w:b/>
              <w:bCs/>
              <w:color w:val="2080A0"/>
              <w:spacing w:val="-11"/>
              <w:sz w:val="20"/>
              <w:szCs w:val="20"/>
            </w:rPr>
            <w:t>电</w:t>
          </w:r>
          <w:r>
            <w:rPr>
              <w:rFonts w:ascii="黑体" w:hAnsi="黑体" w:eastAsia="黑体" w:cs="黑体"/>
              <w:color w:val="2080A0"/>
              <w:spacing w:val="-35"/>
              <w:sz w:val="20"/>
              <w:szCs w:val="20"/>
            </w:rPr>
            <w:t xml:space="preserve"> </w:t>
          </w:r>
          <w:r>
            <w:rPr>
              <w:rFonts w:ascii="黑体" w:hAnsi="黑体" w:eastAsia="黑体" w:cs="黑体"/>
              <w:b/>
              <w:bCs/>
              <w:color w:val="2080A0"/>
              <w:spacing w:val="-11"/>
              <w:sz w:val="20"/>
              <w:szCs w:val="20"/>
            </w:rPr>
            <w:t>工</w:t>
          </w:r>
          <w:r>
            <w:rPr>
              <w:rFonts w:ascii="黑体" w:hAnsi="黑体" w:eastAsia="黑体" w:cs="黑体"/>
              <w:color w:val="2080A0"/>
              <w:spacing w:val="-37"/>
              <w:sz w:val="20"/>
              <w:szCs w:val="20"/>
            </w:rPr>
            <w:t xml:space="preserve"> </w:t>
          </w:r>
          <w:r>
            <w:rPr>
              <w:rFonts w:ascii="黑体" w:hAnsi="黑体" w:eastAsia="黑体" w:cs="黑体"/>
              <w:b/>
              <w:bCs/>
              <w:color w:val="2080A0"/>
              <w:spacing w:val="-11"/>
              <w:sz w:val="20"/>
              <w:szCs w:val="20"/>
            </w:rPr>
            <w:t>程</w:t>
          </w:r>
          <w:r>
            <w:rPr>
              <w:rFonts w:ascii="黑体" w:hAnsi="黑体" w:eastAsia="黑体" w:cs="黑体"/>
              <w:color w:val="2080A0"/>
              <w:spacing w:val="-37"/>
              <w:sz w:val="20"/>
              <w:szCs w:val="20"/>
            </w:rPr>
            <w:t xml:space="preserve"> </w:t>
          </w:r>
          <w:r>
            <w:rPr>
              <w:rFonts w:ascii="黑体" w:hAnsi="黑体" w:eastAsia="黑体" w:cs="黑体"/>
              <w:b/>
              <w:bCs/>
              <w:color w:val="2080A0"/>
              <w:spacing w:val="-11"/>
              <w:sz w:val="20"/>
              <w:szCs w:val="20"/>
            </w:rPr>
            <w:t>勘</w:t>
          </w:r>
          <w:r>
            <w:rPr>
              <w:rFonts w:ascii="黑体" w:hAnsi="黑体" w:eastAsia="黑体" w:cs="黑体"/>
              <w:color w:val="2080A0"/>
              <w:spacing w:val="-38"/>
              <w:sz w:val="20"/>
              <w:szCs w:val="20"/>
            </w:rPr>
            <w:t xml:space="preserve"> </w:t>
          </w:r>
          <w:r>
            <w:rPr>
              <w:rFonts w:ascii="黑体" w:hAnsi="黑体" w:eastAsia="黑体" w:cs="黑体"/>
              <w:b/>
              <w:bCs/>
              <w:color w:val="2080A0"/>
              <w:spacing w:val="-11"/>
              <w:sz w:val="20"/>
              <w:szCs w:val="20"/>
            </w:rPr>
            <w:t>测</w:t>
          </w:r>
          <w:r>
            <w:rPr>
              <w:rFonts w:ascii="黑体" w:hAnsi="黑体" w:eastAsia="黑体" w:cs="黑体"/>
              <w:color w:val="2080A0"/>
              <w:spacing w:val="-28"/>
              <w:sz w:val="20"/>
              <w:szCs w:val="20"/>
            </w:rPr>
            <w:t xml:space="preserve"> </w:t>
          </w:r>
          <w:r>
            <w:rPr>
              <w:rFonts w:ascii="黑体" w:hAnsi="黑体" w:eastAsia="黑体" w:cs="黑体"/>
              <w:b/>
              <w:bCs/>
              <w:color w:val="2080A0"/>
              <w:spacing w:val="-11"/>
              <w:sz w:val="20"/>
              <w:szCs w:val="20"/>
            </w:rPr>
            <w:t>与</w:t>
          </w:r>
          <w:r>
            <w:rPr>
              <w:rFonts w:ascii="黑体" w:hAnsi="黑体" w:eastAsia="黑体" w:cs="黑体"/>
              <w:color w:val="2080A0"/>
              <w:spacing w:val="-35"/>
              <w:sz w:val="20"/>
              <w:szCs w:val="20"/>
            </w:rPr>
            <w:t xml:space="preserve"> </w:t>
          </w:r>
          <w:r>
            <w:rPr>
              <w:rFonts w:ascii="黑体" w:hAnsi="黑体" w:eastAsia="黑体" w:cs="黑体"/>
              <w:b/>
              <w:bCs/>
              <w:color w:val="2080A0"/>
              <w:spacing w:val="-11"/>
              <w:sz w:val="20"/>
              <w:szCs w:val="20"/>
            </w:rPr>
            <w:t>设</w:t>
          </w:r>
          <w:r>
            <w:rPr>
              <w:rFonts w:ascii="黑体" w:hAnsi="黑体" w:eastAsia="黑体" w:cs="黑体"/>
              <w:color w:val="2080A0"/>
              <w:spacing w:val="-35"/>
              <w:sz w:val="20"/>
              <w:szCs w:val="20"/>
            </w:rPr>
            <w:t xml:space="preserve"> </w:t>
          </w:r>
          <w:r>
            <w:rPr>
              <w:rFonts w:ascii="黑体" w:hAnsi="黑体" w:eastAsia="黑体" w:cs="黑体"/>
              <w:b/>
              <w:bCs/>
              <w:color w:val="2080A0"/>
              <w:spacing w:val="-11"/>
              <w:sz w:val="20"/>
              <w:szCs w:val="20"/>
            </w:rPr>
            <w:t>计</w:t>
          </w:r>
          <w:r>
            <w:rPr>
              <w:rFonts w:ascii="黑体" w:hAnsi="黑体" w:eastAsia="黑体" w:cs="黑体"/>
              <w:color w:val="2080A0"/>
              <w:spacing w:val="-78"/>
              <w:sz w:val="20"/>
              <w:szCs w:val="20"/>
            </w:rPr>
            <w:t xml:space="preserve"> </w:t>
          </w:r>
          <w:r>
            <w:rPr>
              <w:rFonts w:ascii="黑体" w:hAnsi="黑体" w:eastAsia="黑体" w:cs="黑体"/>
              <w:color w:val="2080A0"/>
              <w:sz w:val="20"/>
              <w:szCs w:val="20"/>
            </w:rPr>
            <w:tab/>
          </w:r>
          <w:r>
            <w:rPr>
              <w:rFonts w:ascii="Times New Roman" w:hAnsi="Times New Roman" w:eastAsia="Times New Roman" w:cs="Times New Roman"/>
              <w:color w:val="2080A0"/>
              <w:sz w:val="20"/>
              <w:szCs w:val="20"/>
            </w:rPr>
            <w:t>1</w:t>
          </w:r>
          <w:r>
            <w:rPr>
              <w:rFonts w:ascii="Times New Roman" w:hAnsi="Times New Roman" w:eastAsia="Times New Roman" w:cs="Times New Roman"/>
              <w:color w:val="2080A0"/>
              <w:sz w:val="20"/>
              <w:szCs w:val="20"/>
            </w:rPr>
            <w:fldChar w:fldCharType="end"/>
          </w:r>
        </w:p>
        <w:p w14:paraId="05073595">
          <w:pPr>
            <w:tabs>
              <w:tab w:val="right" w:leader="dot" w:pos="8785"/>
            </w:tabs>
            <w:spacing w:before="212" w:line="222" w:lineRule="auto"/>
            <w:ind w:left="1210"/>
            <w:rPr>
              <w:rFonts w:ascii="Times New Roman" w:hAnsi="Times New Roman" w:eastAsia="Times New Roman" w:cs="Times New Roman"/>
              <w:sz w:val="20"/>
              <w:szCs w:val="20"/>
            </w:rPr>
          </w:pPr>
          <w:r>
            <w:fldChar w:fldCharType="begin"/>
          </w:r>
          <w:r>
            <w:instrText xml:space="preserve"> HYPERLINK \l "bookmark2" </w:instrText>
          </w:r>
          <w:r>
            <w:fldChar w:fldCharType="separate"/>
          </w:r>
          <w:r>
            <w:rPr>
              <w:rFonts w:ascii="Times New Roman" w:hAnsi="Times New Roman" w:eastAsia="Times New Roman" w:cs="Times New Roman"/>
              <w:spacing w:val="1"/>
              <w:sz w:val="20"/>
              <w:szCs w:val="20"/>
            </w:rPr>
            <w:t xml:space="preserve">1.1    </w:t>
          </w:r>
          <w:r>
            <w:rPr>
              <w:rFonts w:ascii="黑体" w:hAnsi="黑体" w:eastAsia="黑体" w:cs="黑体"/>
              <w:spacing w:val="1"/>
              <w:sz w:val="20"/>
              <w:szCs w:val="20"/>
            </w:rPr>
            <w:t>水利水电工程勘测</w:t>
          </w:r>
          <w:r>
            <w:rPr>
              <w:rFonts w:ascii="黑体" w:hAnsi="黑体" w:eastAsia="黑体" w:cs="黑体"/>
              <w:spacing w:val="-76"/>
              <w:sz w:val="20"/>
              <w:szCs w:val="20"/>
            </w:rPr>
            <w:t xml:space="preserve"> </w:t>
          </w:r>
          <w:r>
            <w:rPr>
              <w:rFonts w:ascii="黑体" w:hAnsi="黑体" w:eastAsia="黑体" w:cs="黑体"/>
              <w:sz w:val="20"/>
              <w:szCs w:val="20"/>
            </w:rPr>
            <w:tab/>
          </w:r>
          <w:r>
            <w:rPr>
              <w:rFonts w:ascii="黑体" w:hAnsi="黑体" w:eastAsia="黑体" w:cs="黑体"/>
              <w:spacing w:val="-68"/>
              <w:sz w:val="20"/>
              <w:szCs w:val="20"/>
            </w:rPr>
            <w:t xml:space="preserve"> </w:t>
          </w:r>
          <w:r>
            <w:rPr>
              <w:rFonts w:ascii="Times New Roman" w:hAnsi="Times New Roman" w:eastAsia="Times New Roman" w:cs="Times New Roman"/>
              <w:sz w:val="20"/>
              <w:szCs w:val="20"/>
            </w:rPr>
            <w:t>1</w:t>
          </w:r>
          <w:r>
            <w:rPr>
              <w:rFonts w:ascii="Times New Roman" w:hAnsi="Times New Roman" w:eastAsia="Times New Roman" w:cs="Times New Roman"/>
              <w:sz w:val="20"/>
              <w:szCs w:val="20"/>
            </w:rPr>
            <w:fldChar w:fldCharType="end"/>
          </w:r>
        </w:p>
        <w:p w14:paraId="27A12316">
          <w:pPr>
            <w:tabs>
              <w:tab w:val="right" w:leader="dot" w:pos="8775"/>
            </w:tabs>
            <w:spacing w:before="69" w:line="222" w:lineRule="auto"/>
            <w:ind w:left="1210"/>
            <w:rPr>
              <w:rFonts w:ascii="Times New Roman" w:hAnsi="Times New Roman" w:eastAsia="Times New Roman" w:cs="Times New Roman"/>
              <w:sz w:val="20"/>
              <w:szCs w:val="20"/>
            </w:rPr>
          </w:pPr>
          <w:r>
            <w:fldChar w:fldCharType="begin"/>
          </w:r>
          <w:r>
            <w:instrText xml:space="preserve"> HYPERLINK \l "bookmark3" </w:instrText>
          </w:r>
          <w:r>
            <w:fldChar w:fldCharType="separate"/>
          </w:r>
          <w:r>
            <w:rPr>
              <w:rFonts w:ascii="Times New Roman" w:hAnsi="Times New Roman" w:eastAsia="Times New Roman" w:cs="Times New Roman"/>
              <w:spacing w:val="2"/>
              <w:sz w:val="20"/>
              <w:szCs w:val="20"/>
            </w:rPr>
            <w:t>1.2</w:t>
          </w:r>
          <w:r>
            <w:rPr>
              <w:rFonts w:ascii="Times New Roman" w:hAnsi="Times New Roman" w:eastAsia="Times New Roman" w:cs="Times New Roman"/>
              <w:spacing w:val="9"/>
              <w:sz w:val="20"/>
              <w:szCs w:val="20"/>
            </w:rPr>
            <w:t xml:space="preserve">    </w:t>
          </w:r>
          <w:r>
            <w:rPr>
              <w:rFonts w:ascii="黑体" w:hAnsi="黑体" w:eastAsia="黑体" w:cs="黑体"/>
              <w:spacing w:val="2"/>
              <w:sz w:val="20"/>
              <w:szCs w:val="20"/>
            </w:rPr>
            <w:t>水利水电工程设计</w:t>
          </w:r>
          <w:r>
            <w:rPr>
              <w:rFonts w:ascii="黑体" w:hAnsi="黑体" w:eastAsia="黑体" w:cs="黑体"/>
              <w:spacing w:val="-80"/>
              <w:sz w:val="20"/>
              <w:szCs w:val="20"/>
            </w:rPr>
            <w:t xml:space="preserve"> </w:t>
          </w:r>
          <w:r>
            <w:rPr>
              <w:rFonts w:ascii="黑体" w:hAnsi="黑体" w:eastAsia="黑体" w:cs="黑体"/>
              <w:sz w:val="20"/>
              <w:szCs w:val="20"/>
            </w:rPr>
            <w:tab/>
          </w:r>
          <w:r>
            <w:rPr>
              <w:rFonts w:ascii="黑体" w:hAnsi="黑体" w:eastAsia="黑体" w:cs="黑体"/>
              <w:spacing w:val="-18"/>
              <w:sz w:val="20"/>
              <w:szCs w:val="20"/>
            </w:rPr>
            <w:t xml:space="preserve"> </w:t>
          </w:r>
          <w:r>
            <w:rPr>
              <w:rFonts w:ascii="Times New Roman" w:hAnsi="Times New Roman" w:eastAsia="Times New Roman" w:cs="Times New Roman"/>
              <w:spacing w:val="-6"/>
              <w:sz w:val="20"/>
              <w:szCs w:val="20"/>
            </w:rPr>
            <w:t>12</w:t>
          </w:r>
          <w:r>
            <w:rPr>
              <w:rFonts w:ascii="Times New Roman" w:hAnsi="Times New Roman" w:eastAsia="Times New Roman" w:cs="Times New Roman"/>
              <w:spacing w:val="-6"/>
              <w:sz w:val="20"/>
              <w:szCs w:val="20"/>
            </w:rPr>
            <w:fldChar w:fldCharType="end"/>
          </w:r>
        </w:p>
        <w:p w14:paraId="20D20EA1">
          <w:pPr>
            <w:tabs>
              <w:tab w:val="right" w:leader="dot" w:pos="8780"/>
            </w:tabs>
            <w:spacing w:before="266" w:line="221" w:lineRule="auto"/>
            <w:ind w:left="982"/>
            <w:rPr>
              <w:rFonts w:ascii="Times New Roman" w:hAnsi="Times New Roman" w:eastAsia="Times New Roman" w:cs="Times New Roman"/>
              <w:sz w:val="20"/>
              <w:szCs w:val="20"/>
            </w:rPr>
          </w:pPr>
          <w:r>
            <w:fldChar w:fldCharType="begin"/>
          </w:r>
          <w:r>
            <w:instrText xml:space="preserve"> HYPERLINK \l "bookmark4" </w:instrText>
          </w:r>
          <w:r>
            <w:fldChar w:fldCharType="separate"/>
          </w:r>
          <w:r>
            <w:rPr>
              <w:rFonts w:ascii="黑体" w:hAnsi="黑体" w:eastAsia="黑体" w:cs="黑体"/>
              <w:b/>
              <w:bCs/>
              <w:color w:val="2090A0"/>
              <w:spacing w:val="-11"/>
              <w:sz w:val="20"/>
              <w:szCs w:val="20"/>
            </w:rPr>
            <w:t>第</w:t>
          </w:r>
          <w:r>
            <w:rPr>
              <w:rFonts w:ascii="黑体" w:hAnsi="黑体" w:eastAsia="黑体" w:cs="黑体"/>
              <w:color w:val="2090A0"/>
              <w:spacing w:val="29"/>
              <w:sz w:val="20"/>
              <w:szCs w:val="20"/>
            </w:rPr>
            <w:t xml:space="preserve"> </w:t>
          </w:r>
          <w:r>
            <w:rPr>
              <w:rFonts w:ascii="黑体" w:hAnsi="黑体" w:eastAsia="黑体" w:cs="黑体"/>
              <w:b/>
              <w:bCs/>
              <w:color w:val="2090A0"/>
              <w:spacing w:val="-11"/>
              <w:sz w:val="20"/>
              <w:szCs w:val="20"/>
            </w:rPr>
            <w:t>2</w:t>
          </w:r>
          <w:r>
            <w:rPr>
              <w:rFonts w:ascii="黑体" w:hAnsi="黑体" w:eastAsia="黑体" w:cs="黑体"/>
              <w:color w:val="2090A0"/>
              <w:spacing w:val="29"/>
              <w:sz w:val="20"/>
              <w:szCs w:val="20"/>
            </w:rPr>
            <w:t xml:space="preserve"> </w:t>
          </w:r>
          <w:r>
            <w:rPr>
              <w:rFonts w:ascii="黑体" w:hAnsi="黑体" w:eastAsia="黑体" w:cs="黑体"/>
              <w:b/>
              <w:bCs/>
              <w:color w:val="2090A0"/>
              <w:spacing w:val="-11"/>
              <w:sz w:val="20"/>
              <w:szCs w:val="20"/>
            </w:rPr>
            <w:t>章</w:t>
          </w:r>
          <w:r>
            <w:rPr>
              <w:rFonts w:ascii="黑体" w:hAnsi="黑体" w:eastAsia="黑体" w:cs="黑体"/>
              <w:color w:val="2090A0"/>
              <w:spacing w:val="52"/>
              <w:sz w:val="20"/>
              <w:szCs w:val="20"/>
            </w:rPr>
            <w:t xml:space="preserve"> </w:t>
          </w:r>
          <w:r>
            <w:rPr>
              <w:rFonts w:ascii="黑体" w:hAnsi="黑体" w:eastAsia="黑体" w:cs="黑体"/>
              <w:b/>
              <w:bCs/>
              <w:color w:val="2090A0"/>
              <w:spacing w:val="-11"/>
              <w:sz w:val="20"/>
              <w:szCs w:val="20"/>
            </w:rPr>
            <w:t>水</w:t>
          </w:r>
          <w:r>
            <w:rPr>
              <w:rFonts w:ascii="黑体" w:hAnsi="黑体" w:eastAsia="黑体" w:cs="黑体"/>
              <w:color w:val="2090A0"/>
              <w:spacing w:val="-40"/>
              <w:sz w:val="20"/>
              <w:szCs w:val="20"/>
            </w:rPr>
            <w:t xml:space="preserve"> </w:t>
          </w:r>
          <w:r>
            <w:rPr>
              <w:rFonts w:ascii="黑体" w:hAnsi="黑体" w:eastAsia="黑体" w:cs="黑体"/>
              <w:b/>
              <w:bCs/>
              <w:color w:val="2090A0"/>
              <w:spacing w:val="-11"/>
              <w:sz w:val="20"/>
              <w:szCs w:val="20"/>
            </w:rPr>
            <w:t>利</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水</w:t>
          </w:r>
          <w:r>
            <w:rPr>
              <w:rFonts w:ascii="黑体" w:hAnsi="黑体" w:eastAsia="黑体" w:cs="黑体"/>
              <w:color w:val="2090A0"/>
              <w:spacing w:val="-29"/>
              <w:sz w:val="20"/>
              <w:szCs w:val="20"/>
            </w:rPr>
            <w:t xml:space="preserve"> </w:t>
          </w:r>
          <w:r>
            <w:rPr>
              <w:rFonts w:ascii="黑体" w:hAnsi="黑体" w:eastAsia="黑体" w:cs="黑体"/>
              <w:b/>
              <w:bCs/>
              <w:color w:val="2090A0"/>
              <w:spacing w:val="-11"/>
              <w:sz w:val="20"/>
              <w:szCs w:val="20"/>
            </w:rPr>
            <w:t>电</w:t>
          </w:r>
          <w:r>
            <w:rPr>
              <w:rFonts w:ascii="黑体" w:hAnsi="黑体" w:eastAsia="黑体" w:cs="黑体"/>
              <w:color w:val="2090A0"/>
              <w:spacing w:val="-41"/>
              <w:sz w:val="20"/>
              <w:szCs w:val="20"/>
            </w:rPr>
            <w:t xml:space="preserve"> </w:t>
          </w:r>
          <w:r>
            <w:rPr>
              <w:rFonts w:ascii="黑体" w:hAnsi="黑体" w:eastAsia="黑体" w:cs="黑体"/>
              <w:b/>
              <w:bCs/>
              <w:color w:val="2090A0"/>
              <w:spacing w:val="-11"/>
              <w:sz w:val="20"/>
              <w:szCs w:val="20"/>
            </w:rPr>
            <w:t>工</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程</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施</w:t>
          </w:r>
          <w:r>
            <w:rPr>
              <w:rFonts w:ascii="黑体" w:hAnsi="黑体" w:eastAsia="黑体" w:cs="黑体"/>
              <w:color w:val="2090A0"/>
              <w:spacing w:val="-41"/>
              <w:sz w:val="20"/>
              <w:szCs w:val="20"/>
            </w:rPr>
            <w:t xml:space="preserve"> </w:t>
          </w:r>
          <w:r>
            <w:rPr>
              <w:rFonts w:ascii="黑体" w:hAnsi="黑体" w:eastAsia="黑体" w:cs="黑体"/>
              <w:b/>
              <w:bCs/>
              <w:color w:val="2090A0"/>
              <w:spacing w:val="-11"/>
              <w:sz w:val="20"/>
              <w:szCs w:val="20"/>
            </w:rPr>
            <w:t>工</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水</w:t>
          </w:r>
          <w:r>
            <w:rPr>
              <w:rFonts w:ascii="黑体" w:hAnsi="黑体" w:eastAsia="黑体" w:cs="黑体"/>
              <w:color w:val="2090A0"/>
              <w:spacing w:val="-40"/>
              <w:sz w:val="20"/>
              <w:szCs w:val="20"/>
            </w:rPr>
            <w:t xml:space="preserve"> </w:t>
          </w:r>
          <w:r>
            <w:rPr>
              <w:rFonts w:ascii="黑体" w:hAnsi="黑体" w:eastAsia="黑体" w:cs="黑体"/>
              <w:b/>
              <w:bCs/>
              <w:color w:val="2090A0"/>
              <w:spacing w:val="-11"/>
              <w:sz w:val="20"/>
              <w:szCs w:val="20"/>
            </w:rPr>
            <w:t>流</w:t>
          </w:r>
          <w:r>
            <w:rPr>
              <w:rFonts w:ascii="黑体" w:hAnsi="黑体" w:eastAsia="黑体" w:cs="黑体"/>
              <w:color w:val="2090A0"/>
              <w:spacing w:val="-42"/>
              <w:sz w:val="20"/>
              <w:szCs w:val="20"/>
            </w:rPr>
            <w:t xml:space="preserve"> </w:t>
          </w:r>
          <w:r>
            <w:rPr>
              <w:rFonts w:ascii="黑体" w:hAnsi="黑体" w:eastAsia="黑体" w:cs="黑体"/>
              <w:b/>
              <w:bCs/>
              <w:color w:val="2090A0"/>
              <w:spacing w:val="-11"/>
              <w:sz w:val="20"/>
              <w:szCs w:val="20"/>
            </w:rPr>
            <w:t>控</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制</w:t>
          </w:r>
          <w:r>
            <w:rPr>
              <w:rFonts w:ascii="黑体" w:hAnsi="黑体" w:eastAsia="黑体" w:cs="黑体"/>
              <w:color w:val="2090A0"/>
              <w:spacing w:val="-34"/>
              <w:sz w:val="20"/>
              <w:szCs w:val="20"/>
            </w:rPr>
            <w:t xml:space="preserve"> </w:t>
          </w:r>
          <w:r>
            <w:rPr>
              <w:rFonts w:ascii="黑体" w:hAnsi="黑体" w:eastAsia="黑体" w:cs="黑体"/>
              <w:b/>
              <w:bCs/>
              <w:color w:val="2090A0"/>
              <w:spacing w:val="-11"/>
              <w:sz w:val="20"/>
              <w:szCs w:val="20"/>
            </w:rPr>
            <w:t>与</w:t>
          </w:r>
          <w:r>
            <w:rPr>
              <w:rFonts w:ascii="黑体" w:hAnsi="黑体" w:eastAsia="黑体" w:cs="黑体"/>
              <w:color w:val="2090A0"/>
              <w:spacing w:val="-41"/>
              <w:sz w:val="20"/>
              <w:szCs w:val="20"/>
            </w:rPr>
            <w:t xml:space="preserve"> </w:t>
          </w:r>
          <w:r>
            <w:rPr>
              <w:rFonts w:ascii="黑体" w:hAnsi="黑体" w:eastAsia="黑体" w:cs="黑体"/>
              <w:b/>
              <w:bCs/>
              <w:color w:val="2090A0"/>
              <w:spacing w:val="-11"/>
              <w:sz w:val="20"/>
              <w:szCs w:val="20"/>
            </w:rPr>
            <w:t>基</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础</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处</w:t>
          </w:r>
          <w:r>
            <w:rPr>
              <w:rFonts w:ascii="黑体" w:hAnsi="黑体" w:eastAsia="黑体" w:cs="黑体"/>
              <w:color w:val="2090A0"/>
              <w:spacing w:val="-43"/>
              <w:sz w:val="20"/>
              <w:szCs w:val="20"/>
            </w:rPr>
            <w:t xml:space="preserve"> </w:t>
          </w:r>
          <w:r>
            <w:rPr>
              <w:rFonts w:ascii="黑体" w:hAnsi="黑体" w:eastAsia="黑体" w:cs="黑体"/>
              <w:b/>
              <w:bCs/>
              <w:color w:val="2090A0"/>
              <w:spacing w:val="-11"/>
              <w:sz w:val="20"/>
              <w:szCs w:val="20"/>
            </w:rPr>
            <w:t>理</w:t>
          </w:r>
          <w:r>
            <w:rPr>
              <w:rFonts w:ascii="黑体" w:hAnsi="黑体" w:eastAsia="黑体" w:cs="黑体"/>
              <w:color w:val="2090A0"/>
              <w:spacing w:val="-74"/>
              <w:sz w:val="20"/>
              <w:szCs w:val="20"/>
            </w:rPr>
            <w:t xml:space="preserve"> </w:t>
          </w:r>
          <w:r>
            <w:rPr>
              <w:rFonts w:ascii="黑体" w:hAnsi="黑体" w:eastAsia="黑体" w:cs="黑体"/>
              <w:color w:val="2090A0"/>
              <w:sz w:val="20"/>
              <w:szCs w:val="20"/>
            </w:rPr>
            <w:tab/>
          </w:r>
          <w:r>
            <w:rPr>
              <w:rFonts w:ascii="Times New Roman" w:hAnsi="Times New Roman" w:eastAsia="Times New Roman" w:cs="Times New Roman"/>
              <w:color w:val="2090A0"/>
              <w:spacing w:val="-1"/>
              <w:sz w:val="20"/>
              <w:szCs w:val="20"/>
            </w:rPr>
            <w:t>52</w:t>
          </w:r>
          <w:r>
            <w:rPr>
              <w:rFonts w:ascii="Times New Roman" w:hAnsi="Times New Roman" w:eastAsia="Times New Roman" w:cs="Times New Roman"/>
              <w:color w:val="2090A0"/>
              <w:spacing w:val="-1"/>
              <w:sz w:val="20"/>
              <w:szCs w:val="20"/>
            </w:rPr>
            <w:fldChar w:fldCharType="end"/>
          </w:r>
        </w:p>
        <w:p w14:paraId="6E752290">
          <w:pPr>
            <w:tabs>
              <w:tab w:val="right" w:leader="dot" w:pos="8770"/>
            </w:tabs>
            <w:spacing w:before="213" w:line="220" w:lineRule="auto"/>
            <w:ind w:left="1210"/>
            <w:rPr>
              <w:rFonts w:ascii="Times New Roman" w:hAnsi="Times New Roman" w:eastAsia="Times New Roman" w:cs="Times New Roman"/>
              <w:sz w:val="20"/>
              <w:szCs w:val="20"/>
            </w:rPr>
          </w:pPr>
          <w:r>
            <w:fldChar w:fldCharType="begin"/>
          </w:r>
          <w:r>
            <w:instrText xml:space="preserve"> HYPERLINK \l "bookmark5" </w:instrText>
          </w:r>
          <w:r>
            <w:fldChar w:fldCharType="separate"/>
          </w:r>
          <w:r>
            <w:rPr>
              <w:rFonts w:ascii="Times New Roman" w:hAnsi="Times New Roman" w:eastAsia="Times New Roman" w:cs="Times New Roman"/>
              <w:spacing w:val="1"/>
              <w:sz w:val="20"/>
              <w:szCs w:val="20"/>
            </w:rPr>
            <w:t>2.1</w:t>
          </w:r>
          <w:r>
            <w:rPr>
              <w:rFonts w:ascii="Times New Roman" w:hAnsi="Times New Roman" w:eastAsia="Times New Roman" w:cs="Times New Roman"/>
              <w:spacing w:val="11"/>
              <w:sz w:val="20"/>
              <w:szCs w:val="20"/>
            </w:rPr>
            <w:t xml:space="preserve">    </w:t>
          </w:r>
          <w:r>
            <w:rPr>
              <w:rFonts w:ascii="黑体" w:hAnsi="黑体" w:eastAsia="黑体" w:cs="黑体"/>
              <w:spacing w:val="1"/>
              <w:sz w:val="20"/>
              <w:szCs w:val="20"/>
            </w:rPr>
            <w:t>施工导流与截流</w:t>
          </w:r>
          <w:r>
            <w:rPr>
              <w:rFonts w:ascii="黑体" w:hAnsi="黑体" w:eastAsia="黑体" w:cs="黑体"/>
              <w:spacing w:val="-76"/>
              <w:sz w:val="20"/>
              <w:szCs w:val="20"/>
            </w:rPr>
            <w:t xml:space="preserve"> </w:t>
          </w:r>
          <w:r>
            <w:rPr>
              <w:rFonts w:ascii="黑体" w:hAnsi="黑体" w:eastAsia="黑体" w:cs="黑体"/>
              <w:sz w:val="20"/>
              <w:szCs w:val="20"/>
            </w:rPr>
            <w:tab/>
          </w:r>
          <w:r>
            <w:rPr>
              <w:rFonts w:ascii="黑体" w:hAnsi="黑体" w:eastAsia="黑体" w:cs="黑体"/>
              <w:spacing w:val="-37"/>
              <w:sz w:val="20"/>
              <w:szCs w:val="20"/>
            </w:rPr>
            <w:t xml:space="preserve"> </w:t>
          </w:r>
          <w:r>
            <w:rPr>
              <w:rFonts w:ascii="Times New Roman" w:hAnsi="Times New Roman" w:eastAsia="Times New Roman" w:cs="Times New Roman"/>
              <w:spacing w:val="-3"/>
              <w:sz w:val="20"/>
              <w:szCs w:val="20"/>
            </w:rPr>
            <w:t>52</w:t>
          </w:r>
          <w:r>
            <w:rPr>
              <w:rFonts w:ascii="Times New Roman" w:hAnsi="Times New Roman" w:eastAsia="Times New Roman" w:cs="Times New Roman"/>
              <w:spacing w:val="-3"/>
              <w:sz w:val="20"/>
              <w:szCs w:val="20"/>
            </w:rPr>
            <w:fldChar w:fldCharType="end"/>
          </w:r>
        </w:p>
        <w:p w14:paraId="403BA4FE">
          <w:pPr>
            <w:tabs>
              <w:tab w:val="right" w:leader="dot" w:pos="8780"/>
            </w:tabs>
            <w:spacing w:before="72" w:line="221" w:lineRule="auto"/>
            <w:ind w:left="1210"/>
            <w:rPr>
              <w:rFonts w:ascii="Times New Roman" w:hAnsi="Times New Roman" w:eastAsia="Times New Roman" w:cs="Times New Roman"/>
              <w:sz w:val="20"/>
              <w:szCs w:val="20"/>
            </w:rPr>
          </w:pPr>
          <w:r>
            <w:fldChar w:fldCharType="begin"/>
          </w:r>
          <w:r>
            <w:instrText xml:space="preserve"> HYPERLINK \l "bookmark6" </w:instrText>
          </w:r>
          <w:r>
            <w:fldChar w:fldCharType="separate"/>
          </w:r>
          <w:r>
            <w:rPr>
              <w:rFonts w:ascii="Times New Roman" w:hAnsi="Times New Roman" w:eastAsia="Times New Roman" w:cs="Times New Roman"/>
              <w:spacing w:val="1"/>
              <w:sz w:val="20"/>
              <w:szCs w:val="20"/>
            </w:rPr>
            <w:t xml:space="preserve">2.2     </w:t>
          </w:r>
          <w:r>
            <w:rPr>
              <w:rFonts w:ascii="黑体" w:hAnsi="黑体" w:eastAsia="黑体" w:cs="黑体"/>
              <w:spacing w:val="1"/>
              <w:sz w:val="20"/>
              <w:szCs w:val="20"/>
            </w:rPr>
            <w:t>导流建筑物及基坑排水</w:t>
          </w:r>
          <w:r>
            <w:rPr>
              <w:rFonts w:ascii="黑体" w:hAnsi="黑体" w:eastAsia="黑体" w:cs="黑体"/>
              <w:spacing w:val="-70"/>
              <w:sz w:val="20"/>
              <w:szCs w:val="20"/>
            </w:rPr>
            <w:t xml:space="preserve"> </w:t>
          </w:r>
          <w:r>
            <w:rPr>
              <w:rFonts w:ascii="黑体" w:hAnsi="黑体" w:eastAsia="黑体" w:cs="黑体"/>
              <w:sz w:val="20"/>
              <w:szCs w:val="20"/>
            </w:rPr>
            <w:tab/>
          </w:r>
          <w:r>
            <w:rPr>
              <w:rFonts w:ascii="黑体" w:hAnsi="黑体" w:eastAsia="黑体" w:cs="黑体"/>
              <w:spacing w:val="-47"/>
              <w:sz w:val="20"/>
              <w:szCs w:val="20"/>
            </w:rPr>
            <w:t xml:space="preserve"> </w:t>
          </w:r>
          <w:r>
            <w:rPr>
              <w:rFonts w:ascii="Times New Roman" w:hAnsi="Times New Roman" w:eastAsia="Times New Roman" w:cs="Times New Roman"/>
              <w:spacing w:val="-3"/>
              <w:sz w:val="20"/>
              <w:szCs w:val="20"/>
            </w:rPr>
            <w:t>58</w:t>
          </w:r>
          <w:r>
            <w:rPr>
              <w:rFonts w:ascii="Times New Roman" w:hAnsi="Times New Roman" w:eastAsia="Times New Roman" w:cs="Times New Roman"/>
              <w:spacing w:val="-3"/>
              <w:sz w:val="20"/>
              <w:szCs w:val="20"/>
            </w:rPr>
            <w:fldChar w:fldCharType="end"/>
          </w:r>
        </w:p>
        <w:p w14:paraId="216C1ED4">
          <w:pPr>
            <w:tabs>
              <w:tab w:val="right" w:leader="dot" w:pos="8760"/>
            </w:tabs>
            <w:spacing w:before="91" w:line="222" w:lineRule="auto"/>
            <w:ind w:left="1210"/>
            <w:rPr>
              <w:rFonts w:ascii="Times New Roman" w:hAnsi="Times New Roman" w:eastAsia="Times New Roman" w:cs="Times New Roman"/>
              <w:sz w:val="20"/>
              <w:szCs w:val="20"/>
            </w:rPr>
          </w:pPr>
          <w:r>
            <w:fldChar w:fldCharType="begin"/>
          </w:r>
          <w:r>
            <w:instrText xml:space="preserve"> HYPERLINK \l "bookmark7" </w:instrText>
          </w:r>
          <w:r>
            <w:fldChar w:fldCharType="separate"/>
          </w:r>
          <w:r>
            <w:rPr>
              <w:rFonts w:ascii="Times New Roman" w:hAnsi="Times New Roman" w:eastAsia="Times New Roman" w:cs="Times New Roman"/>
              <w:spacing w:val="1"/>
              <w:sz w:val="20"/>
              <w:szCs w:val="20"/>
            </w:rPr>
            <w:t xml:space="preserve">2.3     </w:t>
          </w:r>
          <w:r>
            <w:rPr>
              <w:rFonts w:ascii="黑体" w:hAnsi="黑体" w:eastAsia="黑体" w:cs="黑体"/>
              <w:spacing w:val="1"/>
              <w:sz w:val="20"/>
              <w:szCs w:val="20"/>
            </w:rPr>
            <w:t>地基处理工程</w:t>
          </w:r>
          <w:r>
            <w:rPr>
              <w:rFonts w:ascii="黑体" w:hAnsi="黑体" w:eastAsia="黑体" w:cs="黑体"/>
              <w:spacing w:val="-76"/>
              <w:sz w:val="20"/>
              <w:szCs w:val="20"/>
            </w:rPr>
            <w:t xml:space="preserve"> </w:t>
          </w:r>
          <w:r>
            <w:rPr>
              <w:rFonts w:ascii="黑体" w:hAnsi="黑体" w:eastAsia="黑体" w:cs="黑体"/>
              <w:sz w:val="20"/>
              <w:szCs w:val="20"/>
            </w:rPr>
            <w:tab/>
          </w:r>
          <w:r>
            <w:rPr>
              <w:rFonts w:ascii="黑体" w:hAnsi="黑体" w:eastAsia="黑体" w:cs="黑体"/>
              <w:spacing w:val="-57"/>
              <w:sz w:val="20"/>
              <w:szCs w:val="20"/>
            </w:rPr>
            <w:t xml:space="preserve"> </w:t>
          </w:r>
          <w:r>
            <w:rPr>
              <w:rFonts w:ascii="Times New Roman" w:hAnsi="Times New Roman" w:eastAsia="Times New Roman" w:cs="Times New Roman"/>
              <w:spacing w:val="-3"/>
              <w:sz w:val="20"/>
              <w:szCs w:val="20"/>
            </w:rPr>
            <w:t>64</w:t>
          </w:r>
          <w:r>
            <w:rPr>
              <w:rFonts w:ascii="Times New Roman" w:hAnsi="Times New Roman" w:eastAsia="Times New Roman" w:cs="Times New Roman"/>
              <w:spacing w:val="-3"/>
              <w:sz w:val="20"/>
              <w:szCs w:val="20"/>
            </w:rPr>
            <w:fldChar w:fldCharType="end"/>
          </w:r>
        </w:p>
        <w:p w14:paraId="5689B78C">
          <w:pPr>
            <w:tabs>
              <w:tab w:val="right" w:leader="dot" w:pos="8762"/>
            </w:tabs>
            <w:spacing w:before="256" w:line="221" w:lineRule="auto"/>
            <w:ind w:left="982"/>
            <w:rPr>
              <w:rFonts w:ascii="Times New Roman" w:hAnsi="Times New Roman" w:eastAsia="Times New Roman" w:cs="Times New Roman"/>
              <w:sz w:val="20"/>
              <w:szCs w:val="20"/>
            </w:rPr>
          </w:pPr>
          <w:r>
            <w:fldChar w:fldCharType="begin"/>
          </w:r>
          <w:r>
            <w:instrText xml:space="preserve"> HYPERLINK \l "bookmark8" </w:instrText>
          </w:r>
          <w:r>
            <w:fldChar w:fldCharType="separate"/>
          </w:r>
          <w:r>
            <w:rPr>
              <w:rFonts w:ascii="黑体" w:hAnsi="黑体" w:eastAsia="黑体" w:cs="黑体"/>
              <w:b/>
              <w:bCs/>
              <w:color w:val="208090"/>
              <w:spacing w:val="-11"/>
              <w:sz w:val="20"/>
              <w:szCs w:val="20"/>
            </w:rPr>
            <w:t>第</w:t>
          </w:r>
          <w:r>
            <w:rPr>
              <w:rFonts w:ascii="黑体" w:hAnsi="黑体" w:eastAsia="黑体" w:cs="黑体"/>
              <w:color w:val="208090"/>
              <w:spacing w:val="28"/>
              <w:sz w:val="20"/>
              <w:szCs w:val="20"/>
            </w:rPr>
            <w:t xml:space="preserve"> </w:t>
          </w:r>
          <w:r>
            <w:rPr>
              <w:rFonts w:ascii="黑体" w:hAnsi="黑体" w:eastAsia="黑体" w:cs="黑体"/>
              <w:b/>
              <w:bCs/>
              <w:color w:val="208090"/>
              <w:spacing w:val="-11"/>
              <w:sz w:val="20"/>
              <w:szCs w:val="20"/>
            </w:rPr>
            <w:t>3</w:t>
          </w:r>
          <w:r>
            <w:rPr>
              <w:rFonts w:ascii="黑体" w:hAnsi="黑体" w:eastAsia="黑体" w:cs="黑体"/>
              <w:color w:val="208090"/>
              <w:spacing w:val="28"/>
              <w:sz w:val="20"/>
              <w:szCs w:val="20"/>
            </w:rPr>
            <w:t xml:space="preserve"> </w:t>
          </w:r>
          <w:r>
            <w:rPr>
              <w:rFonts w:ascii="黑体" w:hAnsi="黑体" w:eastAsia="黑体" w:cs="黑体"/>
              <w:b/>
              <w:bCs/>
              <w:color w:val="208090"/>
              <w:spacing w:val="-11"/>
              <w:sz w:val="20"/>
              <w:szCs w:val="20"/>
            </w:rPr>
            <w:t>章</w:t>
          </w:r>
          <w:r>
            <w:rPr>
              <w:rFonts w:ascii="黑体" w:hAnsi="黑体" w:eastAsia="黑体" w:cs="黑体"/>
              <w:color w:val="208090"/>
              <w:spacing w:val="61"/>
              <w:sz w:val="20"/>
              <w:szCs w:val="20"/>
            </w:rPr>
            <w:t xml:space="preserve"> </w:t>
          </w:r>
          <w:r>
            <w:rPr>
              <w:rFonts w:ascii="黑体" w:hAnsi="黑体" w:eastAsia="黑体" w:cs="黑体"/>
              <w:b/>
              <w:bCs/>
              <w:color w:val="208090"/>
              <w:spacing w:val="-11"/>
              <w:sz w:val="20"/>
              <w:szCs w:val="20"/>
            </w:rPr>
            <w:t>土</w:t>
          </w:r>
          <w:r>
            <w:rPr>
              <w:rFonts w:ascii="黑体" w:hAnsi="黑体" w:eastAsia="黑体" w:cs="黑体"/>
              <w:color w:val="208090"/>
              <w:spacing w:val="-35"/>
              <w:sz w:val="20"/>
              <w:szCs w:val="20"/>
            </w:rPr>
            <w:t xml:space="preserve"> </w:t>
          </w:r>
          <w:r>
            <w:rPr>
              <w:rFonts w:ascii="黑体" w:hAnsi="黑体" w:eastAsia="黑体" w:cs="黑体"/>
              <w:b/>
              <w:bCs/>
              <w:color w:val="208090"/>
              <w:spacing w:val="-11"/>
              <w:sz w:val="20"/>
              <w:szCs w:val="20"/>
            </w:rPr>
            <w:t>石</w:t>
          </w:r>
          <w:r>
            <w:rPr>
              <w:rFonts w:ascii="黑体" w:hAnsi="黑体" w:eastAsia="黑体" w:cs="黑体"/>
              <w:color w:val="208090"/>
              <w:spacing w:val="-30"/>
              <w:sz w:val="20"/>
              <w:szCs w:val="20"/>
            </w:rPr>
            <w:t xml:space="preserve"> </w:t>
          </w:r>
          <w:r>
            <w:rPr>
              <w:rFonts w:ascii="黑体" w:hAnsi="黑体" w:eastAsia="黑体" w:cs="黑体"/>
              <w:b/>
              <w:bCs/>
              <w:color w:val="208090"/>
              <w:spacing w:val="-11"/>
              <w:sz w:val="20"/>
              <w:szCs w:val="20"/>
            </w:rPr>
            <w:t>方</w:t>
          </w:r>
          <w:r>
            <w:rPr>
              <w:rFonts w:ascii="黑体" w:hAnsi="黑体" w:eastAsia="黑体" w:cs="黑体"/>
              <w:color w:val="208090"/>
              <w:spacing w:val="-26"/>
              <w:sz w:val="20"/>
              <w:szCs w:val="20"/>
            </w:rPr>
            <w:t xml:space="preserve"> </w:t>
          </w:r>
          <w:r>
            <w:rPr>
              <w:rFonts w:ascii="黑体" w:hAnsi="黑体" w:eastAsia="黑体" w:cs="黑体"/>
              <w:b/>
              <w:bCs/>
              <w:color w:val="208090"/>
              <w:spacing w:val="-11"/>
              <w:sz w:val="20"/>
              <w:szCs w:val="20"/>
            </w:rPr>
            <w:t>与</w:t>
          </w:r>
          <w:r>
            <w:rPr>
              <w:rFonts w:ascii="黑体" w:hAnsi="黑体" w:eastAsia="黑体" w:cs="黑体"/>
              <w:color w:val="208090"/>
              <w:spacing w:val="-34"/>
              <w:sz w:val="20"/>
              <w:szCs w:val="20"/>
            </w:rPr>
            <w:t xml:space="preserve"> </w:t>
          </w:r>
          <w:r>
            <w:rPr>
              <w:rFonts w:ascii="黑体" w:hAnsi="黑体" w:eastAsia="黑体" w:cs="黑体"/>
              <w:b/>
              <w:bCs/>
              <w:color w:val="208090"/>
              <w:spacing w:val="-11"/>
              <w:sz w:val="20"/>
              <w:szCs w:val="20"/>
            </w:rPr>
            <w:t>土</w:t>
          </w:r>
          <w:r>
            <w:rPr>
              <w:rFonts w:ascii="黑体" w:hAnsi="黑体" w:eastAsia="黑体" w:cs="黑体"/>
              <w:color w:val="208090"/>
              <w:spacing w:val="-36"/>
              <w:sz w:val="20"/>
              <w:szCs w:val="20"/>
            </w:rPr>
            <w:t xml:space="preserve"> </w:t>
          </w:r>
          <w:r>
            <w:rPr>
              <w:rFonts w:ascii="黑体" w:hAnsi="黑体" w:eastAsia="黑体" w:cs="黑体"/>
              <w:b/>
              <w:bCs/>
              <w:color w:val="208090"/>
              <w:spacing w:val="-11"/>
              <w:sz w:val="20"/>
              <w:szCs w:val="20"/>
            </w:rPr>
            <w:t>石</w:t>
          </w:r>
          <w:r>
            <w:rPr>
              <w:rFonts w:ascii="黑体" w:hAnsi="黑体" w:eastAsia="黑体" w:cs="黑体"/>
              <w:color w:val="208090"/>
              <w:spacing w:val="-31"/>
              <w:sz w:val="20"/>
              <w:szCs w:val="20"/>
            </w:rPr>
            <w:t xml:space="preserve"> </w:t>
          </w:r>
          <w:r>
            <w:rPr>
              <w:rFonts w:ascii="黑体" w:hAnsi="黑体" w:eastAsia="黑体" w:cs="黑体"/>
              <w:b/>
              <w:bCs/>
              <w:color w:val="208090"/>
              <w:spacing w:val="-11"/>
              <w:sz w:val="20"/>
              <w:szCs w:val="20"/>
            </w:rPr>
            <w:t>坝</w:t>
          </w:r>
          <w:r>
            <w:rPr>
              <w:rFonts w:ascii="黑体" w:hAnsi="黑体" w:eastAsia="黑体" w:cs="黑体"/>
              <w:color w:val="208090"/>
              <w:spacing w:val="-34"/>
              <w:sz w:val="20"/>
              <w:szCs w:val="20"/>
            </w:rPr>
            <w:t xml:space="preserve"> </w:t>
          </w:r>
          <w:r>
            <w:rPr>
              <w:rFonts w:ascii="黑体" w:hAnsi="黑体" w:eastAsia="黑体" w:cs="黑体"/>
              <w:b/>
              <w:bCs/>
              <w:color w:val="208090"/>
              <w:spacing w:val="-11"/>
              <w:sz w:val="20"/>
              <w:szCs w:val="20"/>
            </w:rPr>
            <w:t>工</w:t>
          </w:r>
          <w:r>
            <w:rPr>
              <w:rFonts w:ascii="黑体" w:hAnsi="黑体" w:eastAsia="黑体" w:cs="黑体"/>
              <w:color w:val="208090"/>
              <w:spacing w:val="-34"/>
              <w:sz w:val="20"/>
              <w:szCs w:val="20"/>
            </w:rPr>
            <w:t xml:space="preserve"> </w:t>
          </w:r>
          <w:r>
            <w:rPr>
              <w:rFonts w:ascii="黑体" w:hAnsi="黑体" w:eastAsia="黑体" w:cs="黑体"/>
              <w:b/>
              <w:bCs/>
              <w:color w:val="208090"/>
              <w:spacing w:val="-11"/>
              <w:sz w:val="20"/>
              <w:szCs w:val="20"/>
            </w:rPr>
            <w:t>程</w:t>
          </w:r>
          <w:r>
            <w:rPr>
              <w:rFonts w:ascii="黑体" w:hAnsi="黑体" w:eastAsia="黑体" w:cs="黑体"/>
              <w:color w:val="208090"/>
              <w:spacing w:val="-75"/>
              <w:sz w:val="20"/>
              <w:szCs w:val="20"/>
            </w:rPr>
            <w:t xml:space="preserve"> </w:t>
          </w:r>
          <w:r>
            <w:rPr>
              <w:rFonts w:ascii="黑体" w:hAnsi="黑体" w:eastAsia="黑体" w:cs="黑体"/>
              <w:color w:val="208090"/>
              <w:sz w:val="20"/>
              <w:szCs w:val="20"/>
            </w:rPr>
            <w:tab/>
          </w:r>
          <w:r>
            <w:rPr>
              <w:rFonts w:ascii="黑体" w:hAnsi="黑体" w:eastAsia="黑体" w:cs="黑体"/>
              <w:color w:val="208090"/>
              <w:spacing w:val="-67"/>
              <w:sz w:val="20"/>
              <w:szCs w:val="20"/>
            </w:rPr>
            <w:t xml:space="preserve"> </w:t>
          </w:r>
          <w:r>
            <w:rPr>
              <w:rFonts w:ascii="Times New Roman" w:hAnsi="Times New Roman" w:eastAsia="Times New Roman" w:cs="Times New Roman"/>
              <w:color w:val="208090"/>
              <w:spacing w:val="-2"/>
              <w:sz w:val="20"/>
              <w:szCs w:val="20"/>
            </w:rPr>
            <w:t>79</w:t>
          </w:r>
          <w:r>
            <w:rPr>
              <w:rFonts w:ascii="Times New Roman" w:hAnsi="Times New Roman" w:eastAsia="Times New Roman" w:cs="Times New Roman"/>
              <w:color w:val="208090"/>
              <w:spacing w:val="-2"/>
              <w:sz w:val="20"/>
              <w:szCs w:val="20"/>
            </w:rPr>
            <w:fldChar w:fldCharType="end"/>
          </w:r>
        </w:p>
        <w:p w14:paraId="4E820F14">
          <w:pPr>
            <w:tabs>
              <w:tab w:val="right" w:leader="dot" w:pos="8772"/>
            </w:tabs>
            <w:spacing w:before="214" w:line="221" w:lineRule="auto"/>
            <w:ind w:left="1210"/>
            <w:rPr>
              <w:rFonts w:ascii="Times New Roman" w:hAnsi="Times New Roman" w:eastAsia="Times New Roman" w:cs="Times New Roman"/>
              <w:sz w:val="20"/>
              <w:szCs w:val="20"/>
            </w:rPr>
          </w:pPr>
          <w:r>
            <w:fldChar w:fldCharType="begin"/>
          </w:r>
          <w:r>
            <w:instrText xml:space="preserve"> HYPERLINK \l "bookmark9" </w:instrText>
          </w:r>
          <w:r>
            <w:fldChar w:fldCharType="separate"/>
          </w:r>
          <w:r>
            <w:rPr>
              <w:rFonts w:ascii="Times New Roman" w:hAnsi="Times New Roman" w:eastAsia="Times New Roman" w:cs="Times New Roman"/>
              <w:spacing w:val="-2"/>
              <w:sz w:val="20"/>
              <w:szCs w:val="20"/>
            </w:rPr>
            <w:t xml:space="preserve">3.1     </w:t>
          </w:r>
          <w:r>
            <w:rPr>
              <w:rFonts w:ascii="黑体" w:hAnsi="黑体" w:eastAsia="黑体" w:cs="黑体"/>
              <w:spacing w:val="-2"/>
              <w:sz w:val="20"/>
              <w:szCs w:val="20"/>
            </w:rPr>
            <w:t>土石方工程</w:t>
          </w:r>
          <w:r>
            <w:rPr>
              <w:rFonts w:ascii="黑体" w:hAnsi="黑体" w:eastAsia="黑体" w:cs="黑体"/>
              <w:spacing w:val="-56"/>
              <w:sz w:val="20"/>
              <w:szCs w:val="20"/>
            </w:rPr>
            <w:t xml:space="preserve"> </w:t>
          </w:r>
          <w:r>
            <w:rPr>
              <w:rFonts w:ascii="黑体" w:hAnsi="黑体" w:eastAsia="黑体" w:cs="黑体"/>
              <w:sz w:val="20"/>
              <w:szCs w:val="20"/>
            </w:rPr>
            <w:tab/>
          </w:r>
          <w:r>
            <w:rPr>
              <w:rFonts w:ascii="黑体" w:hAnsi="黑体" w:eastAsia="黑体" w:cs="黑体"/>
              <w:spacing w:val="-27"/>
              <w:sz w:val="20"/>
              <w:szCs w:val="20"/>
            </w:rPr>
            <w:t xml:space="preserve"> </w:t>
          </w:r>
          <w:r>
            <w:rPr>
              <w:rFonts w:ascii="Times New Roman" w:hAnsi="Times New Roman" w:eastAsia="Times New Roman" w:cs="Times New Roman"/>
              <w:spacing w:val="-2"/>
              <w:sz w:val="20"/>
              <w:szCs w:val="20"/>
            </w:rPr>
            <w:t>79</w:t>
          </w:r>
          <w:r>
            <w:rPr>
              <w:rFonts w:ascii="Times New Roman" w:hAnsi="Times New Roman" w:eastAsia="Times New Roman" w:cs="Times New Roman"/>
              <w:spacing w:val="-2"/>
              <w:sz w:val="20"/>
              <w:szCs w:val="20"/>
            </w:rPr>
            <w:fldChar w:fldCharType="end"/>
          </w:r>
        </w:p>
        <w:p w14:paraId="6195DE74">
          <w:pPr>
            <w:tabs>
              <w:tab w:val="right" w:leader="dot" w:pos="8777"/>
            </w:tabs>
            <w:spacing w:before="72" w:line="222" w:lineRule="auto"/>
            <w:ind w:left="1210"/>
            <w:rPr>
              <w:rFonts w:ascii="Times New Roman" w:hAnsi="Times New Roman" w:eastAsia="Times New Roman" w:cs="Times New Roman"/>
              <w:sz w:val="20"/>
              <w:szCs w:val="20"/>
            </w:rPr>
          </w:pPr>
          <w:r>
            <w:fldChar w:fldCharType="begin"/>
          </w:r>
          <w:r>
            <w:instrText xml:space="preserve"> HYPERLINK \l "bookmark10" </w:instrText>
          </w:r>
          <w:r>
            <w:fldChar w:fldCharType="separate"/>
          </w:r>
          <w:r>
            <w:rPr>
              <w:rFonts w:ascii="Times New Roman" w:hAnsi="Times New Roman" w:eastAsia="Times New Roman" w:cs="Times New Roman"/>
              <w:spacing w:val="1"/>
              <w:sz w:val="20"/>
              <w:szCs w:val="20"/>
            </w:rPr>
            <w:t xml:space="preserve">3.2     </w:t>
          </w:r>
          <w:r>
            <w:rPr>
              <w:rFonts w:ascii="黑体" w:hAnsi="黑体" w:eastAsia="黑体" w:cs="黑体"/>
              <w:spacing w:val="1"/>
              <w:sz w:val="20"/>
              <w:szCs w:val="20"/>
            </w:rPr>
            <w:t>土石坝施工技术</w:t>
          </w:r>
          <w:r>
            <w:rPr>
              <w:rFonts w:ascii="黑体" w:hAnsi="黑体" w:eastAsia="黑体" w:cs="黑体"/>
              <w:spacing w:val="-77"/>
              <w:sz w:val="20"/>
              <w:szCs w:val="20"/>
            </w:rPr>
            <w:t xml:space="preserve"> </w:t>
          </w:r>
          <w:r>
            <w:rPr>
              <w:rFonts w:ascii="黑体" w:hAnsi="黑体" w:eastAsia="黑体" w:cs="黑体"/>
              <w:sz w:val="20"/>
              <w:szCs w:val="20"/>
            </w:rPr>
            <w:tab/>
          </w:r>
          <w:r>
            <w:rPr>
              <w:rFonts w:ascii="黑体" w:hAnsi="黑体" w:eastAsia="黑体" w:cs="黑体"/>
              <w:spacing w:val="-37"/>
              <w:sz w:val="20"/>
              <w:szCs w:val="20"/>
            </w:rPr>
            <w:t xml:space="preserve"> </w:t>
          </w:r>
          <w:r>
            <w:rPr>
              <w:rFonts w:ascii="Times New Roman" w:hAnsi="Times New Roman" w:eastAsia="Times New Roman" w:cs="Times New Roman"/>
              <w:spacing w:val="-4"/>
              <w:sz w:val="20"/>
              <w:szCs w:val="20"/>
            </w:rPr>
            <w:t>89</w:t>
          </w:r>
          <w:r>
            <w:rPr>
              <w:rFonts w:ascii="Times New Roman" w:hAnsi="Times New Roman" w:eastAsia="Times New Roman" w:cs="Times New Roman"/>
              <w:spacing w:val="-4"/>
              <w:sz w:val="20"/>
              <w:szCs w:val="20"/>
            </w:rPr>
            <w:fldChar w:fldCharType="end"/>
          </w:r>
        </w:p>
        <w:p w14:paraId="2CBDCB60">
          <w:pPr>
            <w:tabs>
              <w:tab w:val="right" w:leader="dot" w:pos="8762"/>
            </w:tabs>
            <w:spacing w:before="78" w:line="221" w:lineRule="auto"/>
            <w:ind w:left="1210"/>
            <w:rPr>
              <w:rFonts w:ascii="Times New Roman" w:hAnsi="Times New Roman" w:eastAsia="Times New Roman" w:cs="Times New Roman"/>
              <w:sz w:val="20"/>
              <w:szCs w:val="20"/>
            </w:rPr>
          </w:pPr>
          <w:r>
            <w:fldChar w:fldCharType="begin"/>
          </w:r>
          <w:r>
            <w:instrText xml:space="preserve"> HYPERLINK \l "bookmark11" </w:instrText>
          </w:r>
          <w:r>
            <w:fldChar w:fldCharType="separate"/>
          </w:r>
          <w:r>
            <w:rPr>
              <w:rFonts w:ascii="Times New Roman" w:hAnsi="Times New Roman" w:eastAsia="Times New Roman" w:cs="Times New Roman"/>
              <w:spacing w:val="1"/>
              <w:sz w:val="20"/>
              <w:szCs w:val="20"/>
            </w:rPr>
            <w:t xml:space="preserve">3.3     </w:t>
          </w:r>
          <w:r>
            <w:rPr>
              <w:rFonts w:ascii="黑体" w:hAnsi="黑体" w:eastAsia="黑体" w:cs="黑体"/>
              <w:spacing w:val="1"/>
              <w:sz w:val="20"/>
              <w:szCs w:val="20"/>
            </w:rPr>
            <w:t>面板堆石坝施工技术</w:t>
          </w:r>
          <w:r>
            <w:rPr>
              <w:rFonts w:ascii="黑体" w:hAnsi="黑体" w:eastAsia="黑体" w:cs="黑体"/>
              <w:spacing w:val="-79"/>
              <w:sz w:val="20"/>
              <w:szCs w:val="20"/>
            </w:rPr>
            <w:t xml:space="preserve"> </w:t>
          </w:r>
          <w:r>
            <w:rPr>
              <w:rFonts w:ascii="黑体" w:hAnsi="黑体" w:eastAsia="黑体" w:cs="黑体"/>
              <w:sz w:val="20"/>
              <w:szCs w:val="20"/>
            </w:rPr>
            <w:tab/>
          </w:r>
          <w:r>
            <w:rPr>
              <w:rFonts w:ascii="黑体" w:hAnsi="黑体" w:eastAsia="黑体" w:cs="黑体"/>
              <w:spacing w:val="-57"/>
              <w:sz w:val="20"/>
              <w:szCs w:val="20"/>
            </w:rPr>
            <w:t xml:space="preserve"> </w:t>
          </w:r>
          <w:r>
            <w:rPr>
              <w:rFonts w:ascii="Times New Roman" w:hAnsi="Times New Roman" w:eastAsia="Times New Roman" w:cs="Times New Roman"/>
              <w:spacing w:val="-2"/>
              <w:sz w:val="20"/>
              <w:szCs w:val="20"/>
            </w:rPr>
            <w:t>96</w:t>
          </w:r>
          <w:r>
            <w:rPr>
              <w:rFonts w:ascii="Times New Roman" w:hAnsi="Times New Roman" w:eastAsia="Times New Roman" w:cs="Times New Roman"/>
              <w:spacing w:val="-2"/>
              <w:sz w:val="20"/>
              <w:szCs w:val="20"/>
            </w:rPr>
            <w:fldChar w:fldCharType="end"/>
          </w:r>
        </w:p>
        <w:p w14:paraId="6462D90C">
          <w:pPr>
            <w:tabs>
              <w:tab w:val="right" w:leader="dot" w:pos="8775"/>
            </w:tabs>
            <w:spacing w:before="268" w:line="222" w:lineRule="auto"/>
            <w:ind w:left="982"/>
            <w:rPr>
              <w:rFonts w:ascii="Times New Roman" w:hAnsi="Times New Roman" w:eastAsia="Times New Roman" w:cs="Times New Roman"/>
              <w:sz w:val="20"/>
              <w:szCs w:val="20"/>
            </w:rPr>
          </w:pPr>
          <w:r>
            <w:fldChar w:fldCharType="begin"/>
          </w:r>
          <w:r>
            <w:instrText xml:space="preserve"> HYPERLINK \l "bookmark12" </w:instrText>
          </w:r>
          <w:r>
            <w:fldChar w:fldCharType="separate"/>
          </w:r>
          <w:r>
            <w:rPr>
              <w:rFonts w:ascii="黑体" w:hAnsi="黑体" w:eastAsia="黑体" w:cs="黑体"/>
              <w:b/>
              <w:bCs/>
              <w:color w:val="2080A0"/>
              <w:spacing w:val="-10"/>
              <w:sz w:val="20"/>
              <w:szCs w:val="20"/>
            </w:rPr>
            <w:t>第</w:t>
          </w:r>
          <w:r>
            <w:rPr>
              <w:rFonts w:ascii="黑体" w:hAnsi="黑体" w:eastAsia="黑体" w:cs="黑体"/>
              <w:color w:val="2080A0"/>
              <w:spacing w:val="25"/>
              <w:sz w:val="20"/>
              <w:szCs w:val="20"/>
            </w:rPr>
            <w:t xml:space="preserve"> </w:t>
          </w:r>
          <w:r>
            <w:rPr>
              <w:rFonts w:ascii="黑体" w:hAnsi="黑体" w:eastAsia="黑体" w:cs="黑体"/>
              <w:b/>
              <w:bCs/>
              <w:color w:val="2080A0"/>
              <w:spacing w:val="-10"/>
              <w:sz w:val="20"/>
              <w:szCs w:val="20"/>
            </w:rPr>
            <w:t>4</w:t>
          </w:r>
          <w:r>
            <w:rPr>
              <w:rFonts w:ascii="黑体" w:hAnsi="黑体" w:eastAsia="黑体" w:cs="黑体"/>
              <w:color w:val="2080A0"/>
              <w:spacing w:val="28"/>
              <w:sz w:val="20"/>
              <w:szCs w:val="20"/>
            </w:rPr>
            <w:t xml:space="preserve"> </w:t>
          </w:r>
          <w:r>
            <w:rPr>
              <w:rFonts w:ascii="黑体" w:hAnsi="黑体" w:eastAsia="黑体" w:cs="黑体"/>
              <w:b/>
              <w:bCs/>
              <w:color w:val="2080A0"/>
              <w:spacing w:val="-10"/>
              <w:sz w:val="20"/>
              <w:szCs w:val="20"/>
            </w:rPr>
            <w:t>章</w:t>
          </w:r>
          <w:r>
            <w:rPr>
              <w:rFonts w:ascii="黑体" w:hAnsi="黑体" w:eastAsia="黑体" w:cs="黑体"/>
              <w:color w:val="2080A0"/>
              <w:spacing w:val="59"/>
              <w:sz w:val="20"/>
              <w:szCs w:val="20"/>
            </w:rPr>
            <w:t xml:space="preserve"> </w:t>
          </w:r>
          <w:r>
            <w:rPr>
              <w:rFonts w:ascii="黑体" w:hAnsi="黑体" w:eastAsia="黑体" w:cs="黑体"/>
              <w:b/>
              <w:bCs/>
              <w:color w:val="2080A0"/>
              <w:spacing w:val="-10"/>
              <w:sz w:val="20"/>
              <w:szCs w:val="20"/>
            </w:rPr>
            <w:t>混</w:t>
          </w:r>
          <w:r>
            <w:rPr>
              <w:rFonts w:ascii="黑体" w:hAnsi="黑体" w:eastAsia="黑体" w:cs="黑体"/>
              <w:color w:val="2080A0"/>
              <w:spacing w:val="-37"/>
              <w:sz w:val="20"/>
              <w:szCs w:val="20"/>
            </w:rPr>
            <w:t xml:space="preserve"> </w:t>
          </w:r>
          <w:r>
            <w:rPr>
              <w:rFonts w:ascii="黑体" w:hAnsi="黑体" w:eastAsia="黑体" w:cs="黑体"/>
              <w:b/>
              <w:bCs/>
              <w:color w:val="2080A0"/>
              <w:spacing w:val="-10"/>
              <w:sz w:val="20"/>
              <w:szCs w:val="20"/>
            </w:rPr>
            <w:t>凝</w:t>
          </w:r>
          <w:r>
            <w:rPr>
              <w:rFonts w:ascii="黑体" w:hAnsi="黑体" w:eastAsia="黑体" w:cs="黑体"/>
              <w:color w:val="2080A0"/>
              <w:spacing w:val="-35"/>
              <w:sz w:val="20"/>
              <w:szCs w:val="20"/>
            </w:rPr>
            <w:t xml:space="preserve"> </w:t>
          </w:r>
          <w:r>
            <w:rPr>
              <w:rFonts w:ascii="黑体" w:hAnsi="黑体" w:eastAsia="黑体" w:cs="黑体"/>
              <w:b/>
              <w:bCs/>
              <w:color w:val="2080A0"/>
              <w:spacing w:val="-10"/>
              <w:sz w:val="20"/>
              <w:szCs w:val="20"/>
            </w:rPr>
            <w:t>土</w:t>
          </w:r>
          <w:r>
            <w:rPr>
              <w:rFonts w:ascii="黑体" w:hAnsi="黑体" w:eastAsia="黑体" w:cs="黑体"/>
              <w:color w:val="2080A0"/>
              <w:spacing w:val="-27"/>
              <w:sz w:val="20"/>
              <w:szCs w:val="20"/>
            </w:rPr>
            <w:t xml:space="preserve"> </w:t>
          </w:r>
          <w:r>
            <w:rPr>
              <w:rFonts w:ascii="黑体" w:hAnsi="黑体" w:eastAsia="黑体" w:cs="黑体"/>
              <w:b/>
              <w:bCs/>
              <w:color w:val="2080A0"/>
              <w:spacing w:val="-10"/>
              <w:sz w:val="20"/>
              <w:szCs w:val="20"/>
            </w:rPr>
            <w:t>与</w:t>
          </w:r>
          <w:r>
            <w:rPr>
              <w:rFonts w:ascii="黑体" w:hAnsi="黑体" w:eastAsia="黑体" w:cs="黑体"/>
              <w:color w:val="2080A0"/>
              <w:spacing w:val="-37"/>
              <w:sz w:val="20"/>
              <w:szCs w:val="20"/>
            </w:rPr>
            <w:t xml:space="preserve"> </w:t>
          </w:r>
          <w:r>
            <w:rPr>
              <w:rFonts w:ascii="黑体" w:hAnsi="黑体" w:eastAsia="黑体" w:cs="黑体"/>
              <w:b/>
              <w:bCs/>
              <w:color w:val="2080A0"/>
              <w:spacing w:val="-10"/>
              <w:sz w:val="20"/>
              <w:szCs w:val="20"/>
            </w:rPr>
            <w:t>混</w:t>
          </w:r>
          <w:r>
            <w:rPr>
              <w:rFonts w:ascii="黑体" w:hAnsi="黑体" w:eastAsia="黑体" w:cs="黑体"/>
              <w:color w:val="2080A0"/>
              <w:spacing w:val="-37"/>
              <w:sz w:val="20"/>
              <w:szCs w:val="20"/>
            </w:rPr>
            <w:t xml:space="preserve"> </w:t>
          </w:r>
          <w:r>
            <w:rPr>
              <w:rFonts w:ascii="黑体" w:hAnsi="黑体" w:eastAsia="黑体" w:cs="黑体"/>
              <w:b/>
              <w:bCs/>
              <w:color w:val="2080A0"/>
              <w:spacing w:val="-10"/>
              <w:sz w:val="20"/>
              <w:szCs w:val="20"/>
            </w:rPr>
            <w:t>凝</w:t>
          </w:r>
          <w:r>
            <w:rPr>
              <w:rFonts w:ascii="黑体" w:hAnsi="黑体" w:eastAsia="黑体" w:cs="黑体"/>
              <w:color w:val="2080A0"/>
              <w:spacing w:val="-34"/>
              <w:sz w:val="20"/>
              <w:szCs w:val="20"/>
            </w:rPr>
            <w:t xml:space="preserve"> </w:t>
          </w:r>
          <w:r>
            <w:rPr>
              <w:rFonts w:ascii="黑体" w:hAnsi="黑体" w:eastAsia="黑体" w:cs="黑体"/>
              <w:b/>
              <w:bCs/>
              <w:color w:val="2080A0"/>
              <w:spacing w:val="-10"/>
              <w:sz w:val="20"/>
              <w:szCs w:val="20"/>
            </w:rPr>
            <w:t>土</w:t>
          </w:r>
          <w:r>
            <w:rPr>
              <w:rFonts w:ascii="黑体" w:hAnsi="黑体" w:eastAsia="黑体" w:cs="黑体"/>
              <w:color w:val="2080A0"/>
              <w:spacing w:val="-33"/>
              <w:sz w:val="20"/>
              <w:szCs w:val="20"/>
            </w:rPr>
            <w:t xml:space="preserve"> </w:t>
          </w:r>
          <w:r>
            <w:rPr>
              <w:rFonts w:ascii="黑体" w:hAnsi="黑体" w:eastAsia="黑体" w:cs="黑体"/>
              <w:b/>
              <w:bCs/>
              <w:color w:val="2080A0"/>
              <w:spacing w:val="-10"/>
              <w:sz w:val="20"/>
              <w:szCs w:val="20"/>
            </w:rPr>
            <w:t>坝</w:t>
          </w:r>
          <w:r>
            <w:rPr>
              <w:rFonts w:ascii="黑体" w:hAnsi="黑体" w:eastAsia="黑体" w:cs="黑体"/>
              <w:color w:val="2080A0"/>
              <w:spacing w:val="-34"/>
              <w:sz w:val="20"/>
              <w:szCs w:val="20"/>
            </w:rPr>
            <w:t xml:space="preserve"> </w:t>
          </w:r>
          <w:r>
            <w:rPr>
              <w:rFonts w:ascii="黑体" w:hAnsi="黑体" w:eastAsia="黑体" w:cs="黑体"/>
              <w:b/>
              <w:bCs/>
              <w:color w:val="2080A0"/>
              <w:spacing w:val="-10"/>
              <w:sz w:val="20"/>
              <w:szCs w:val="20"/>
            </w:rPr>
            <w:t>工</w:t>
          </w:r>
          <w:r>
            <w:rPr>
              <w:rFonts w:ascii="黑体" w:hAnsi="黑体" w:eastAsia="黑体" w:cs="黑体"/>
              <w:color w:val="2080A0"/>
              <w:spacing w:val="-35"/>
              <w:sz w:val="20"/>
              <w:szCs w:val="20"/>
            </w:rPr>
            <w:t xml:space="preserve"> </w:t>
          </w:r>
          <w:r>
            <w:rPr>
              <w:rFonts w:ascii="黑体" w:hAnsi="黑体" w:eastAsia="黑体" w:cs="黑体"/>
              <w:b/>
              <w:bCs/>
              <w:color w:val="2080A0"/>
              <w:spacing w:val="-10"/>
              <w:sz w:val="20"/>
              <w:szCs w:val="20"/>
            </w:rPr>
            <w:t>程</w:t>
          </w:r>
          <w:r>
            <w:rPr>
              <w:rFonts w:ascii="黑体" w:hAnsi="黑体" w:eastAsia="黑体" w:cs="黑体"/>
              <w:color w:val="2080A0"/>
              <w:spacing w:val="-75"/>
              <w:sz w:val="20"/>
              <w:szCs w:val="20"/>
            </w:rPr>
            <w:t xml:space="preserve"> </w:t>
          </w:r>
          <w:r>
            <w:rPr>
              <w:rFonts w:ascii="黑体" w:hAnsi="黑体" w:eastAsia="黑体" w:cs="黑体"/>
              <w:color w:val="307080"/>
              <w:sz w:val="20"/>
              <w:szCs w:val="20"/>
            </w:rPr>
            <w:tab/>
          </w:r>
          <w:r>
            <w:rPr>
              <w:rFonts w:ascii="Times New Roman" w:hAnsi="Times New Roman" w:eastAsia="Times New Roman" w:cs="Times New Roman"/>
              <w:color w:val="2080A0"/>
              <w:spacing w:val="-4"/>
              <w:sz w:val="20"/>
              <w:szCs w:val="20"/>
            </w:rPr>
            <w:t>103</w:t>
          </w:r>
          <w:r>
            <w:rPr>
              <w:rFonts w:ascii="Times New Roman" w:hAnsi="Times New Roman" w:eastAsia="Times New Roman" w:cs="Times New Roman"/>
              <w:color w:val="2080A0"/>
              <w:spacing w:val="-4"/>
              <w:sz w:val="20"/>
              <w:szCs w:val="20"/>
            </w:rPr>
            <w:fldChar w:fldCharType="end"/>
          </w:r>
        </w:p>
        <w:p w14:paraId="5FCEEF06">
          <w:pPr>
            <w:tabs>
              <w:tab w:val="right" w:leader="dot" w:pos="8775"/>
            </w:tabs>
            <w:spacing w:before="212" w:line="222" w:lineRule="auto"/>
            <w:ind w:left="1210"/>
            <w:rPr>
              <w:rFonts w:ascii="Times New Roman" w:hAnsi="Times New Roman" w:eastAsia="Times New Roman" w:cs="Times New Roman"/>
              <w:sz w:val="20"/>
              <w:szCs w:val="20"/>
            </w:rPr>
          </w:pPr>
          <w:r>
            <w:fldChar w:fldCharType="begin"/>
          </w:r>
          <w:r>
            <w:instrText xml:space="preserve"> HYPERLINK \l "bookmark13" </w:instrText>
          </w:r>
          <w:r>
            <w:fldChar w:fldCharType="separate"/>
          </w:r>
          <w:r>
            <w:rPr>
              <w:rFonts w:ascii="Times New Roman" w:hAnsi="Times New Roman" w:eastAsia="Times New Roman" w:cs="Times New Roman"/>
              <w:spacing w:val="5"/>
              <w:sz w:val="20"/>
              <w:szCs w:val="20"/>
            </w:rPr>
            <w:t>4.1</w:t>
          </w:r>
          <w:r>
            <w:rPr>
              <w:rFonts w:ascii="Times New Roman" w:hAnsi="Times New Roman" w:eastAsia="Times New Roman" w:cs="Times New Roman"/>
              <w:spacing w:val="11"/>
              <w:sz w:val="20"/>
              <w:szCs w:val="20"/>
            </w:rPr>
            <w:t xml:space="preserve">    </w:t>
          </w:r>
          <w:r>
            <w:rPr>
              <w:rFonts w:ascii="黑体" w:hAnsi="黑体" w:eastAsia="黑体" w:cs="黑体"/>
              <w:spacing w:val="5"/>
              <w:sz w:val="20"/>
              <w:szCs w:val="20"/>
            </w:rPr>
            <w:t>混凝土的生产与浇筑</w:t>
          </w:r>
          <w:r>
            <w:rPr>
              <w:rFonts w:ascii="黑体" w:hAnsi="黑体" w:eastAsia="黑体" w:cs="黑体"/>
              <w:spacing w:val="-86"/>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103</w:t>
          </w:r>
          <w:r>
            <w:rPr>
              <w:rFonts w:ascii="Times New Roman" w:hAnsi="Times New Roman" w:eastAsia="Times New Roman" w:cs="Times New Roman"/>
              <w:spacing w:val="-4"/>
              <w:sz w:val="20"/>
              <w:szCs w:val="20"/>
            </w:rPr>
            <w:fldChar w:fldCharType="end"/>
          </w:r>
        </w:p>
        <w:p w14:paraId="6AC7F0CB">
          <w:pPr>
            <w:tabs>
              <w:tab w:val="right" w:leader="dot" w:pos="8765"/>
            </w:tabs>
            <w:spacing w:before="69" w:line="221" w:lineRule="auto"/>
            <w:ind w:left="1210"/>
            <w:rPr>
              <w:rFonts w:ascii="Times New Roman" w:hAnsi="Times New Roman" w:eastAsia="Times New Roman" w:cs="Times New Roman"/>
              <w:sz w:val="20"/>
              <w:szCs w:val="20"/>
            </w:rPr>
          </w:pPr>
          <w:r>
            <w:fldChar w:fldCharType="begin"/>
          </w:r>
          <w:r>
            <w:instrText xml:space="preserve"> HYPERLINK \l "bookmark14" </w:instrText>
          </w:r>
          <w:r>
            <w:fldChar w:fldCharType="separate"/>
          </w:r>
          <w:r>
            <w:rPr>
              <w:rFonts w:ascii="Times New Roman" w:hAnsi="Times New Roman" w:eastAsia="Times New Roman" w:cs="Times New Roman"/>
              <w:spacing w:val="1"/>
              <w:sz w:val="20"/>
              <w:szCs w:val="20"/>
            </w:rPr>
            <w:t xml:space="preserve">4.2     </w:t>
          </w:r>
          <w:r>
            <w:rPr>
              <w:rFonts w:ascii="黑体" w:hAnsi="黑体" w:eastAsia="黑体" w:cs="黑体"/>
              <w:spacing w:val="1"/>
              <w:sz w:val="20"/>
              <w:szCs w:val="20"/>
            </w:rPr>
            <w:t>模板与钢筋</w:t>
          </w:r>
          <w:r>
            <w:rPr>
              <w:rFonts w:ascii="黑体" w:hAnsi="黑体" w:eastAsia="黑体" w:cs="黑体"/>
              <w:spacing w:val="-75"/>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114</w:t>
          </w:r>
          <w:r>
            <w:rPr>
              <w:rFonts w:ascii="Times New Roman" w:hAnsi="Times New Roman" w:eastAsia="Times New Roman" w:cs="Times New Roman"/>
              <w:spacing w:val="-4"/>
              <w:sz w:val="20"/>
              <w:szCs w:val="20"/>
            </w:rPr>
            <w:fldChar w:fldCharType="end"/>
          </w:r>
        </w:p>
        <w:p w14:paraId="08CCAA4D">
          <w:pPr>
            <w:tabs>
              <w:tab w:val="right" w:leader="dot" w:pos="8775"/>
            </w:tabs>
            <w:spacing w:before="83" w:line="222" w:lineRule="auto"/>
            <w:ind w:left="1210"/>
            <w:rPr>
              <w:rFonts w:ascii="Times New Roman" w:hAnsi="Times New Roman" w:eastAsia="Times New Roman" w:cs="Times New Roman"/>
              <w:sz w:val="20"/>
              <w:szCs w:val="20"/>
            </w:rPr>
          </w:pPr>
          <w:r>
            <w:fldChar w:fldCharType="begin"/>
          </w:r>
          <w:r>
            <w:instrText xml:space="preserve"> HYPERLINK \l "bookmark15" </w:instrText>
          </w:r>
          <w:r>
            <w:fldChar w:fldCharType="separate"/>
          </w:r>
          <w:r>
            <w:rPr>
              <w:rFonts w:ascii="Times New Roman" w:hAnsi="Times New Roman" w:eastAsia="Times New Roman" w:cs="Times New Roman"/>
              <w:spacing w:val="1"/>
              <w:sz w:val="20"/>
              <w:szCs w:val="20"/>
            </w:rPr>
            <w:t xml:space="preserve">4.3     </w:t>
          </w:r>
          <w:r>
            <w:rPr>
              <w:rFonts w:ascii="黑体" w:hAnsi="黑体" w:eastAsia="黑体" w:cs="黑体"/>
              <w:spacing w:val="1"/>
              <w:sz w:val="20"/>
              <w:szCs w:val="20"/>
            </w:rPr>
            <w:t>混凝土坝的施工技术</w:t>
          </w:r>
          <w:r>
            <w:rPr>
              <w:rFonts w:ascii="黑体" w:hAnsi="黑体" w:eastAsia="黑体" w:cs="黑体"/>
              <w:spacing w:val="-79"/>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123</w:t>
          </w:r>
          <w:r>
            <w:rPr>
              <w:rFonts w:ascii="Times New Roman" w:hAnsi="Times New Roman" w:eastAsia="Times New Roman" w:cs="Times New Roman"/>
              <w:spacing w:val="-4"/>
              <w:sz w:val="20"/>
              <w:szCs w:val="20"/>
            </w:rPr>
            <w:fldChar w:fldCharType="end"/>
          </w:r>
        </w:p>
        <w:p w14:paraId="5BDB08D1">
          <w:pPr>
            <w:tabs>
              <w:tab w:val="right" w:leader="dot" w:pos="8765"/>
            </w:tabs>
            <w:spacing w:before="79" w:line="222" w:lineRule="auto"/>
            <w:ind w:left="1210"/>
            <w:rPr>
              <w:rFonts w:ascii="Times New Roman" w:hAnsi="Times New Roman" w:eastAsia="Times New Roman" w:cs="Times New Roman"/>
              <w:sz w:val="20"/>
              <w:szCs w:val="20"/>
            </w:rPr>
          </w:pPr>
          <w:r>
            <w:fldChar w:fldCharType="begin"/>
          </w:r>
          <w:r>
            <w:instrText xml:space="preserve"> HYPERLINK \l "bookmark16" </w:instrText>
          </w:r>
          <w:r>
            <w:fldChar w:fldCharType="separate"/>
          </w:r>
          <w:r>
            <w:rPr>
              <w:rFonts w:ascii="Times New Roman" w:hAnsi="Times New Roman" w:eastAsia="Times New Roman" w:cs="Times New Roman"/>
              <w:spacing w:val="1"/>
              <w:sz w:val="20"/>
              <w:szCs w:val="20"/>
            </w:rPr>
            <w:t xml:space="preserve">4.4     </w:t>
          </w:r>
          <w:r>
            <w:rPr>
              <w:rFonts w:ascii="黑体" w:hAnsi="黑体" w:eastAsia="黑体" w:cs="黑体"/>
              <w:spacing w:val="1"/>
              <w:sz w:val="20"/>
              <w:szCs w:val="20"/>
            </w:rPr>
            <w:t>碾压混凝土的施工技术</w:t>
          </w:r>
          <w:r>
            <w:rPr>
              <w:rFonts w:ascii="黑体" w:hAnsi="黑体" w:eastAsia="黑体" w:cs="黑体"/>
              <w:spacing w:val="-70"/>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126</w:t>
          </w:r>
          <w:r>
            <w:rPr>
              <w:rFonts w:ascii="Times New Roman" w:hAnsi="Times New Roman" w:eastAsia="Times New Roman" w:cs="Times New Roman"/>
              <w:spacing w:val="-4"/>
              <w:sz w:val="20"/>
              <w:szCs w:val="20"/>
            </w:rPr>
            <w:fldChar w:fldCharType="end"/>
          </w:r>
        </w:p>
        <w:p w14:paraId="1B3EEB1E">
          <w:pPr>
            <w:tabs>
              <w:tab w:val="right" w:leader="dot" w:pos="8775"/>
            </w:tabs>
            <w:spacing w:before="244" w:line="220" w:lineRule="auto"/>
            <w:ind w:left="982"/>
            <w:rPr>
              <w:rFonts w:ascii="Times New Roman" w:hAnsi="Times New Roman" w:eastAsia="Times New Roman" w:cs="Times New Roman"/>
              <w:sz w:val="20"/>
              <w:szCs w:val="20"/>
            </w:rPr>
          </w:pPr>
          <w:r>
            <w:fldChar w:fldCharType="begin"/>
          </w:r>
          <w:r>
            <w:instrText xml:space="preserve"> HYPERLINK \l "bookmark17" </w:instrText>
          </w:r>
          <w:r>
            <w:fldChar w:fldCharType="separate"/>
          </w:r>
          <w:r>
            <w:rPr>
              <w:rFonts w:ascii="黑体" w:hAnsi="黑体" w:eastAsia="黑体" w:cs="黑体"/>
              <w:b/>
              <w:bCs/>
              <w:color w:val="2080A0"/>
              <w:spacing w:val="-11"/>
              <w:sz w:val="20"/>
              <w:szCs w:val="20"/>
            </w:rPr>
            <w:t>第</w:t>
          </w:r>
          <w:r>
            <w:rPr>
              <w:rFonts w:ascii="黑体" w:hAnsi="黑体" w:eastAsia="黑体" w:cs="黑体"/>
              <w:color w:val="2080A0"/>
              <w:spacing w:val="28"/>
              <w:sz w:val="20"/>
              <w:szCs w:val="20"/>
            </w:rPr>
            <w:t xml:space="preserve"> </w:t>
          </w:r>
          <w:r>
            <w:rPr>
              <w:rFonts w:ascii="黑体" w:hAnsi="黑体" w:eastAsia="黑体" w:cs="黑体"/>
              <w:b/>
              <w:bCs/>
              <w:color w:val="2080A0"/>
              <w:spacing w:val="-11"/>
              <w:sz w:val="20"/>
              <w:szCs w:val="20"/>
            </w:rPr>
            <w:t>5</w:t>
          </w:r>
          <w:r>
            <w:rPr>
              <w:rFonts w:ascii="黑体" w:hAnsi="黑体" w:eastAsia="黑体" w:cs="黑体"/>
              <w:color w:val="2080A0"/>
              <w:spacing w:val="33"/>
              <w:sz w:val="20"/>
              <w:szCs w:val="20"/>
            </w:rPr>
            <w:t xml:space="preserve"> </w:t>
          </w:r>
          <w:r>
            <w:rPr>
              <w:rFonts w:ascii="黑体" w:hAnsi="黑体" w:eastAsia="黑体" w:cs="黑体"/>
              <w:b/>
              <w:bCs/>
              <w:color w:val="2080A0"/>
              <w:spacing w:val="-11"/>
              <w:sz w:val="20"/>
              <w:szCs w:val="20"/>
            </w:rPr>
            <w:t>章</w:t>
          </w:r>
          <w:r>
            <w:rPr>
              <w:rFonts w:ascii="黑体" w:hAnsi="黑体" w:eastAsia="黑体" w:cs="黑体"/>
              <w:color w:val="2080A0"/>
              <w:spacing w:val="63"/>
              <w:sz w:val="20"/>
              <w:szCs w:val="20"/>
            </w:rPr>
            <w:t xml:space="preserve"> </w:t>
          </w:r>
          <w:r>
            <w:rPr>
              <w:rFonts w:ascii="黑体" w:hAnsi="黑体" w:eastAsia="黑体" w:cs="黑体"/>
              <w:b/>
              <w:bCs/>
              <w:color w:val="2080A0"/>
              <w:spacing w:val="-11"/>
              <w:sz w:val="20"/>
              <w:szCs w:val="20"/>
            </w:rPr>
            <w:t>堤</w:t>
          </w:r>
          <w:r>
            <w:rPr>
              <w:rFonts w:ascii="黑体" w:hAnsi="黑体" w:eastAsia="黑体" w:cs="黑体"/>
              <w:color w:val="2080A0"/>
              <w:spacing w:val="-20"/>
              <w:sz w:val="20"/>
              <w:szCs w:val="20"/>
            </w:rPr>
            <w:t xml:space="preserve"> </w:t>
          </w:r>
          <w:r>
            <w:rPr>
              <w:rFonts w:ascii="黑体" w:hAnsi="黑体" w:eastAsia="黑体" w:cs="黑体"/>
              <w:b/>
              <w:bCs/>
              <w:color w:val="2080A0"/>
              <w:spacing w:val="-11"/>
              <w:sz w:val="20"/>
              <w:szCs w:val="20"/>
            </w:rPr>
            <w:t>防</w:t>
          </w:r>
          <w:r>
            <w:rPr>
              <w:rFonts w:ascii="黑体" w:hAnsi="黑体" w:eastAsia="黑体" w:cs="黑体"/>
              <w:color w:val="2080A0"/>
              <w:spacing w:val="-23"/>
              <w:sz w:val="20"/>
              <w:szCs w:val="20"/>
            </w:rPr>
            <w:t xml:space="preserve"> </w:t>
          </w:r>
          <w:r>
            <w:rPr>
              <w:rFonts w:ascii="黑体" w:hAnsi="黑体" w:eastAsia="黑体" w:cs="黑体"/>
              <w:b/>
              <w:bCs/>
              <w:color w:val="2080A0"/>
              <w:spacing w:val="-11"/>
              <w:sz w:val="20"/>
              <w:szCs w:val="20"/>
            </w:rPr>
            <w:t>与</w:t>
          </w:r>
          <w:r>
            <w:rPr>
              <w:rFonts w:ascii="黑体" w:hAnsi="黑体" w:eastAsia="黑体" w:cs="黑体"/>
              <w:color w:val="2080A0"/>
              <w:spacing w:val="-30"/>
              <w:sz w:val="20"/>
              <w:szCs w:val="20"/>
            </w:rPr>
            <w:t xml:space="preserve"> </w:t>
          </w:r>
          <w:r>
            <w:rPr>
              <w:rFonts w:ascii="黑体" w:hAnsi="黑体" w:eastAsia="黑体" w:cs="黑体"/>
              <w:b/>
              <w:bCs/>
              <w:color w:val="2080A0"/>
              <w:spacing w:val="-11"/>
              <w:sz w:val="20"/>
              <w:szCs w:val="20"/>
            </w:rPr>
            <w:t>河</w:t>
          </w:r>
          <w:r>
            <w:rPr>
              <w:rFonts w:ascii="黑体" w:hAnsi="黑体" w:eastAsia="黑体" w:cs="黑体"/>
              <w:color w:val="2080A0"/>
              <w:spacing w:val="-33"/>
              <w:sz w:val="20"/>
              <w:szCs w:val="20"/>
            </w:rPr>
            <w:t xml:space="preserve"> </w:t>
          </w:r>
          <w:r>
            <w:rPr>
              <w:rFonts w:ascii="黑体" w:hAnsi="黑体" w:eastAsia="黑体" w:cs="黑体"/>
              <w:b/>
              <w:bCs/>
              <w:color w:val="2080A0"/>
              <w:spacing w:val="-11"/>
              <w:sz w:val="20"/>
              <w:szCs w:val="20"/>
            </w:rPr>
            <w:t>湖</w:t>
          </w:r>
          <w:r>
            <w:rPr>
              <w:rFonts w:ascii="黑体" w:hAnsi="黑体" w:eastAsia="黑体" w:cs="黑体"/>
              <w:color w:val="2080A0"/>
              <w:spacing w:val="-32"/>
              <w:sz w:val="20"/>
              <w:szCs w:val="20"/>
            </w:rPr>
            <w:t xml:space="preserve"> </w:t>
          </w:r>
          <w:r>
            <w:rPr>
              <w:rFonts w:ascii="黑体" w:hAnsi="黑体" w:eastAsia="黑体" w:cs="黑体"/>
              <w:b/>
              <w:bCs/>
              <w:color w:val="2080A0"/>
              <w:spacing w:val="-11"/>
              <w:sz w:val="20"/>
              <w:szCs w:val="20"/>
            </w:rPr>
            <w:t>疏</w:t>
          </w:r>
          <w:r>
            <w:rPr>
              <w:rFonts w:ascii="黑体" w:hAnsi="黑体" w:eastAsia="黑体" w:cs="黑体"/>
              <w:color w:val="2080A0"/>
              <w:spacing w:val="-28"/>
              <w:sz w:val="20"/>
              <w:szCs w:val="20"/>
            </w:rPr>
            <w:t xml:space="preserve"> </w:t>
          </w:r>
          <w:r>
            <w:rPr>
              <w:rFonts w:ascii="黑体" w:hAnsi="黑体" w:eastAsia="黑体" w:cs="黑体"/>
              <w:b/>
              <w:bCs/>
              <w:color w:val="2080A0"/>
              <w:spacing w:val="-11"/>
              <w:sz w:val="20"/>
              <w:szCs w:val="20"/>
            </w:rPr>
            <w:t>浚</w:t>
          </w:r>
          <w:r>
            <w:rPr>
              <w:rFonts w:ascii="黑体" w:hAnsi="黑体" w:eastAsia="黑体" w:cs="黑体"/>
              <w:color w:val="2080A0"/>
              <w:spacing w:val="-30"/>
              <w:sz w:val="20"/>
              <w:szCs w:val="20"/>
            </w:rPr>
            <w:t xml:space="preserve"> </w:t>
          </w:r>
          <w:r>
            <w:rPr>
              <w:rFonts w:ascii="黑体" w:hAnsi="黑体" w:eastAsia="黑体" w:cs="黑体"/>
              <w:b/>
              <w:bCs/>
              <w:color w:val="2080A0"/>
              <w:spacing w:val="-11"/>
              <w:sz w:val="20"/>
              <w:szCs w:val="20"/>
            </w:rPr>
            <w:t>工</w:t>
          </w:r>
          <w:r>
            <w:rPr>
              <w:rFonts w:ascii="黑体" w:hAnsi="黑体" w:eastAsia="黑体" w:cs="黑体"/>
              <w:color w:val="2080A0"/>
              <w:spacing w:val="-31"/>
              <w:sz w:val="20"/>
              <w:szCs w:val="20"/>
            </w:rPr>
            <w:t xml:space="preserve"> </w:t>
          </w:r>
          <w:r>
            <w:rPr>
              <w:rFonts w:ascii="黑体" w:hAnsi="黑体" w:eastAsia="黑体" w:cs="黑体"/>
              <w:b/>
              <w:bCs/>
              <w:color w:val="2080A0"/>
              <w:spacing w:val="-11"/>
              <w:sz w:val="20"/>
              <w:szCs w:val="20"/>
            </w:rPr>
            <w:t>程</w:t>
          </w:r>
          <w:r>
            <w:rPr>
              <w:rFonts w:ascii="黑体" w:hAnsi="黑体" w:eastAsia="黑体" w:cs="黑体"/>
              <w:color w:val="2080A0"/>
              <w:spacing w:val="-75"/>
              <w:sz w:val="20"/>
              <w:szCs w:val="20"/>
            </w:rPr>
            <w:t xml:space="preserve"> </w:t>
          </w:r>
          <w:r>
            <w:rPr>
              <w:rFonts w:ascii="黑体" w:hAnsi="黑体" w:eastAsia="黑体" w:cs="黑体"/>
              <w:color w:val="2080A0"/>
              <w:sz w:val="20"/>
              <w:szCs w:val="20"/>
            </w:rPr>
            <w:tab/>
          </w:r>
          <w:r>
            <w:rPr>
              <w:rFonts w:ascii="Times New Roman" w:hAnsi="Times New Roman" w:eastAsia="Times New Roman" w:cs="Times New Roman"/>
              <w:color w:val="2080A0"/>
              <w:spacing w:val="-4"/>
              <w:sz w:val="20"/>
              <w:szCs w:val="20"/>
            </w:rPr>
            <w:t>130</w:t>
          </w:r>
          <w:r>
            <w:rPr>
              <w:rFonts w:ascii="Times New Roman" w:hAnsi="Times New Roman" w:eastAsia="Times New Roman" w:cs="Times New Roman"/>
              <w:color w:val="2080A0"/>
              <w:spacing w:val="-4"/>
              <w:sz w:val="20"/>
              <w:szCs w:val="20"/>
            </w:rPr>
            <w:fldChar w:fldCharType="end"/>
          </w:r>
        </w:p>
        <w:p w14:paraId="29456041">
          <w:pPr>
            <w:tabs>
              <w:tab w:val="right" w:leader="dot" w:pos="8765"/>
            </w:tabs>
            <w:spacing w:before="225" w:line="221" w:lineRule="auto"/>
            <w:ind w:left="1210"/>
            <w:rPr>
              <w:rFonts w:ascii="Times New Roman" w:hAnsi="Times New Roman" w:eastAsia="Times New Roman" w:cs="Times New Roman"/>
              <w:sz w:val="20"/>
              <w:szCs w:val="20"/>
            </w:rPr>
          </w:pPr>
          <w:r>
            <w:fldChar w:fldCharType="begin"/>
          </w:r>
          <w:r>
            <w:instrText xml:space="preserve"> HYPERLINK \l "bookmark18" </w:instrText>
          </w:r>
          <w:r>
            <w:fldChar w:fldCharType="separate"/>
          </w:r>
          <w:r>
            <w:rPr>
              <w:rFonts w:ascii="Times New Roman" w:hAnsi="Times New Roman" w:eastAsia="Times New Roman" w:cs="Times New Roman"/>
              <w:spacing w:val="3"/>
              <w:sz w:val="20"/>
              <w:szCs w:val="20"/>
            </w:rPr>
            <w:t xml:space="preserve">5.1    </w:t>
          </w:r>
          <w:r>
            <w:rPr>
              <w:rFonts w:ascii="黑体" w:hAnsi="黑体" w:eastAsia="黑体" w:cs="黑体"/>
              <w:spacing w:val="3"/>
              <w:sz w:val="20"/>
              <w:szCs w:val="20"/>
            </w:rPr>
            <w:t>堤防工程施工技术</w:t>
          </w:r>
          <w:r>
            <w:rPr>
              <w:rFonts w:ascii="黑体" w:hAnsi="黑体" w:eastAsia="黑体" w:cs="黑体"/>
              <w:spacing w:val="-77"/>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130</w:t>
          </w:r>
          <w:r>
            <w:rPr>
              <w:rFonts w:ascii="Times New Roman" w:hAnsi="Times New Roman" w:eastAsia="Times New Roman" w:cs="Times New Roman"/>
              <w:spacing w:val="-4"/>
              <w:sz w:val="20"/>
              <w:szCs w:val="20"/>
            </w:rPr>
            <w:fldChar w:fldCharType="end"/>
          </w:r>
        </w:p>
        <w:p w14:paraId="100791F7">
          <w:pPr>
            <w:tabs>
              <w:tab w:val="right" w:leader="dot" w:pos="8775"/>
            </w:tabs>
            <w:spacing w:before="81" w:line="220" w:lineRule="auto"/>
            <w:ind w:left="1210"/>
            <w:rPr>
              <w:rFonts w:ascii="Times New Roman" w:hAnsi="Times New Roman" w:eastAsia="Times New Roman" w:cs="Times New Roman"/>
              <w:sz w:val="20"/>
              <w:szCs w:val="20"/>
            </w:rPr>
          </w:pPr>
          <w:r>
            <w:fldChar w:fldCharType="begin"/>
          </w:r>
          <w:r>
            <w:instrText xml:space="preserve"> HYPERLINK \l "bookmark19" </w:instrText>
          </w:r>
          <w:r>
            <w:fldChar w:fldCharType="separate"/>
          </w:r>
          <w:r>
            <w:rPr>
              <w:rFonts w:ascii="Times New Roman" w:hAnsi="Times New Roman" w:eastAsia="Times New Roman" w:cs="Times New Roman"/>
              <w:sz w:val="20"/>
              <w:szCs w:val="20"/>
            </w:rPr>
            <w:t>5.2</w:t>
          </w:r>
          <w:r>
            <w:rPr>
              <w:rFonts w:ascii="Times New Roman" w:hAnsi="Times New Roman" w:eastAsia="Times New Roman" w:cs="Times New Roman"/>
              <w:spacing w:val="14"/>
              <w:sz w:val="20"/>
              <w:szCs w:val="20"/>
            </w:rPr>
            <w:t xml:space="preserve">    </w:t>
          </w:r>
          <w:r>
            <w:rPr>
              <w:rFonts w:ascii="黑体" w:hAnsi="黑体" w:eastAsia="黑体" w:cs="黑体"/>
              <w:sz w:val="20"/>
              <w:szCs w:val="20"/>
            </w:rPr>
            <w:t>河湖疏浚工程施工技术</w:t>
          </w:r>
          <w:r>
            <w:rPr>
              <w:rFonts w:ascii="黑体" w:hAnsi="黑体" w:eastAsia="黑体" w:cs="黑体"/>
              <w:spacing w:val="-78"/>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134</w:t>
          </w:r>
          <w:r>
            <w:rPr>
              <w:rFonts w:ascii="Times New Roman" w:hAnsi="Times New Roman" w:eastAsia="Times New Roman" w:cs="Times New Roman"/>
              <w:spacing w:val="-4"/>
              <w:sz w:val="20"/>
              <w:szCs w:val="20"/>
            </w:rPr>
            <w:fldChar w:fldCharType="end"/>
          </w:r>
        </w:p>
        <w:p w14:paraId="040C36B4">
          <w:pPr>
            <w:tabs>
              <w:tab w:val="right" w:leader="dot" w:pos="8765"/>
            </w:tabs>
            <w:spacing w:before="259" w:line="222" w:lineRule="auto"/>
            <w:ind w:left="982"/>
            <w:rPr>
              <w:rFonts w:ascii="Times New Roman" w:hAnsi="Times New Roman" w:eastAsia="Times New Roman" w:cs="Times New Roman"/>
              <w:sz w:val="20"/>
              <w:szCs w:val="20"/>
            </w:rPr>
          </w:pPr>
          <w:r>
            <w:fldChar w:fldCharType="begin"/>
          </w:r>
          <w:r>
            <w:instrText xml:space="preserve"> HYPERLINK \l "bookmark20" </w:instrText>
          </w:r>
          <w:r>
            <w:fldChar w:fldCharType="separate"/>
          </w:r>
          <w:r>
            <w:rPr>
              <w:rFonts w:ascii="黑体" w:hAnsi="黑体" w:eastAsia="黑体" w:cs="黑体"/>
              <w:b/>
              <w:bCs/>
              <w:color w:val="208090"/>
              <w:spacing w:val="-15"/>
              <w:sz w:val="20"/>
              <w:szCs w:val="20"/>
            </w:rPr>
            <w:t>第</w:t>
          </w:r>
          <w:r>
            <w:rPr>
              <w:rFonts w:ascii="黑体" w:hAnsi="黑体" w:eastAsia="黑体" w:cs="黑体"/>
              <w:color w:val="208090"/>
              <w:spacing w:val="39"/>
              <w:sz w:val="20"/>
              <w:szCs w:val="20"/>
            </w:rPr>
            <w:t xml:space="preserve"> </w:t>
          </w:r>
          <w:r>
            <w:rPr>
              <w:rFonts w:ascii="黑体" w:hAnsi="黑体" w:eastAsia="黑体" w:cs="黑体"/>
              <w:b/>
              <w:bCs/>
              <w:color w:val="208090"/>
              <w:spacing w:val="-15"/>
              <w:sz w:val="20"/>
              <w:szCs w:val="20"/>
            </w:rPr>
            <w:t>6</w:t>
          </w:r>
          <w:r>
            <w:rPr>
              <w:rFonts w:ascii="黑体" w:hAnsi="黑体" w:eastAsia="黑体" w:cs="黑体"/>
              <w:color w:val="208090"/>
              <w:spacing w:val="29"/>
              <w:sz w:val="20"/>
              <w:szCs w:val="20"/>
            </w:rPr>
            <w:t xml:space="preserve"> </w:t>
          </w:r>
          <w:r>
            <w:rPr>
              <w:rFonts w:ascii="黑体" w:hAnsi="黑体" w:eastAsia="黑体" w:cs="黑体"/>
              <w:b/>
              <w:bCs/>
              <w:color w:val="208090"/>
              <w:spacing w:val="-15"/>
              <w:sz w:val="20"/>
              <w:szCs w:val="20"/>
            </w:rPr>
            <w:t>章</w:t>
          </w:r>
          <w:r>
            <w:rPr>
              <w:rFonts w:ascii="黑体" w:hAnsi="黑体" w:eastAsia="黑体" w:cs="黑体"/>
              <w:color w:val="208090"/>
              <w:spacing w:val="58"/>
              <w:sz w:val="20"/>
              <w:szCs w:val="20"/>
            </w:rPr>
            <w:t xml:space="preserve"> </w:t>
          </w:r>
          <w:r>
            <w:rPr>
              <w:rFonts w:ascii="黑体" w:hAnsi="黑体" w:eastAsia="黑体" w:cs="黑体"/>
              <w:b/>
              <w:bCs/>
              <w:color w:val="208090"/>
              <w:spacing w:val="-15"/>
              <w:sz w:val="20"/>
              <w:szCs w:val="20"/>
            </w:rPr>
            <w:t>水</w:t>
          </w:r>
          <w:r>
            <w:rPr>
              <w:rFonts w:ascii="黑体" w:hAnsi="黑体" w:eastAsia="黑体" w:cs="黑体"/>
              <w:color w:val="208090"/>
              <w:spacing w:val="-27"/>
              <w:sz w:val="20"/>
              <w:szCs w:val="20"/>
            </w:rPr>
            <w:t xml:space="preserve"> </w:t>
          </w:r>
          <w:r>
            <w:rPr>
              <w:rFonts w:ascii="黑体" w:hAnsi="黑体" w:eastAsia="黑体" w:cs="黑体"/>
              <w:b/>
              <w:bCs/>
              <w:color w:val="208090"/>
              <w:spacing w:val="-15"/>
              <w:sz w:val="20"/>
              <w:szCs w:val="20"/>
            </w:rPr>
            <w:t>闸</w:t>
          </w:r>
          <w:r>
            <w:rPr>
              <w:rFonts w:ascii="黑体" w:hAnsi="黑体" w:eastAsia="黑体" w:cs="黑体"/>
              <w:color w:val="208090"/>
              <w:spacing w:val="-15"/>
              <w:sz w:val="20"/>
              <w:szCs w:val="20"/>
            </w:rPr>
            <w:t xml:space="preserve"> </w:t>
          </w:r>
          <w:r>
            <w:rPr>
              <w:rFonts w:ascii="黑体" w:hAnsi="黑体" w:eastAsia="黑体" w:cs="黑体"/>
              <w:b/>
              <w:bCs/>
              <w:color w:val="208090"/>
              <w:spacing w:val="-15"/>
              <w:sz w:val="20"/>
              <w:szCs w:val="20"/>
            </w:rPr>
            <w:t>、</w:t>
          </w:r>
          <w:r>
            <w:rPr>
              <w:rFonts w:ascii="黑体" w:hAnsi="黑体" w:eastAsia="黑体" w:cs="黑体"/>
              <w:color w:val="208090"/>
              <w:spacing w:val="-33"/>
              <w:sz w:val="20"/>
              <w:szCs w:val="20"/>
            </w:rPr>
            <w:t xml:space="preserve"> </w:t>
          </w:r>
          <w:r>
            <w:rPr>
              <w:rFonts w:ascii="黑体" w:hAnsi="黑体" w:eastAsia="黑体" w:cs="黑体"/>
              <w:b/>
              <w:bCs/>
              <w:color w:val="208090"/>
              <w:spacing w:val="-15"/>
              <w:sz w:val="20"/>
              <w:szCs w:val="20"/>
            </w:rPr>
            <w:t>泵</w:t>
          </w:r>
          <w:r>
            <w:rPr>
              <w:rFonts w:ascii="黑体" w:hAnsi="黑体" w:eastAsia="黑体" w:cs="黑体"/>
              <w:color w:val="208090"/>
              <w:spacing w:val="-34"/>
              <w:sz w:val="20"/>
              <w:szCs w:val="20"/>
            </w:rPr>
            <w:t xml:space="preserve"> </w:t>
          </w:r>
          <w:r>
            <w:rPr>
              <w:rFonts w:ascii="黑体" w:hAnsi="黑体" w:eastAsia="黑体" w:cs="黑体"/>
              <w:b/>
              <w:bCs/>
              <w:color w:val="208090"/>
              <w:spacing w:val="-15"/>
              <w:sz w:val="20"/>
              <w:szCs w:val="20"/>
            </w:rPr>
            <w:t>站</w:t>
          </w:r>
          <w:r>
            <w:rPr>
              <w:rFonts w:ascii="黑体" w:hAnsi="黑体" w:eastAsia="黑体" w:cs="黑体"/>
              <w:color w:val="208090"/>
              <w:spacing w:val="-29"/>
              <w:sz w:val="20"/>
              <w:szCs w:val="20"/>
            </w:rPr>
            <w:t xml:space="preserve"> </w:t>
          </w:r>
          <w:r>
            <w:rPr>
              <w:rFonts w:ascii="黑体" w:hAnsi="黑体" w:eastAsia="黑体" w:cs="黑体"/>
              <w:b/>
              <w:bCs/>
              <w:color w:val="208090"/>
              <w:spacing w:val="-15"/>
              <w:sz w:val="20"/>
              <w:szCs w:val="20"/>
            </w:rPr>
            <w:t>与</w:t>
          </w:r>
          <w:r>
            <w:rPr>
              <w:rFonts w:ascii="黑体" w:hAnsi="黑体" w:eastAsia="黑体" w:cs="黑体"/>
              <w:color w:val="208090"/>
              <w:spacing w:val="-37"/>
              <w:sz w:val="20"/>
              <w:szCs w:val="20"/>
            </w:rPr>
            <w:t xml:space="preserve"> </w:t>
          </w:r>
          <w:r>
            <w:rPr>
              <w:rFonts w:ascii="黑体" w:hAnsi="黑体" w:eastAsia="黑体" w:cs="黑体"/>
              <w:b/>
              <w:bCs/>
              <w:color w:val="208090"/>
              <w:spacing w:val="-15"/>
              <w:sz w:val="20"/>
              <w:szCs w:val="20"/>
            </w:rPr>
            <w:t>水</w:t>
          </w:r>
          <w:r>
            <w:rPr>
              <w:rFonts w:ascii="黑体" w:hAnsi="黑体" w:eastAsia="黑体" w:cs="黑体"/>
              <w:color w:val="208090"/>
              <w:spacing w:val="-24"/>
              <w:sz w:val="20"/>
              <w:szCs w:val="20"/>
            </w:rPr>
            <w:t xml:space="preserve"> </w:t>
          </w:r>
          <w:r>
            <w:rPr>
              <w:rFonts w:ascii="黑体" w:hAnsi="黑体" w:eastAsia="黑体" w:cs="黑体"/>
              <w:b/>
              <w:bCs/>
              <w:color w:val="208090"/>
              <w:spacing w:val="-15"/>
              <w:sz w:val="20"/>
              <w:szCs w:val="20"/>
            </w:rPr>
            <w:t>电</w:t>
          </w:r>
          <w:r>
            <w:rPr>
              <w:rFonts w:ascii="黑体" w:hAnsi="黑体" w:eastAsia="黑体" w:cs="黑体"/>
              <w:color w:val="208090"/>
              <w:spacing w:val="-34"/>
              <w:sz w:val="20"/>
              <w:szCs w:val="20"/>
            </w:rPr>
            <w:t xml:space="preserve"> </w:t>
          </w:r>
          <w:r>
            <w:rPr>
              <w:rFonts w:ascii="黑体" w:hAnsi="黑体" w:eastAsia="黑体" w:cs="黑体"/>
              <w:b/>
              <w:bCs/>
              <w:color w:val="208090"/>
              <w:spacing w:val="-15"/>
              <w:sz w:val="20"/>
              <w:szCs w:val="20"/>
            </w:rPr>
            <w:t>站</w:t>
          </w:r>
          <w:r>
            <w:rPr>
              <w:rFonts w:ascii="黑体" w:hAnsi="黑体" w:eastAsia="黑体" w:cs="黑体"/>
              <w:color w:val="208090"/>
              <w:spacing w:val="-36"/>
              <w:sz w:val="20"/>
              <w:szCs w:val="20"/>
            </w:rPr>
            <w:t xml:space="preserve"> </w:t>
          </w:r>
          <w:r>
            <w:rPr>
              <w:rFonts w:ascii="黑体" w:hAnsi="黑体" w:eastAsia="黑体" w:cs="黑体"/>
              <w:b/>
              <w:bCs/>
              <w:color w:val="208090"/>
              <w:spacing w:val="-15"/>
              <w:sz w:val="20"/>
              <w:szCs w:val="20"/>
            </w:rPr>
            <w:t>工</w:t>
          </w:r>
          <w:r>
            <w:rPr>
              <w:rFonts w:ascii="黑体" w:hAnsi="黑体" w:eastAsia="黑体" w:cs="黑体"/>
              <w:color w:val="208090"/>
              <w:spacing w:val="-37"/>
              <w:sz w:val="20"/>
              <w:szCs w:val="20"/>
            </w:rPr>
            <w:t xml:space="preserve"> </w:t>
          </w:r>
          <w:r>
            <w:rPr>
              <w:rFonts w:ascii="黑体" w:hAnsi="黑体" w:eastAsia="黑体" w:cs="黑体"/>
              <w:b/>
              <w:bCs/>
              <w:color w:val="208090"/>
              <w:spacing w:val="-15"/>
              <w:sz w:val="20"/>
              <w:szCs w:val="20"/>
            </w:rPr>
            <w:t>程</w:t>
          </w:r>
          <w:r>
            <w:rPr>
              <w:rFonts w:ascii="黑体" w:hAnsi="黑体" w:eastAsia="黑体" w:cs="黑体"/>
              <w:color w:val="208090"/>
              <w:spacing w:val="-74"/>
              <w:sz w:val="20"/>
              <w:szCs w:val="20"/>
            </w:rPr>
            <w:t xml:space="preserve"> </w:t>
          </w:r>
          <w:r>
            <w:rPr>
              <w:rFonts w:ascii="黑体" w:hAnsi="黑体" w:eastAsia="黑体" w:cs="黑体"/>
              <w:color w:val="208090"/>
              <w:sz w:val="20"/>
              <w:szCs w:val="20"/>
            </w:rPr>
            <w:tab/>
          </w:r>
          <w:r>
            <w:rPr>
              <w:rFonts w:ascii="黑体" w:hAnsi="黑体" w:eastAsia="黑体" w:cs="黑体"/>
              <w:color w:val="208090"/>
              <w:spacing w:val="-36"/>
              <w:sz w:val="20"/>
              <w:szCs w:val="20"/>
            </w:rPr>
            <w:t xml:space="preserve"> </w:t>
          </w:r>
          <w:r>
            <w:rPr>
              <w:rFonts w:ascii="Times New Roman" w:hAnsi="Times New Roman" w:eastAsia="Times New Roman" w:cs="Times New Roman"/>
              <w:color w:val="208090"/>
              <w:spacing w:val="-6"/>
              <w:sz w:val="20"/>
              <w:szCs w:val="20"/>
            </w:rPr>
            <w:t>138</w:t>
          </w:r>
          <w:r>
            <w:rPr>
              <w:rFonts w:ascii="Times New Roman" w:hAnsi="Times New Roman" w:eastAsia="Times New Roman" w:cs="Times New Roman"/>
              <w:color w:val="208090"/>
              <w:spacing w:val="-6"/>
              <w:sz w:val="20"/>
              <w:szCs w:val="20"/>
            </w:rPr>
            <w:fldChar w:fldCharType="end"/>
          </w:r>
        </w:p>
        <w:p w14:paraId="536CE1BE">
          <w:pPr>
            <w:tabs>
              <w:tab w:val="right" w:leader="dot" w:pos="8765"/>
            </w:tabs>
            <w:spacing w:before="213" w:line="222" w:lineRule="auto"/>
            <w:ind w:left="1210"/>
            <w:rPr>
              <w:rFonts w:ascii="Times New Roman" w:hAnsi="Times New Roman" w:eastAsia="Times New Roman" w:cs="Times New Roman"/>
              <w:sz w:val="20"/>
              <w:szCs w:val="20"/>
            </w:rPr>
          </w:pPr>
          <w:r>
            <w:fldChar w:fldCharType="begin"/>
          </w:r>
          <w:r>
            <w:instrText xml:space="preserve"> HYPERLINK \l "bookmark21" </w:instrText>
          </w:r>
          <w:r>
            <w:fldChar w:fldCharType="separate"/>
          </w:r>
          <w:r>
            <w:rPr>
              <w:rFonts w:ascii="Times New Roman" w:hAnsi="Times New Roman" w:eastAsia="Times New Roman" w:cs="Times New Roman"/>
              <w:spacing w:val="2"/>
              <w:sz w:val="20"/>
              <w:szCs w:val="20"/>
            </w:rPr>
            <w:t>6.1</w:t>
          </w:r>
          <w:r>
            <w:rPr>
              <w:rFonts w:ascii="Times New Roman" w:hAnsi="Times New Roman" w:eastAsia="Times New Roman" w:cs="Times New Roman"/>
              <w:spacing w:val="9"/>
              <w:sz w:val="20"/>
              <w:szCs w:val="20"/>
            </w:rPr>
            <w:t xml:space="preserve">    </w:t>
          </w:r>
          <w:r>
            <w:rPr>
              <w:rFonts w:ascii="黑体" w:hAnsi="黑体" w:eastAsia="黑体" w:cs="黑体"/>
              <w:spacing w:val="2"/>
              <w:sz w:val="20"/>
              <w:szCs w:val="20"/>
            </w:rPr>
            <w:t>水闸施工技术</w:t>
          </w:r>
          <w:r>
            <w:rPr>
              <w:rFonts w:ascii="黑体" w:hAnsi="黑体" w:eastAsia="黑体" w:cs="黑体"/>
              <w:spacing w:val="-86"/>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138</w:t>
          </w:r>
          <w:r>
            <w:rPr>
              <w:rFonts w:ascii="Times New Roman" w:hAnsi="Times New Roman" w:eastAsia="Times New Roman" w:cs="Times New Roman"/>
              <w:spacing w:val="-4"/>
              <w:sz w:val="20"/>
              <w:szCs w:val="20"/>
            </w:rPr>
            <w:fldChar w:fldCharType="end"/>
          </w:r>
        </w:p>
        <w:p w14:paraId="73D80F8A">
          <w:pPr>
            <w:tabs>
              <w:tab w:val="right" w:leader="dot" w:pos="8765"/>
            </w:tabs>
            <w:spacing w:before="79" w:line="222" w:lineRule="auto"/>
            <w:ind w:left="1210"/>
            <w:rPr>
              <w:rFonts w:ascii="Times New Roman" w:hAnsi="Times New Roman" w:eastAsia="Times New Roman" w:cs="Times New Roman"/>
              <w:sz w:val="20"/>
              <w:szCs w:val="20"/>
            </w:rPr>
          </w:pPr>
          <w:r>
            <w:fldChar w:fldCharType="begin"/>
          </w:r>
          <w:r>
            <w:instrText xml:space="preserve"> HYPERLINK \l "bookmark22" </w:instrText>
          </w:r>
          <w:r>
            <w:fldChar w:fldCharType="separate"/>
          </w:r>
          <w:r>
            <w:rPr>
              <w:rFonts w:ascii="Times New Roman" w:hAnsi="Times New Roman" w:eastAsia="Times New Roman" w:cs="Times New Roman"/>
              <w:spacing w:val="1"/>
              <w:sz w:val="20"/>
              <w:szCs w:val="20"/>
            </w:rPr>
            <w:t xml:space="preserve">6.2     </w:t>
          </w:r>
          <w:r>
            <w:rPr>
              <w:rFonts w:ascii="黑体" w:hAnsi="黑体" w:eastAsia="黑体" w:cs="黑体"/>
              <w:spacing w:val="1"/>
              <w:sz w:val="20"/>
              <w:szCs w:val="20"/>
            </w:rPr>
            <w:t>泵站与水电站的布置及机组安装</w:t>
          </w:r>
          <w:r>
            <w:rPr>
              <w:rFonts w:ascii="黑体" w:hAnsi="黑体" w:eastAsia="黑体" w:cs="黑体"/>
              <w:spacing w:val="-84"/>
              <w:sz w:val="20"/>
              <w:szCs w:val="20"/>
            </w:rPr>
            <w:t xml:space="preserve"> </w:t>
          </w:r>
          <w:r>
            <w:rPr>
              <w:rFonts w:ascii="黑体" w:hAnsi="黑体" w:eastAsia="黑体" w:cs="黑体"/>
              <w:sz w:val="20"/>
              <w:szCs w:val="20"/>
            </w:rPr>
            <w:tab/>
          </w:r>
          <w:r>
            <w:rPr>
              <w:rFonts w:ascii="Times New Roman" w:hAnsi="Times New Roman" w:eastAsia="Times New Roman" w:cs="Times New Roman"/>
              <w:spacing w:val="-4"/>
              <w:sz w:val="20"/>
              <w:szCs w:val="20"/>
            </w:rPr>
            <w:t>152</w:t>
          </w:r>
          <w:r>
            <w:rPr>
              <w:rFonts w:ascii="Times New Roman" w:hAnsi="Times New Roman" w:eastAsia="Times New Roman" w:cs="Times New Roman"/>
              <w:spacing w:val="-4"/>
              <w:sz w:val="20"/>
              <w:szCs w:val="20"/>
            </w:rPr>
            <w:fldChar w:fldCharType="end"/>
          </w:r>
        </w:p>
      </w:sdtContent>
    </w:sdt>
    <w:p w14:paraId="3B7DF901">
      <w:pPr>
        <w:pStyle w:val="2"/>
        <w:spacing w:line="274" w:lineRule="auto"/>
      </w:pPr>
    </w:p>
    <w:p w14:paraId="6F771DA0">
      <w:pPr>
        <w:pStyle w:val="2"/>
        <w:spacing w:line="275" w:lineRule="auto"/>
      </w:pPr>
    </w:p>
    <w:p w14:paraId="51FFC7E2">
      <w:pPr>
        <w:pStyle w:val="2"/>
        <w:spacing w:line="275" w:lineRule="auto"/>
      </w:pPr>
    </w:p>
    <w:p w14:paraId="3EDFEBB9">
      <w:pPr>
        <w:pStyle w:val="2"/>
        <w:spacing w:line="275" w:lineRule="auto"/>
      </w:pPr>
    </w:p>
    <w:p w14:paraId="15482D6F">
      <w:pPr>
        <w:pStyle w:val="2"/>
        <w:spacing w:line="275" w:lineRule="auto"/>
      </w:pPr>
    </w:p>
    <w:p w14:paraId="7A20FB20">
      <w:pPr>
        <w:spacing w:line="189" w:lineRule="auto"/>
        <w:rPr>
          <w:rFonts w:ascii="宋体" w:hAnsi="宋体" w:eastAsia="宋体" w:cs="宋体"/>
          <w:sz w:val="20"/>
          <w:szCs w:val="20"/>
        </w:rPr>
        <w:sectPr>
          <w:headerReference r:id="rId5" w:type="default"/>
          <w:pgSz w:w="10320" w:h="14590"/>
          <w:pgMar w:top="65" w:right="16" w:bottom="10" w:left="0" w:header="0" w:footer="0" w:gutter="0"/>
          <w:cols w:space="720" w:num="1"/>
        </w:sectPr>
      </w:pPr>
    </w:p>
    <w:p w14:paraId="24140D8F">
      <w:pPr>
        <w:pStyle w:val="2"/>
        <w:spacing w:line="268" w:lineRule="auto"/>
      </w:pPr>
    </w:p>
    <w:p w14:paraId="662FE485">
      <w:pPr>
        <w:pStyle w:val="2"/>
        <w:spacing w:line="268" w:lineRule="auto"/>
      </w:pPr>
    </w:p>
    <w:p w14:paraId="7934D504">
      <w:pPr>
        <w:pStyle w:val="2"/>
        <w:spacing w:line="269" w:lineRule="auto"/>
      </w:pPr>
    </w:p>
    <w:p w14:paraId="11AF4FF9">
      <w:pPr>
        <w:pStyle w:val="2"/>
        <w:spacing w:line="269" w:lineRule="auto"/>
      </w:pPr>
    </w:p>
    <w:p w14:paraId="395EBE4C">
      <w:pPr>
        <w:pStyle w:val="2"/>
        <w:spacing w:line="269" w:lineRule="auto"/>
      </w:pPr>
    </w:p>
    <w:p w14:paraId="7A346427">
      <w:pPr>
        <w:pStyle w:val="2"/>
        <w:spacing w:line="269" w:lineRule="auto"/>
      </w:pPr>
    </w:p>
    <w:sdt>
      <w:sdtPr>
        <w:rPr>
          <w:rFonts w:ascii="黑体" w:hAnsi="黑体" w:eastAsia="黑体" w:cs="黑体"/>
          <w:sz w:val="20"/>
          <w:szCs w:val="20"/>
        </w:rPr>
        <w:id w:val="147470230"/>
        <w:docPartObj>
          <w:docPartGallery w:val="Table of Contents"/>
          <w:docPartUnique/>
        </w:docPartObj>
      </w:sdtPr>
      <w:sdtEndPr>
        <w:rPr>
          <w:rFonts w:ascii="Times New Roman" w:hAnsi="Times New Roman" w:eastAsia="Times New Roman" w:cs="Times New Roman"/>
          <w:sz w:val="20"/>
          <w:szCs w:val="20"/>
        </w:rPr>
      </w:sdtEndPr>
      <w:sdtContent>
        <w:p w14:paraId="1CAC02F2">
          <w:pPr>
            <w:tabs>
              <w:tab w:val="right" w:leader="dot" w:pos="9385"/>
            </w:tabs>
            <w:spacing w:before="65" w:line="222" w:lineRule="auto"/>
            <w:ind w:left="1542"/>
            <w:rPr>
              <w:rFonts w:ascii="Times New Roman" w:hAnsi="Times New Roman" w:eastAsia="Times New Roman" w:cs="Times New Roman"/>
              <w:sz w:val="20"/>
              <w:szCs w:val="20"/>
            </w:rPr>
          </w:pPr>
          <w:r>
            <w:fldChar w:fldCharType="begin"/>
          </w:r>
          <w:r>
            <w:instrText xml:space="preserve"> HYPERLINK \l "bookmark23" </w:instrText>
          </w:r>
          <w:r>
            <w:fldChar w:fldCharType="separate"/>
          </w:r>
          <w:r>
            <w:rPr>
              <w:rFonts w:ascii="黑体" w:hAnsi="黑体" w:eastAsia="黑体" w:cs="黑体"/>
              <w:b/>
              <w:bCs/>
              <w:color w:val="307090"/>
              <w:spacing w:val="-11"/>
              <w:sz w:val="20"/>
              <w:szCs w:val="20"/>
            </w:rPr>
            <w:t>第</w:t>
          </w:r>
          <w:r>
            <w:rPr>
              <w:rFonts w:ascii="黑体" w:hAnsi="黑体" w:eastAsia="黑体" w:cs="黑体"/>
              <w:color w:val="307090"/>
              <w:spacing w:val="28"/>
              <w:sz w:val="20"/>
              <w:szCs w:val="20"/>
            </w:rPr>
            <w:t xml:space="preserve"> </w:t>
          </w:r>
          <w:r>
            <w:rPr>
              <w:rFonts w:ascii="黑体" w:hAnsi="黑体" w:eastAsia="黑体" w:cs="黑体"/>
              <w:b/>
              <w:bCs/>
              <w:color w:val="307090"/>
              <w:spacing w:val="-11"/>
              <w:sz w:val="20"/>
              <w:szCs w:val="20"/>
            </w:rPr>
            <w:t>7</w:t>
          </w:r>
          <w:r>
            <w:rPr>
              <w:rFonts w:ascii="黑体" w:hAnsi="黑体" w:eastAsia="黑体" w:cs="黑体"/>
              <w:color w:val="307090"/>
              <w:spacing w:val="23"/>
              <w:sz w:val="20"/>
              <w:szCs w:val="20"/>
            </w:rPr>
            <w:t xml:space="preserve"> </w:t>
          </w:r>
          <w:r>
            <w:rPr>
              <w:rFonts w:ascii="黑体" w:hAnsi="黑体" w:eastAsia="黑体" w:cs="黑体"/>
              <w:b/>
              <w:bCs/>
              <w:color w:val="307090"/>
              <w:spacing w:val="-11"/>
              <w:sz w:val="20"/>
              <w:szCs w:val="20"/>
            </w:rPr>
            <w:t>章</w:t>
          </w:r>
          <w:r>
            <w:rPr>
              <w:rFonts w:ascii="黑体" w:hAnsi="黑体" w:eastAsia="黑体" w:cs="黑体"/>
              <w:color w:val="307090"/>
              <w:spacing w:val="87"/>
              <w:sz w:val="20"/>
              <w:szCs w:val="20"/>
            </w:rPr>
            <w:t xml:space="preserve"> </w:t>
          </w:r>
          <w:r>
            <w:rPr>
              <w:rFonts w:ascii="黑体" w:hAnsi="黑体" w:eastAsia="黑体" w:cs="黑体"/>
              <w:b/>
              <w:bCs/>
              <w:color w:val="307090"/>
              <w:spacing w:val="-11"/>
              <w:sz w:val="20"/>
              <w:szCs w:val="20"/>
            </w:rPr>
            <w:t>相</w:t>
          </w:r>
          <w:r>
            <w:rPr>
              <w:rFonts w:ascii="黑体" w:hAnsi="黑体" w:eastAsia="黑体" w:cs="黑体"/>
              <w:color w:val="307090"/>
              <w:spacing w:val="-11"/>
              <w:sz w:val="20"/>
              <w:szCs w:val="20"/>
            </w:rPr>
            <w:t xml:space="preserve"> </w:t>
          </w:r>
          <w:r>
            <w:rPr>
              <w:rFonts w:ascii="黑体" w:hAnsi="黑体" w:eastAsia="黑体" w:cs="黑体"/>
              <w:b/>
              <w:bCs/>
              <w:color w:val="307090"/>
              <w:spacing w:val="-11"/>
              <w:sz w:val="20"/>
              <w:szCs w:val="20"/>
            </w:rPr>
            <w:t>关</w:t>
          </w:r>
          <w:r>
            <w:rPr>
              <w:rFonts w:ascii="黑体" w:hAnsi="黑体" w:eastAsia="黑体" w:cs="黑体"/>
              <w:color w:val="307090"/>
              <w:spacing w:val="37"/>
              <w:sz w:val="20"/>
              <w:szCs w:val="20"/>
            </w:rPr>
            <w:t xml:space="preserve">  </w:t>
          </w:r>
          <w:r>
            <w:rPr>
              <w:rFonts w:ascii="黑体" w:hAnsi="黑体" w:eastAsia="黑体" w:cs="黑体"/>
              <w:b/>
              <w:bCs/>
              <w:color w:val="307090"/>
              <w:spacing w:val="-11"/>
              <w:sz w:val="20"/>
              <w:szCs w:val="20"/>
            </w:rPr>
            <w:t>法</w:t>
          </w:r>
          <w:r>
            <w:rPr>
              <w:rFonts w:ascii="黑体" w:hAnsi="黑体" w:eastAsia="黑体" w:cs="黑体"/>
              <w:color w:val="307090"/>
              <w:spacing w:val="35"/>
              <w:sz w:val="20"/>
              <w:szCs w:val="20"/>
            </w:rPr>
            <w:t xml:space="preserve">  </w:t>
          </w:r>
          <w:r>
            <w:rPr>
              <w:rFonts w:ascii="黑体" w:hAnsi="黑体" w:eastAsia="黑体" w:cs="黑体"/>
              <w:b/>
              <w:bCs/>
              <w:color w:val="307090"/>
              <w:spacing w:val="-11"/>
              <w:sz w:val="20"/>
              <w:szCs w:val="20"/>
            </w:rPr>
            <w:t>规</w:t>
          </w:r>
          <w:r>
            <w:rPr>
              <w:rFonts w:ascii="黑体" w:hAnsi="黑体" w:eastAsia="黑体" w:cs="黑体"/>
              <w:color w:val="307090"/>
              <w:spacing w:val="-73"/>
              <w:sz w:val="20"/>
              <w:szCs w:val="20"/>
            </w:rPr>
            <w:t xml:space="preserve"> </w:t>
          </w:r>
          <w:r>
            <w:rPr>
              <w:rFonts w:ascii="黑体" w:hAnsi="黑体" w:eastAsia="黑体" w:cs="黑体"/>
              <w:color w:val="307090"/>
              <w:sz w:val="20"/>
              <w:szCs w:val="20"/>
            </w:rPr>
            <w:tab/>
          </w:r>
          <w:r>
            <w:rPr>
              <w:rFonts w:ascii="黑体" w:hAnsi="黑体" w:eastAsia="黑体" w:cs="黑体"/>
              <w:color w:val="307090"/>
              <w:spacing w:val="-46"/>
              <w:sz w:val="20"/>
              <w:szCs w:val="20"/>
            </w:rPr>
            <w:t xml:space="preserve"> </w:t>
          </w:r>
          <w:r>
            <w:rPr>
              <w:rFonts w:ascii="Times New Roman" w:hAnsi="Times New Roman" w:eastAsia="Times New Roman" w:cs="Times New Roman"/>
              <w:color w:val="307090"/>
              <w:spacing w:val="-6"/>
              <w:sz w:val="20"/>
              <w:szCs w:val="20"/>
            </w:rPr>
            <w:t>165</w:t>
          </w:r>
          <w:r>
            <w:rPr>
              <w:rFonts w:ascii="Times New Roman" w:hAnsi="Times New Roman" w:eastAsia="Times New Roman" w:cs="Times New Roman"/>
              <w:color w:val="307090"/>
              <w:spacing w:val="-6"/>
              <w:sz w:val="20"/>
              <w:szCs w:val="20"/>
            </w:rPr>
            <w:fldChar w:fldCharType="end"/>
          </w:r>
        </w:p>
        <w:p w14:paraId="08036B2D">
          <w:pPr>
            <w:tabs>
              <w:tab w:val="right" w:leader="dot" w:pos="9375"/>
            </w:tabs>
            <w:spacing w:before="182" w:line="222" w:lineRule="auto"/>
            <w:ind w:left="1769"/>
            <w:rPr>
              <w:rFonts w:ascii="Times New Roman" w:hAnsi="Times New Roman" w:eastAsia="Times New Roman" w:cs="Times New Roman"/>
              <w:sz w:val="20"/>
              <w:szCs w:val="20"/>
            </w:rPr>
          </w:pPr>
          <w:r>
            <w:fldChar w:fldCharType="begin"/>
          </w:r>
          <w:r>
            <w:instrText xml:space="preserve"> HYPERLINK \l "bookmark24" </w:instrText>
          </w:r>
          <w:r>
            <w:fldChar w:fldCharType="separate"/>
          </w:r>
          <w:r>
            <w:rPr>
              <w:rFonts w:ascii="Times New Roman" w:hAnsi="Times New Roman" w:eastAsia="Times New Roman" w:cs="Times New Roman"/>
              <w:spacing w:val="-1"/>
              <w:sz w:val="20"/>
              <w:szCs w:val="20"/>
            </w:rPr>
            <w:t>7.1</w:t>
          </w:r>
          <w:r>
            <w:rPr>
              <w:rFonts w:ascii="Times New Roman" w:hAnsi="Times New Roman" w:eastAsia="Times New Roman" w:cs="Times New Roman"/>
              <w:spacing w:val="9"/>
              <w:sz w:val="20"/>
              <w:szCs w:val="20"/>
            </w:rPr>
            <w:t xml:space="preserve">    </w:t>
          </w:r>
          <w:r>
            <w:rPr>
              <w:rFonts w:ascii="黑体" w:hAnsi="黑体" w:eastAsia="黑体" w:cs="黑体"/>
              <w:spacing w:val="-1"/>
              <w:sz w:val="20"/>
              <w:szCs w:val="20"/>
            </w:rPr>
            <w:t>水法与工程建设有关的规定</w:t>
          </w:r>
          <w:r>
            <w:rPr>
              <w:rFonts w:ascii="黑体" w:hAnsi="黑体" w:eastAsia="黑体" w:cs="黑体"/>
              <w:spacing w:val="-72"/>
              <w:sz w:val="20"/>
              <w:szCs w:val="20"/>
            </w:rPr>
            <w:t xml:space="preserve"> </w:t>
          </w:r>
          <w:r>
            <w:rPr>
              <w:rFonts w:ascii="黑体" w:hAnsi="黑体" w:eastAsia="黑体" w:cs="黑体"/>
              <w:sz w:val="20"/>
              <w:szCs w:val="20"/>
            </w:rPr>
            <w:tab/>
          </w:r>
          <w:r>
            <w:rPr>
              <w:rFonts w:ascii="黑体" w:hAnsi="黑体" w:eastAsia="黑体" w:cs="黑体"/>
              <w:spacing w:val="-46"/>
              <w:sz w:val="20"/>
              <w:szCs w:val="20"/>
            </w:rPr>
            <w:t xml:space="preserve"> </w:t>
          </w:r>
          <w:r>
            <w:rPr>
              <w:rFonts w:ascii="Times New Roman" w:hAnsi="Times New Roman" w:eastAsia="Times New Roman" w:cs="Times New Roman"/>
              <w:spacing w:val="-6"/>
              <w:sz w:val="20"/>
              <w:szCs w:val="20"/>
            </w:rPr>
            <w:t>165</w:t>
          </w:r>
          <w:r>
            <w:rPr>
              <w:rFonts w:ascii="Times New Roman" w:hAnsi="Times New Roman" w:eastAsia="Times New Roman" w:cs="Times New Roman"/>
              <w:spacing w:val="-6"/>
              <w:sz w:val="20"/>
              <w:szCs w:val="20"/>
            </w:rPr>
            <w:fldChar w:fldCharType="end"/>
          </w:r>
        </w:p>
        <w:p w14:paraId="7037EDFF">
          <w:pPr>
            <w:tabs>
              <w:tab w:val="right" w:leader="dot" w:pos="9375"/>
            </w:tabs>
            <w:spacing w:before="78" w:line="221" w:lineRule="auto"/>
            <w:ind w:left="1769"/>
            <w:rPr>
              <w:rFonts w:ascii="Times New Roman" w:hAnsi="Times New Roman" w:eastAsia="Times New Roman" w:cs="Times New Roman"/>
              <w:sz w:val="20"/>
              <w:szCs w:val="20"/>
            </w:rPr>
          </w:pPr>
          <w:r>
            <w:fldChar w:fldCharType="begin"/>
          </w:r>
          <w:r>
            <w:instrText xml:space="preserve"> HYPERLINK \l "bookmark25" </w:instrText>
          </w:r>
          <w:r>
            <w:fldChar w:fldCharType="separate"/>
          </w:r>
          <w:r>
            <w:rPr>
              <w:rFonts w:ascii="Times New Roman" w:hAnsi="Times New Roman" w:eastAsia="Times New Roman" w:cs="Times New Roman"/>
              <w:spacing w:val="-2"/>
              <w:sz w:val="20"/>
              <w:szCs w:val="20"/>
            </w:rPr>
            <w:t xml:space="preserve">7.2     </w:t>
          </w:r>
          <w:r>
            <w:rPr>
              <w:rFonts w:ascii="黑体" w:hAnsi="黑体" w:eastAsia="黑体" w:cs="黑体"/>
              <w:spacing w:val="-2"/>
              <w:sz w:val="20"/>
              <w:szCs w:val="20"/>
            </w:rPr>
            <w:t>防洪的有关法律规定</w:t>
          </w:r>
          <w:r>
            <w:rPr>
              <w:rFonts w:ascii="黑体" w:hAnsi="黑体" w:eastAsia="黑体" w:cs="黑体"/>
              <w:spacing w:val="-47"/>
              <w:sz w:val="20"/>
              <w:szCs w:val="20"/>
            </w:rPr>
            <w:t xml:space="preserve"> </w:t>
          </w:r>
          <w:r>
            <w:rPr>
              <w:rFonts w:ascii="黑体" w:hAnsi="黑体" w:eastAsia="黑体" w:cs="黑体"/>
              <w:sz w:val="20"/>
              <w:szCs w:val="20"/>
            </w:rPr>
            <w:tab/>
          </w:r>
          <w:r>
            <w:rPr>
              <w:rFonts w:ascii="黑体" w:hAnsi="黑体" w:eastAsia="黑体" w:cs="黑体"/>
              <w:spacing w:val="-66"/>
              <w:sz w:val="20"/>
              <w:szCs w:val="20"/>
            </w:rPr>
            <w:t xml:space="preserve"> </w:t>
          </w:r>
          <w:r>
            <w:rPr>
              <w:rFonts w:ascii="Times New Roman" w:hAnsi="Times New Roman" w:eastAsia="Times New Roman" w:cs="Times New Roman"/>
              <w:spacing w:val="-6"/>
              <w:sz w:val="20"/>
              <w:szCs w:val="20"/>
            </w:rPr>
            <w:t>174</w:t>
          </w:r>
          <w:r>
            <w:rPr>
              <w:rFonts w:ascii="Times New Roman" w:hAnsi="Times New Roman" w:eastAsia="Times New Roman" w:cs="Times New Roman"/>
              <w:spacing w:val="-6"/>
              <w:sz w:val="20"/>
              <w:szCs w:val="20"/>
            </w:rPr>
            <w:fldChar w:fldCharType="end"/>
          </w:r>
        </w:p>
        <w:p w14:paraId="1CA98C22">
          <w:pPr>
            <w:tabs>
              <w:tab w:val="right" w:leader="dot" w:pos="9395"/>
            </w:tabs>
            <w:spacing w:before="81" w:line="222" w:lineRule="auto"/>
            <w:ind w:left="1769"/>
            <w:rPr>
              <w:rFonts w:ascii="Times New Roman" w:hAnsi="Times New Roman" w:eastAsia="Times New Roman" w:cs="Times New Roman"/>
              <w:sz w:val="20"/>
              <w:szCs w:val="20"/>
            </w:rPr>
          </w:pPr>
          <w:r>
            <w:fldChar w:fldCharType="begin"/>
          </w:r>
          <w:r>
            <w:instrText xml:space="preserve"> HYPERLINK \l "bookmark26" </w:instrText>
          </w:r>
          <w:r>
            <w:fldChar w:fldCharType="separate"/>
          </w:r>
          <w:r>
            <w:rPr>
              <w:rFonts w:ascii="Times New Roman" w:hAnsi="Times New Roman" w:eastAsia="Times New Roman" w:cs="Times New Roman"/>
              <w:spacing w:val="1"/>
              <w:sz w:val="20"/>
              <w:szCs w:val="20"/>
            </w:rPr>
            <w:t>7.3</w:t>
          </w:r>
          <w:r>
            <w:rPr>
              <w:rFonts w:ascii="Times New Roman" w:hAnsi="Times New Roman" w:eastAsia="Times New Roman" w:cs="Times New Roman"/>
              <w:spacing w:val="13"/>
              <w:w w:val="101"/>
              <w:sz w:val="20"/>
              <w:szCs w:val="20"/>
            </w:rPr>
            <w:t xml:space="preserve">    </w:t>
          </w:r>
          <w:r>
            <w:rPr>
              <w:rFonts w:ascii="黑体" w:hAnsi="黑体" w:eastAsia="黑体" w:cs="黑体"/>
              <w:spacing w:val="1"/>
              <w:sz w:val="20"/>
              <w:szCs w:val="20"/>
            </w:rPr>
            <w:t>水土保持的有关法律规定</w:t>
          </w:r>
          <w:r>
            <w:rPr>
              <w:rFonts w:ascii="黑体" w:hAnsi="黑体" w:eastAsia="黑体" w:cs="黑体"/>
              <w:spacing w:val="-79"/>
              <w:sz w:val="20"/>
              <w:szCs w:val="20"/>
            </w:rPr>
            <w:t xml:space="preserve"> </w:t>
          </w:r>
          <w:r>
            <w:rPr>
              <w:rFonts w:ascii="黑体" w:hAnsi="黑体" w:eastAsia="黑体" w:cs="黑体"/>
              <w:sz w:val="20"/>
              <w:szCs w:val="20"/>
            </w:rPr>
            <w:tab/>
          </w:r>
          <w:r>
            <w:rPr>
              <w:rFonts w:ascii="黑体" w:hAnsi="黑体" w:eastAsia="黑体" w:cs="黑体"/>
              <w:spacing w:val="-66"/>
              <w:sz w:val="20"/>
              <w:szCs w:val="20"/>
            </w:rPr>
            <w:t xml:space="preserve"> </w:t>
          </w:r>
          <w:r>
            <w:rPr>
              <w:rFonts w:ascii="Times New Roman" w:hAnsi="Times New Roman" w:eastAsia="Times New Roman" w:cs="Times New Roman"/>
              <w:spacing w:val="-6"/>
              <w:sz w:val="20"/>
              <w:szCs w:val="20"/>
            </w:rPr>
            <w:t>191</w:t>
          </w:r>
          <w:r>
            <w:rPr>
              <w:rFonts w:ascii="Times New Roman" w:hAnsi="Times New Roman" w:eastAsia="Times New Roman" w:cs="Times New Roman"/>
              <w:spacing w:val="-6"/>
              <w:sz w:val="20"/>
              <w:szCs w:val="20"/>
            </w:rPr>
            <w:fldChar w:fldCharType="end"/>
          </w:r>
        </w:p>
        <w:p w14:paraId="7869E515">
          <w:pPr>
            <w:tabs>
              <w:tab w:val="right" w:leader="dot" w:pos="9415"/>
            </w:tabs>
            <w:spacing w:before="79" w:line="221" w:lineRule="auto"/>
            <w:ind w:left="1769"/>
            <w:rPr>
              <w:rFonts w:ascii="Times New Roman" w:hAnsi="Times New Roman" w:eastAsia="Times New Roman" w:cs="Times New Roman"/>
              <w:sz w:val="20"/>
              <w:szCs w:val="20"/>
            </w:rPr>
          </w:pPr>
          <w:r>
            <w:fldChar w:fldCharType="begin"/>
          </w:r>
          <w:r>
            <w:instrText xml:space="preserve"> HYPERLINK \l "bookmark27" </w:instrText>
          </w:r>
          <w:r>
            <w:fldChar w:fldCharType="separate"/>
          </w:r>
          <w:r>
            <w:rPr>
              <w:rFonts w:ascii="Times New Roman" w:hAnsi="Times New Roman" w:eastAsia="Times New Roman" w:cs="Times New Roman"/>
              <w:spacing w:val="-9"/>
              <w:sz w:val="20"/>
              <w:szCs w:val="20"/>
            </w:rPr>
            <w:t xml:space="preserve">7.4     </w:t>
          </w:r>
          <w:r>
            <w:rPr>
              <w:rFonts w:ascii="黑体" w:hAnsi="黑体" w:eastAsia="黑体" w:cs="黑体"/>
              <w:spacing w:val="-9"/>
              <w:sz w:val="20"/>
              <w:szCs w:val="20"/>
            </w:rPr>
            <w:t>大中型水利水电工程建设</w:t>
          </w:r>
          <w:r>
            <w:rPr>
              <w:rFonts w:ascii="黑体" w:hAnsi="黑体" w:eastAsia="黑体" w:cs="黑体"/>
              <w:spacing w:val="-10"/>
              <w:sz w:val="20"/>
              <w:szCs w:val="20"/>
            </w:rPr>
            <w:t>征地补偿和移民安置的有关规定</w:t>
          </w:r>
          <w:r>
            <w:rPr>
              <w:rFonts w:ascii="黑体" w:hAnsi="黑体" w:eastAsia="黑体" w:cs="黑体"/>
              <w:spacing w:val="-90"/>
              <w:sz w:val="20"/>
              <w:szCs w:val="20"/>
            </w:rPr>
            <w:t xml:space="preserve"> </w:t>
          </w:r>
          <w:r>
            <w:rPr>
              <w:rFonts w:ascii="黑体" w:hAnsi="黑体" w:eastAsia="黑体" w:cs="黑体"/>
              <w:sz w:val="20"/>
              <w:szCs w:val="20"/>
            </w:rPr>
            <w:tab/>
          </w:r>
          <w:r>
            <w:rPr>
              <w:rFonts w:ascii="Times New Roman" w:hAnsi="Times New Roman" w:eastAsia="Times New Roman" w:cs="Times New Roman"/>
              <w:spacing w:val="-7"/>
              <w:sz w:val="20"/>
              <w:szCs w:val="20"/>
            </w:rPr>
            <w:t>195</w:t>
          </w:r>
          <w:r>
            <w:rPr>
              <w:rFonts w:ascii="Times New Roman" w:hAnsi="Times New Roman" w:eastAsia="Times New Roman" w:cs="Times New Roman"/>
              <w:spacing w:val="-7"/>
              <w:sz w:val="20"/>
              <w:szCs w:val="20"/>
            </w:rPr>
            <w:fldChar w:fldCharType="end"/>
          </w:r>
        </w:p>
        <w:p w14:paraId="48A6930A">
          <w:pPr>
            <w:tabs>
              <w:tab w:val="right" w:leader="dot" w:pos="9375"/>
            </w:tabs>
            <w:spacing w:before="268" w:line="222" w:lineRule="auto"/>
            <w:ind w:left="1542"/>
            <w:rPr>
              <w:rFonts w:ascii="Times New Roman" w:hAnsi="Times New Roman" w:eastAsia="Times New Roman" w:cs="Times New Roman"/>
              <w:sz w:val="20"/>
              <w:szCs w:val="20"/>
            </w:rPr>
          </w:pPr>
          <w:r>
            <w:fldChar w:fldCharType="begin"/>
          </w:r>
          <w:r>
            <w:instrText xml:space="preserve"> HYPERLINK \l "bookmark28" </w:instrText>
          </w:r>
          <w:r>
            <w:fldChar w:fldCharType="separate"/>
          </w:r>
          <w:r>
            <w:rPr>
              <w:rFonts w:ascii="黑体" w:hAnsi="黑体" w:eastAsia="黑体" w:cs="黑体"/>
              <w:b/>
              <w:bCs/>
              <w:color w:val="307090"/>
              <w:spacing w:val="-11"/>
              <w:sz w:val="20"/>
              <w:szCs w:val="20"/>
            </w:rPr>
            <w:t>第</w:t>
          </w:r>
          <w:r>
            <w:rPr>
              <w:rFonts w:ascii="黑体" w:hAnsi="黑体" w:eastAsia="黑体" w:cs="黑体"/>
              <w:color w:val="307090"/>
              <w:spacing w:val="37"/>
              <w:sz w:val="20"/>
              <w:szCs w:val="20"/>
            </w:rPr>
            <w:t xml:space="preserve"> </w:t>
          </w:r>
          <w:r>
            <w:rPr>
              <w:rFonts w:ascii="黑体" w:hAnsi="黑体" w:eastAsia="黑体" w:cs="黑体"/>
              <w:b/>
              <w:bCs/>
              <w:color w:val="307090"/>
              <w:spacing w:val="-11"/>
              <w:sz w:val="20"/>
              <w:szCs w:val="20"/>
            </w:rPr>
            <w:t>8</w:t>
          </w:r>
          <w:r>
            <w:rPr>
              <w:rFonts w:ascii="黑体" w:hAnsi="黑体" w:eastAsia="黑体" w:cs="黑体"/>
              <w:color w:val="307090"/>
              <w:spacing w:val="38"/>
              <w:sz w:val="20"/>
              <w:szCs w:val="20"/>
            </w:rPr>
            <w:t xml:space="preserve"> </w:t>
          </w:r>
          <w:r>
            <w:rPr>
              <w:rFonts w:ascii="黑体" w:hAnsi="黑体" w:eastAsia="黑体" w:cs="黑体"/>
              <w:b/>
              <w:bCs/>
              <w:color w:val="307090"/>
              <w:spacing w:val="-11"/>
              <w:sz w:val="20"/>
              <w:szCs w:val="20"/>
            </w:rPr>
            <w:t>章</w:t>
          </w:r>
          <w:r>
            <w:rPr>
              <w:rFonts w:ascii="黑体" w:hAnsi="黑体" w:eastAsia="黑体" w:cs="黑体"/>
              <w:color w:val="307090"/>
              <w:spacing w:val="10"/>
              <w:sz w:val="20"/>
              <w:szCs w:val="20"/>
            </w:rPr>
            <w:t xml:space="preserve">  </w:t>
          </w:r>
          <w:r>
            <w:rPr>
              <w:rFonts w:ascii="黑体" w:hAnsi="黑体" w:eastAsia="黑体" w:cs="黑体"/>
              <w:b/>
              <w:bCs/>
              <w:color w:val="307090"/>
              <w:spacing w:val="-11"/>
              <w:sz w:val="20"/>
              <w:szCs w:val="20"/>
            </w:rPr>
            <w:t>相</w:t>
          </w:r>
          <w:r>
            <w:rPr>
              <w:rFonts w:ascii="黑体" w:hAnsi="黑体" w:eastAsia="黑体" w:cs="黑体"/>
              <w:color w:val="307090"/>
              <w:spacing w:val="32"/>
              <w:sz w:val="20"/>
              <w:szCs w:val="20"/>
            </w:rPr>
            <w:t xml:space="preserve"> </w:t>
          </w:r>
          <w:r>
            <w:rPr>
              <w:rFonts w:ascii="黑体" w:hAnsi="黑体" w:eastAsia="黑体" w:cs="黑体"/>
              <w:b/>
              <w:bCs/>
              <w:color w:val="307090"/>
              <w:spacing w:val="-11"/>
              <w:sz w:val="20"/>
              <w:szCs w:val="20"/>
            </w:rPr>
            <w:t>关</w:t>
          </w:r>
          <w:r>
            <w:rPr>
              <w:rFonts w:ascii="黑体" w:hAnsi="黑体" w:eastAsia="黑体" w:cs="黑体"/>
              <w:color w:val="307090"/>
              <w:spacing w:val="11"/>
              <w:sz w:val="20"/>
              <w:szCs w:val="20"/>
            </w:rPr>
            <w:t xml:space="preserve">   </w:t>
          </w:r>
          <w:r>
            <w:rPr>
              <w:rFonts w:ascii="黑体" w:hAnsi="黑体" w:eastAsia="黑体" w:cs="黑体"/>
              <w:b/>
              <w:bCs/>
              <w:color w:val="307090"/>
              <w:spacing w:val="-11"/>
              <w:sz w:val="20"/>
              <w:szCs w:val="20"/>
            </w:rPr>
            <w:t>标</w:t>
          </w:r>
          <w:r>
            <w:rPr>
              <w:rFonts w:ascii="黑体" w:hAnsi="黑体" w:eastAsia="黑体" w:cs="黑体"/>
              <w:color w:val="307090"/>
              <w:spacing w:val="26"/>
              <w:sz w:val="20"/>
              <w:szCs w:val="20"/>
            </w:rPr>
            <w:t xml:space="preserve"> </w:t>
          </w:r>
          <w:r>
            <w:rPr>
              <w:rFonts w:ascii="黑体" w:hAnsi="黑体" w:eastAsia="黑体" w:cs="黑体"/>
              <w:b/>
              <w:bCs/>
              <w:color w:val="307090"/>
              <w:spacing w:val="-11"/>
              <w:sz w:val="20"/>
              <w:szCs w:val="20"/>
            </w:rPr>
            <w:t>准</w:t>
          </w:r>
          <w:r>
            <w:rPr>
              <w:rFonts w:ascii="黑体" w:hAnsi="黑体" w:eastAsia="黑体" w:cs="黑体"/>
              <w:color w:val="307090"/>
              <w:spacing w:val="-78"/>
              <w:sz w:val="20"/>
              <w:szCs w:val="20"/>
            </w:rPr>
            <w:t xml:space="preserve"> </w:t>
          </w:r>
          <w:r>
            <w:rPr>
              <w:rFonts w:ascii="黑体" w:hAnsi="黑体" w:eastAsia="黑体" w:cs="黑体"/>
              <w:color w:val="307090"/>
              <w:sz w:val="20"/>
              <w:szCs w:val="20"/>
            </w:rPr>
            <w:tab/>
          </w:r>
          <w:r>
            <w:rPr>
              <w:rFonts w:ascii="黑体" w:hAnsi="黑体" w:eastAsia="黑体" w:cs="黑体"/>
              <w:color w:val="307090"/>
              <w:spacing w:val="-66"/>
              <w:sz w:val="20"/>
              <w:szCs w:val="20"/>
            </w:rPr>
            <w:t xml:space="preserve"> </w:t>
          </w:r>
          <w:r>
            <w:rPr>
              <w:rFonts w:ascii="Times New Roman" w:hAnsi="Times New Roman" w:eastAsia="Times New Roman" w:cs="Times New Roman"/>
              <w:color w:val="307090"/>
              <w:spacing w:val="-6"/>
              <w:sz w:val="20"/>
              <w:szCs w:val="20"/>
            </w:rPr>
            <w:t>199</w:t>
          </w:r>
          <w:r>
            <w:rPr>
              <w:rFonts w:ascii="Times New Roman" w:hAnsi="Times New Roman" w:eastAsia="Times New Roman" w:cs="Times New Roman"/>
              <w:color w:val="307090"/>
              <w:spacing w:val="-6"/>
              <w:sz w:val="20"/>
              <w:szCs w:val="20"/>
            </w:rPr>
            <w:fldChar w:fldCharType="end"/>
          </w:r>
        </w:p>
        <w:p w14:paraId="0F9DE9C9">
          <w:pPr>
            <w:tabs>
              <w:tab w:val="right" w:leader="dot" w:pos="9375"/>
            </w:tabs>
            <w:spacing w:before="202" w:line="222" w:lineRule="auto"/>
            <w:ind w:left="1769"/>
            <w:rPr>
              <w:rFonts w:ascii="Times New Roman" w:hAnsi="Times New Roman" w:eastAsia="Times New Roman" w:cs="Times New Roman"/>
              <w:sz w:val="20"/>
              <w:szCs w:val="20"/>
            </w:rPr>
          </w:pPr>
          <w:r>
            <w:fldChar w:fldCharType="begin"/>
          </w:r>
          <w:r>
            <w:instrText xml:space="preserve"> HYPERLINK \l "bookmark29" </w:instrText>
          </w:r>
          <w:r>
            <w:fldChar w:fldCharType="separate"/>
          </w:r>
          <w:r>
            <w:rPr>
              <w:rFonts w:ascii="Times New Roman" w:hAnsi="Times New Roman" w:eastAsia="Times New Roman" w:cs="Times New Roman"/>
              <w:spacing w:val="-2"/>
              <w:sz w:val="20"/>
              <w:szCs w:val="20"/>
            </w:rPr>
            <w:t>8.1</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工程建设标准体系</w:t>
          </w:r>
          <w:r>
            <w:rPr>
              <w:rFonts w:ascii="黑体" w:hAnsi="黑体" w:eastAsia="黑体" w:cs="黑体"/>
              <w:spacing w:val="-59"/>
              <w:sz w:val="20"/>
              <w:szCs w:val="20"/>
            </w:rPr>
            <w:t xml:space="preserve"> </w:t>
          </w:r>
          <w:r>
            <w:rPr>
              <w:rFonts w:ascii="黑体" w:hAnsi="黑体" w:eastAsia="黑体" w:cs="黑体"/>
              <w:sz w:val="20"/>
              <w:szCs w:val="20"/>
            </w:rPr>
            <w:tab/>
          </w:r>
          <w:r>
            <w:rPr>
              <w:rFonts w:ascii="黑体" w:hAnsi="黑体" w:eastAsia="黑体" w:cs="黑体"/>
              <w:spacing w:val="-56"/>
              <w:sz w:val="20"/>
              <w:szCs w:val="20"/>
            </w:rPr>
            <w:t xml:space="preserve"> </w:t>
          </w:r>
          <w:r>
            <w:rPr>
              <w:rFonts w:ascii="Times New Roman" w:hAnsi="Times New Roman" w:eastAsia="Times New Roman" w:cs="Times New Roman"/>
              <w:spacing w:val="-6"/>
              <w:sz w:val="20"/>
              <w:szCs w:val="20"/>
            </w:rPr>
            <w:t>199</w:t>
          </w:r>
          <w:r>
            <w:rPr>
              <w:rFonts w:ascii="Times New Roman" w:hAnsi="Times New Roman" w:eastAsia="Times New Roman" w:cs="Times New Roman"/>
              <w:spacing w:val="-6"/>
              <w:sz w:val="20"/>
              <w:szCs w:val="20"/>
            </w:rPr>
            <w:fldChar w:fldCharType="end"/>
          </w:r>
        </w:p>
        <w:p w14:paraId="4983B445">
          <w:pPr>
            <w:tabs>
              <w:tab w:val="right" w:leader="dot" w:pos="9375"/>
            </w:tabs>
            <w:spacing w:before="82" w:line="223" w:lineRule="auto"/>
            <w:ind w:left="1769"/>
            <w:rPr>
              <w:rFonts w:ascii="Times New Roman" w:hAnsi="Times New Roman" w:eastAsia="Times New Roman" w:cs="Times New Roman"/>
              <w:sz w:val="20"/>
              <w:szCs w:val="20"/>
            </w:rPr>
          </w:pPr>
          <w:r>
            <w:fldChar w:fldCharType="begin"/>
          </w:r>
          <w:r>
            <w:instrText xml:space="preserve"> HYPERLINK \l "bookmark30" </w:instrText>
          </w:r>
          <w:r>
            <w:fldChar w:fldCharType="separate"/>
          </w:r>
          <w:r>
            <w:rPr>
              <w:rFonts w:ascii="Times New Roman" w:hAnsi="Times New Roman" w:eastAsia="Times New Roman" w:cs="Times New Roman"/>
              <w:spacing w:val="1"/>
              <w:sz w:val="20"/>
              <w:szCs w:val="20"/>
            </w:rPr>
            <w:t xml:space="preserve">8.2     </w:t>
          </w:r>
          <w:r>
            <w:rPr>
              <w:rFonts w:ascii="黑体" w:hAnsi="黑体" w:eastAsia="黑体" w:cs="黑体"/>
              <w:spacing w:val="1"/>
              <w:sz w:val="20"/>
              <w:szCs w:val="20"/>
            </w:rPr>
            <w:t>与施工相关的标准</w:t>
          </w:r>
          <w:r>
            <w:rPr>
              <w:rFonts w:ascii="黑体" w:hAnsi="黑体" w:eastAsia="黑体" w:cs="黑体"/>
              <w:spacing w:val="-77"/>
              <w:sz w:val="20"/>
              <w:szCs w:val="20"/>
            </w:rPr>
            <w:t xml:space="preserve"> </w:t>
          </w:r>
          <w:r>
            <w:rPr>
              <w:rFonts w:ascii="黑体" w:hAnsi="黑体" w:eastAsia="黑体" w:cs="黑体"/>
              <w:sz w:val="20"/>
              <w:szCs w:val="20"/>
            </w:rPr>
            <w:tab/>
          </w:r>
          <w:r>
            <w:rPr>
              <w:rFonts w:ascii="Times New Roman" w:hAnsi="Times New Roman" w:eastAsia="Times New Roman" w:cs="Times New Roman"/>
              <w:spacing w:val="-3"/>
              <w:sz w:val="20"/>
              <w:szCs w:val="20"/>
            </w:rPr>
            <w:t>203</w:t>
          </w:r>
          <w:r>
            <w:rPr>
              <w:rFonts w:ascii="Times New Roman" w:hAnsi="Times New Roman" w:eastAsia="Times New Roman" w:cs="Times New Roman"/>
              <w:spacing w:val="-3"/>
              <w:sz w:val="20"/>
              <w:szCs w:val="20"/>
            </w:rPr>
            <w:fldChar w:fldCharType="end"/>
          </w:r>
        </w:p>
      </w:sdtContent>
    </w:sdt>
    <w:p w14:paraId="41FF34C1">
      <w:pPr>
        <w:spacing w:before="209" w:line="340" w:lineRule="exact"/>
        <w:ind w:firstLine="1579"/>
      </w:pPr>
      <w:r>
        <w:rPr>
          <w:position w:val="-6"/>
        </w:rPr>
        <w:pict>
          <v:group id="_x0000_s1034" o:spid="_x0000_s1034" o:spt="203" style="height:17pt;width:392.55pt;" coordsize="7850,340">
            <o:lock v:ext="edit"/>
            <v:shape id="_x0000_s1035" o:spid="_x0000_s1035" o:spt="75" type="#_x0000_t75" style="position:absolute;left:0;top:0;height:340;width:7850;" filled="f" stroked="f" coordsize="21600,21600">
              <v:path/>
              <v:fill on="f" focussize="0,0"/>
              <v:stroke on="f"/>
              <v:imagedata r:id="rId22" o:title=""/>
              <o:lock v:ext="edit" aspectratio="t"/>
            </v:shape>
            <v:shape id="_x0000_s1036" o:spid="_x0000_s1036" o:spt="202" type="#_x0000_t202" style="position:absolute;left:-20;top:-20;height:380;width:7890;" filled="f" stroked="f" coordsize="21600,21600">
              <v:path/>
              <v:fill on="f" focussize="0,0"/>
              <v:stroke on="f"/>
              <v:imagedata o:title=""/>
              <o:lock v:ext="edit" aspectratio="f"/>
              <v:textbox inset="0mm,0mm,0mm,0mm">
                <w:txbxContent>
                  <w:p w14:paraId="50DAB1A5">
                    <w:pPr>
                      <w:spacing w:before="84" w:line="221" w:lineRule="auto"/>
                      <w:ind w:left="1833"/>
                      <w:rPr>
                        <w:rFonts w:ascii="黑体" w:hAnsi="黑体" w:eastAsia="黑体" w:cs="黑体"/>
                        <w:sz w:val="27"/>
                        <w:szCs w:val="27"/>
                      </w:rPr>
                    </w:pPr>
                    <w:r>
                      <w:rPr>
                        <w:rFonts w:ascii="黑体" w:hAnsi="黑体" w:eastAsia="黑体" w:cs="黑体"/>
                        <w:b/>
                        <w:bCs/>
                        <w:color w:val="FFFFFF"/>
                        <w:spacing w:val="6"/>
                        <w:sz w:val="27"/>
                        <w:szCs w:val="27"/>
                      </w:rPr>
                      <w:t>第3篇</w:t>
                    </w:r>
                    <w:r>
                      <w:rPr>
                        <w:rFonts w:ascii="黑体" w:hAnsi="黑体" w:eastAsia="黑体" w:cs="黑体"/>
                        <w:color w:val="FFFFFF"/>
                        <w:spacing w:val="6"/>
                        <w:sz w:val="27"/>
                        <w:szCs w:val="27"/>
                      </w:rPr>
                      <w:t xml:space="preserve"> </w:t>
                    </w:r>
                    <w:r>
                      <w:rPr>
                        <w:rFonts w:ascii="黑体" w:hAnsi="黑体" w:eastAsia="黑体" w:cs="黑体"/>
                        <w:b/>
                        <w:bCs/>
                        <w:color w:val="FFFFFF"/>
                        <w:spacing w:val="6"/>
                        <w:sz w:val="27"/>
                        <w:szCs w:val="27"/>
                      </w:rPr>
                      <w:t>水利水电工程项目管理实务</w:t>
                    </w:r>
                  </w:p>
                </w:txbxContent>
              </v:textbox>
            </v:shape>
            <w10:wrap type="none"/>
            <w10:anchorlock/>
          </v:group>
        </w:pict>
      </w:r>
    </w:p>
    <w:p w14:paraId="069A72FF">
      <w:pPr>
        <w:pStyle w:val="2"/>
        <w:spacing w:line="307" w:lineRule="auto"/>
      </w:pPr>
    </w:p>
    <w:sdt>
      <w:sdtPr>
        <w:rPr>
          <w:rFonts w:ascii="黑体" w:hAnsi="黑体" w:eastAsia="黑体" w:cs="黑体"/>
          <w:sz w:val="20"/>
          <w:szCs w:val="20"/>
        </w:rPr>
        <w:id w:val="147460698"/>
        <w:docPartObj>
          <w:docPartGallery w:val="Table of Contents"/>
          <w:docPartUnique/>
        </w:docPartObj>
      </w:sdtPr>
      <w:sdtEndPr>
        <w:rPr>
          <w:rFonts w:ascii="Times New Roman" w:hAnsi="Times New Roman" w:eastAsia="Times New Roman" w:cs="Times New Roman"/>
          <w:sz w:val="20"/>
          <w:szCs w:val="20"/>
        </w:rPr>
      </w:sdtEndPr>
      <w:sdtContent>
        <w:p w14:paraId="5F70897E">
          <w:pPr>
            <w:tabs>
              <w:tab w:val="right" w:leader="dot" w:pos="9275"/>
            </w:tabs>
            <w:spacing w:before="65" w:line="222" w:lineRule="auto"/>
            <w:ind w:left="1542"/>
            <w:rPr>
              <w:rFonts w:ascii="Times New Roman" w:hAnsi="Times New Roman" w:eastAsia="Times New Roman" w:cs="Times New Roman"/>
              <w:sz w:val="20"/>
              <w:szCs w:val="20"/>
            </w:rPr>
          </w:pPr>
          <w:r>
            <w:fldChar w:fldCharType="begin"/>
          </w:r>
          <w:r>
            <w:instrText xml:space="preserve"> HYPERLINK \l "bookmark31" </w:instrText>
          </w:r>
          <w:r>
            <w:fldChar w:fldCharType="separate"/>
          </w:r>
          <w:r>
            <w:rPr>
              <w:rFonts w:ascii="黑体" w:hAnsi="黑体" w:eastAsia="黑体" w:cs="黑体"/>
              <w:b/>
              <w:bCs/>
              <w:color w:val="3070A0"/>
              <w:spacing w:val="-12"/>
              <w:sz w:val="20"/>
              <w:szCs w:val="20"/>
            </w:rPr>
            <w:t>第</w:t>
          </w:r>
          <w:r>
            <w:rPr>
              <w:rFonts w:ascii="黑体" w:hAnsi="黑体" w:eastAsia="黑体" w:cs="黑体"/>
              <w:color w:val="3070A0"/>
              <w:spacing w:val="43"/>
              <w:sz w:val="20"/>
              <w:szCs w:val="20"/>
            </w:rPr>
            <w:t xml:space="preserve"> </w:t>
          </w:r>
          <w:r>
            <w:rPr>
              <w:rFonts w:ascii="黑体" w:hAnsi="黑体" w:eastAsia="黑体" w:cs="黑体"/>
              <w:b/>
              <w:bCs/>
              <w:color w:val="3070A0"/>
              <w:spacing w:val="-12"/>
              <w:sz w:val="20"/>
              <w:szCs w:val="20"/>
            </w:rPr>
            <w:t>9</w:t>
          </w:r>
          <w:r>
            <w:rPr>
              <w:rFonts w:ascii="黑体" w:hAnsi="黑体" w:eastAsia="黑体" w:cs="黑体"/>
              <w:color w:val="3070A0"/>
              <w:spacing w:val="39"/>
              <w:sz w:val="20"/>
              <w:szCs w:val="20"/>
            </w:rPr>
            <w:t xml:space="preserve"> </w:t>
          </w:r>
          <w:r>
            <w:rPr>
              <w:rFonts w:ascii="黑体" w:hAnsi="黑体" w:eastAsia="黑体" w:cs="黑体"/>
              <w:b/>
              <w:bCs/>
              <w:color w:val="3070A0"/>
              <w:spacing w:val="-12"/>
              <w:sz w:val="20"/>
              <w:szCs w:val="20"/>
            </w:rPr>
            <w:t>章</w:t>
          </w:r>
          <w:r>
            <w:rPr>
              <w:rFonts w:ascii="黑体" w:hAnsi="黑体" w:eastAsia="黑体" w:cs="黑体"/>
              <w:color w:val="3070A0"/>
              <w:spacing w:val="54"/>
              <w:sz w:val="20"/>
              <w:szCs w:val="20"/>
            </w:rPr>
            <w:t xml:space="preserve"> </w:t>
          </w:r>
          <w:r>
            <w:rPr>
              <w:rFonts w:ascii="黑体" w:hAnsi="黑体" w:eastAsia="黑体" w:cs="黑体"/>
              <w:b/>
              <w:bCs/>
              <w:color w:val="3070A0"/>
              <w:spacing w:val="-12"/>
              <w:sz w:val="20"/>
              <w:szCs w:val="20"/>
            </w:rPr>
            <w:t>水</w:t>
          </w:r>
          <w:r>
            <w:rPr>
              <w:rFonts w:ascii="黑体" w:hAnsi="黑体" w:eastAsia="黑体" w:cs="黑体"/>
              <w:color w:val="3070A0"/>
              <w:spacing w:val="-40"/>
              <w:sz w:val="20"/>
              <w:szCs w:val="20"/>
            </w:rPr>
            <w:t xml:space="preserve"> </w:t>
          </w:r>
          <w:r>
            <w:rPr>
              <w:rFonts w:ascii="黑体" w:hAnsi="黑体" w:eastAsia="黑体" w:cs="黑体"/>
              <w:b/>
              <w:bCs/>
              <w:color w:val="3070A0"/>
              <w:spacing w:val="-12"/>
              <w:sz w:val="20"/>
              <w:szCs w:val="20"/>
            </w:rPr>
            <w:t>利</w:t>
          </w:r>
          <w:r>
            <w:rPr>
              <w:rFonts w:ascii="黑体" w:hAnsi="黑体" w:eastAsia="黑体" w:cs="黑体"/>
              <w:color w:val="3070A0"/>
              <w:spacing w:val="-41"/>
              <w:sz w:val="20"/>
              <w:szCs w:val="20"/>
            </w:rPr>
            <w:t xml:space="preserve"> </w:t>
          </w:r>
          <w:r>
            <w:rPr>
              <w:rFonts w:ascii="黑体" w:hAnsi="黑体" w:eastAsia="黑体" w:cs="黑体"/>
              <w:b/>
              <w:bCs/>
              <w:color w:val="3070A0"/>
              <w:spacing w:val="-12"/>
              <w:sz w:val="20"/>
              <w:szCs w:val="20"/>
            </w:rPr>
            <w:t>水</w:t>
          </w:r>
          <w:r>
            <w:rPr>
              <w:rFonts w:ascii="黑体" w:hAnsi="黑体" w:eastAsia="黑体" w:cs="黑体"/>
              <w:color w:val="3070A0"/>
              <w:spacing w:val="-28"/>
              <w:sz w:val="20"/>
              <w:szCs w:val="20"/>
            </w:rPr>
            <w:t xml:space="preserve"> </w:t>
          </w:r>
          <w:r>
            <w:rPr>
              <w:rFonts w:ascii="黑体" w:hAnsi="黑体" w:eastAsia="黑体" w:cs="黑体"/>
              <w:b/>
              <w:bCs/>
              <w:color w:val="3070A0"/>
              <w:spacing w:val="-12"/>
              <w:sz w:val="20"/>
              <w:szCs w:val="20"/>
            </w:rPr>
            <w:t>电</w:t>
          </w:r>
          <w:r>
            <w:rPr>
              <w:rFonts w:ascii="黑体" w:hAnsi="黑体" w:eastAsia="黑体" w:cs="黑体"/>
              <w:color w:val="3070A0"/>
              <w:spacing w:val="-40"/>
              <w:sz w:val="20"/>
              <w:szCs w:val="20"/>
            </w:rPr>
            <w:t xml:space="preserve"> </w:t>
          </w:r>
          <w:r>
            <w:rPr>
              <w:rFonts w:ascii="黑体" w:hAnsi="黑体" w:eastAsia="黑体" w:cs="黑体"/>
              <w:b/>
              <w:bCs/>
              <w:color w:val="3070A0"/>
              <w:spacing w:val="-12"/>
              <w:sz w:val="20"/>
              <w:szCs w:val="20"/>
            </w:rPr>
            <w:t>工</w:t>
          </w:r>
          <w:r>
            <w:rPr>
              <w:rFonts w:ascii="黑体" w:hAnsi="黑体" w:eastAsia="黑体" w:cs="黑体"/>
              <w:color w:val="3070A0"/>
              <w:spacing w:val="-42"/>
              <w:sz w:val="20"/>
              <w:szCs w:val="20"/>
            </w:rPr>
            <w:t xml:space="preserve"> </w:t>
          </w:r>
          <w:r>
            <w:rPr>
              <w:rFonts w:ascii="黑体" w:hAnsi="黑体" w:eastAsia="黑体" w:cs="黑体"/>
              <w:b/>
              <w:bCs/>
              <w:color w:val="3070A0"/>
              <w:spacing w:val="-12"/>
              <w:sz w:val="20"/>
              <w:szCs w:val="20"/>
            </w:rPr>
            <w:t>程</w:t>
          </w:r>
          <w:r>
            <w:rPr>
              <w:rFonts w:ascii="黑体" w:hAnsi="黑体" w:eastAsia="黑体" w:cs="黑体"/>
              <w:color w:val="3070A0"/>
              <w:spacing w:val="-42"/>
              <w:sz w:val="20"/>
              <w:szCs w:val="20"/>
            </w:rPr>
            <w:t xml:space="preserve"> </w:t>
          </w:r>
          <w:r>
            <w:rPr>
              <w:rFonts w:ascii="黑体" w:hAnsi="黑体" w:eastAsia="黑体" w:cs="黑体"/>
              <w:b/>
              <w:bCs/>
              <w:color w:val="3070A0"/>
              <w:spacing w:val="-12"/>
              <w:sz w:val="20"/>
              <w:szCs w:val="20"/>
            </w:rPr>
            <w:t>企</w:t>
          </w:r>
          <w:r>
            <w:rPr>
              <w:rFonts w:ascii="黑体" w:hAnsi="黑体" w:eastAsia="黑体" w:cs="黑体"/>
              <w:color w:val="3070A0"/>
              <w:spacing w:val="-38"/>
              <w:sz w:val="20"/>
              <w:szCs w:val="20"/>
            </w:rPr>
            <w:t xml:space="preserve"> </w:t>
          </w:r>
          <w:r>
            <w:rPr>
              <w:rFonts w:ascii="黑体" w:hAnsi="黑体" w:eastAsia="黑体" w:cs="黑体"/>
              <w:b/>
              <w:bCs/>
              <w:color w:val="3070A0"/>
              <w:spacing w:val="-12"/>
              <w:sz w:val="20"/>
              <w:szCs w:val="20"/>
            </w:rPr>
            <w:t>业</w:t>
          </w:r>
          <w:r>
            <w:rPr>
              <w:rFonts w:ascii="黑体" w:hAnsi="黑体" w:eastAsia="黑体" w:cs="黑体"/>
              <w:color w:val="3070A0"/>
              <w:spacing w:val="-34"/>
              <w:sz w:val="20"/>
              <w:szCs w:val="20"/>
            </w:rPr>
            <w:t xml:space="preserve"> </w:t>
          </w:r>
          <w:r>
            <w:rPr>
              <w:rFonts w:ascii="黑体" w:hAnsi="黑体" w:eastAsia="黑体" w:cs="黑体"/>
              <w:b/>
              <w:bCs/>
              <w:color w:val="3070A0"/>
              <w:spacing w:val="-12"/>
              <w:sz w:val="20"/>
              <w:szCs w:val="20"/>
            </w:rPr>
            <w:t>资</w:t>
          </w:r>
          <w:r>
            <w:rPr>
              <w:rFonts w:ascii="黑体" w:hAnsi="黑体" w:eastAsia="黑体" w:cs="黑体"/>
              <w:color w:val="3070A0"/>
              <w:spacing w:val="-39"/>
              <w:sz w:val="20"/>
              <w:szCs w:val="20"/>
            </w:rPr>
            <w:t xml:space="preserve"> </w:t>
          </w:r>
          <w:r>
            <w:rPr>
              <w:rFonts w:ascii="黑体" w:hAnsi="黑体" w:eastAsia="黑体" w:cs="黑体"/>
              <w:b/>
              <w:bCs/>
              <w:color w:val="3070A0"/>
              <w:spacing w:val="-12"/>
              <w:sz w:val="20"/>
              <w:szCs w:val="20"/>
            </w:rPr>
            <w:t>质</w:t>
          </w:r>
          <w:r>
            <w:rPr>
              <w:rFonts w:ascii="黑体" w:hAnsi="黑体" w:eastAsia="黑体" w:cs="黑体"/>
              <w:color w:val="3070A0"/>
              <w:spacing w:val="-33"/>
              <w:sz w:val="20"/>
              <w:szCs w:val="20"/>
            </w:rPr>
            <w:t xml:space="preserve"> </w:t>
          </w:r>
          <w:r>
            <w:rPr>
              <w:rFonts w:ascii="黑体" w:hAnsi="黑体" w:eastAsia="黑体" w:cs="黑体"/>
              <w:b/>
              <w:bCs/>
              <w:color w:val="3070A0"/>
              <w:spacing w:val="-12"/>
              <w:sz w:val="20"/>
              <w:szCs w:val="20"/>
            </w:rPr>
            <w:t>与</w:t>
          </w:r>
          <w:r>
            <w:rPr>
              <w:rFonts w:ascii="黑体" w:hAnsi="黑体" w:eastAsia="黑体" w:cs="黑体"/>
              <w:color w:val="3070A0"/>
              <w:spacing w:val="-42"/>
              <w:sz w:val="20"/>
              <w:szCs w:val="20"/>
            </w:rPr>
            <w:t xml:space="preserve"> </w:t>
          </w:r>
          <w:r>
            <w:rPr>
              <w:rFonts w:ascii="黑体" w:hAnsi="黑体" w:eastAsia="黑体" w:cs="黑体"/>
              <w:b/>
              <w:bCs/>
              <w:color w:val="3070A0"/>
              <w:spacing w:val="-12"/>
              <w:sz w:val="20"/>
              <w:szCs w:val="20"/>
            </w:rPr>
            <w:t>施</w:t>
          </w:r>
          <w:r>
            <w:rPr>
              <w:rFonts w:ascii="黑体" w:hAnsi="黑体" w:eastAsia="黑体" w:cs="黑体"/>
              <w:color w:val="3070A0"/>
              <w:spacing w:val="-40"/>
              <w:sz w:val="20"/>
              <w:szCs w:val="20"/>
            </w:rPr>
            <w:t xml:space="preserve"> </w:t>
          </w:r>
          <w:r>
            <w:rPr>
              <w:rFonts w:ascii="黑体" w:hAnsi="黑体" w:eastAsia="黑体" w:cs="黑体"/>
              <w:b/>
              <w:bCs/>
              <w:color w:val="3070A0"/>
              <w:spacing w:val="-12"/>
              <w:sz w:val="20"/>
              <w:szCs w:val="20"/>
            </w:rPr>
            <w:t>工</w:t>
          </w:r>
          <w:r>
            <w:rPr>
              <w:rFonts w:ascii="黑体" w:hAnsi="黑体" w:eastAsia="黑体" w:cs="黑体"/>
              <w:color w:val="3070A0"/>
              <w:spacing w:val="-42"/>
              <w:sz w:val="20"/>
              <w:szCs w:val="20"/>
            </w:rPr>
            <w:t xml:space="preserve"> </w:t>
          </w:r>
          <w:r>
            <w:rPr>
              <w:rFonts w:ascii="黑体" w:hAnsi="黑体" w:eastAsia="黑体" w:cs="黑体"/>
              <w:b/>
              <w:bCs/>
              <w:color w:val="3070A0"/>
              <w:spacing w:val="-12"/>
              <w:sz w:val="20"/>
              <w:szCs w:val="20"/>
            </w:rPr>
            <w:t>组</w:t>
          </w:r>
          <w:r>
            <w:rPr>
              <w:rFonts w:ascii="黑体" w:hAnsi="黑体" w:eastAsia="黑体" w:cs="黑体"/>
              <w:color w:val="3070A0"/>
              <w:spacing w:val="-39"/>
              <w:sz w:val="20"/>
              <w:szCs w:val="20"/>
            </w:rPr>
            <w:t xml:space="preserve"> </w:t>
          </w:r>
          <w:r>
            <w:rPr>
              <w:rFonts w:ascii="黑体" w:hAnsi="黑体" w:eastAsia="黑体" w:cs="黑体"/>
              <w:b/>
              <w:bCs/>
              <w:color w:val="3070A0"/>
              <w:spacing w:val="-12"/>
              <w:sz w:val="20"/>
              <w:szCs w:val="20"/>
            </w:rPr>
            <w:t>织</w:t>
          </w:r>
          <w:r>
            <w:rPr>
              <w:rFonts w:ascii="黑体" w:hAnsi="黑体" w:eastAsia="黑体" w:cs="黑体"/>
              <w:color w:val="3070A0"/>
              <w:spacing w:val="-72"/>
              <w:sz w:val="20"/>
              <w:szCs w:val="20"/>
            </w:rPr>
            <w:t xml:space="preserve"> </w:t>
          </w:r>
          <w:r>
            <w:rPr>
              <w:rFonts w:ascii="黑体" w:hAnsi="黑体" w:eastAsia="黑体" w:cs="黑体"/>
              <w:color w:val="3070A0"/>
              <w:sz w:val="20"/>
              <w:szCs w:val="20"/>
            </w:rPr>
            <w:tab/>
          </w:r>
          <w:r>
            <w:rPr>
              <w:rFonts w:ascii="Times New Roman" w:hAnsi="Times New Roman" w:eastAsia="Times New Roman" w:cs="Times New Roman"/>
              <w:color w:val="3070A0"/>
              <w:spacing w:val="2"/>
              <w:sz w:val="20"/>
              <w:szCs w:val="20"/>
            </w:rPr>
            <w:t>25</w:t>
          </w:r>
          <w:r>
            <w:rPr>
              <w:rFonts w:ascii="Times New Roman" w:hAnsi="Times New Roman" w:eastAsia="Times New Roman" w:cs="Times New Roman"/>
              <w:color w:val="3070A0"/>
              <w:spacing w:val="2"/>
              <w:sz w:val="20"/>
              <w:szCs w:val="20"/>
            </w:rPr>
            <w:fldChar w:fldCharType="end"/>
          </w:r>
        </w:p>
        <w:p w14:paraId="2FF31FDE">
          <w:pPr>
            <w:tabs>
              <w:tab w:val="right" w:leader="dot" w:pos="9365"/>
            </w:tabs>
            <w:spacing w:before="183" w:line="222" w:lineRule="auto"/>
            <w:ind w:left="1769"/>
            <w:rPr>
              <w:rFonts w:ascii="Times New Roman" w:hAnsi="Times New Roman" w:eastAsia="Times New Roman" w:cs="Times New Roman"/>
              <w:sz w:val="20"/>
              <w:szCs w:val="20"/>
            </w:rPr>
          </w:pPr>
          <w:r>
            <w:fldChar w:fldCharType="begin"/>
          </w:r>
          <w:r>
            <w:instrText xml:space="preserve"> HYPERLINK \l "bookmark32" </w:instrText>
          </w:r>
          <w:r>
            <w:fldChar w:fldCharType="separate"/>
          </w:r>
          <w:r>
            <w:rPr>
              <w:rFonts w:ascii="Times New Roman" w:hAnsi="Times New Roman" w:eastAsia="Times New Roman" w:cs="Times New Roman"/>
              <w:spacing w:val="-2"/>
              <w:sz w:val="20"/>
              <w:szCs w:val="20"/>
            </w:rPr>
            <w:t>9.1</w:t>
          </w:r>
          <w:r>
            <w:rPr>
              <w:rFonts w:ascii="Times New Roman" w:hAnsi="Times New Roman" w:eastAsia="Times New Roman" w:cs="Times New Roman"/>
              <w:spacing w:val="11"/>
              <w:sz w:val="20"/>
              <w:szCs w:val="20"/>
            </w:rPr>
            <w:t xml:space="preserve">    </w:t>
          </w:r>
          <w:r>
            <w:rPr>
              <w:rFonts w:ascii="黑体" w:hAnsi="黑体" w:eastAsia="黑体" w:cs="黑体"/>
              <w:spacing w:val="-2"/>
              <w:sz w:val="20"/>
              <w:szCs w:val="20"/>
            </w:rPr>
            <w:t>水利水电工程企业资质</w:t>
          </w:r>
          <w:r>
            <w:rPr>
              <w:rFonts w:ascii="黑体" w:hAnsi="黑体" w:eastAsia="黑体" w:cs="黑体"/>
              <w:spacing w:val="-59"/>
              <w:sz w:val="20"/>
              <w:szCs w:val="20"/>
            </w:rPr>
            <w:t xml:space="preserve"> </w:t>
          </w:r>
          <w:r>
            <w:rPr>
              <w:rFonts w:ascii="黑体" w:hAnsi="黑体" w:eastAsia="黑体" w:cs="黑体"/>
              <w:sz w:val="20"/>
              <w:szCs w:val="20"/>
            </w:rPr>
            <w:tab/>
          </w:r>
          <w:r>
            <w:rPr>
              <w:rFonts w:ascii="Times New Roman" w:hAnsi="Times New Roman" w:eastAsia="Times New Roman" w:cs="Times New Roman"/>
              <w:spacing w:val="2"/>
              <w:sz w:val="20"/>
              <w:szCs w:val="20"/>
            </w:rPr>
            <w:t>225</w:t>
          </w:r>
          <w:r>
            <w:rPr>
              <w:rFonts w:ascii="Times New Roman" w:hAnsi="Times New Roman" w:eastAsia="Times New Roman" w:cs="Times New Roman"/>
              <w:spacing w:val="2"/>
              <w:sz w:val="20"/>
              <w:szCs w:val="20"/>
            </w:rPr>
            <w:fldChar w:fldCharType="end"/>
          </w:r>
        </w:p>
        <w:p w14:paraId="0DFAC20D">
          <w:pPr>
            <w:tabs>
              <w:tab w:val="right" w:leader="dot" w:pos="9365"/>
            </w:tabs>
            <w:spacing w:before="79" w:line="222" w:lineRule="auto"/>
            <w:ind w:left="1769"/>
            <w:rPr>
              <w:rFonts w:ascii="Times New Roman" w:hAnsi="Times New Roman" w:eastAsia="Times New Roman" w:cs="Times New Roman"/>
              <w:sz w:val="20"/>
              <w:szCs w:val="20"/>
            </w:rPr>
          </w:pPr>
          <w:r>
            <w:fldChar w:fldCharType="begin"/>
          </w:r>
          <w:r>
            <w:instrText xml:space="preserve"> HYPERLINK \l "bookmark33" </w:instrText>
          </w:r>
          <w:r>
            <w:fldChar w:fldCharType="separate"/>
          </w:r>
          <w:r>
            <w:rPr>
              <w:rFonts w:ascii="Times New Roman" w:hAnsi="Times New Roman" w:eastAsia="Times New Roman" w:cs="Times New Roman"/>
              <w:spacing w:val="1"/>
              <w:sz w:val="20"/>
              <w:szCs w:val="20"/>
            </w:rPr>
            <w:t>9.2</w:t>
          </w:r>
          <w:r>
            <w:rPr>
              <w:rFonts w:ascii="Times New Roman" w:hAnsi="Times New Roman" w:eastAsia="Times New Roman" w:cs="Times New Roman"/>
              <w:spacing w:val="12"/>
              <w:w w:val="101"/>
              <w:sz w:val="20"/>
              <w:szCs w:val="20"/>
            </w:rPr>
            <w:t xml:space="preserve">    </w:t>
          </w:r>
          <w:r>
            <w:rPr>
              <w:rFonts w:ascii="黑体" w:hAnsi="黑体" w:eastAsia="黑体" w:cs="黑体"/>
              <w:spacing w:val="1"/>
              <w:sz w:val="20"/>
              <w:szCs w:val="20"/>
            </w:rPr>
            <w:t>施工组织设计</w:t>
          </w:r>
          <w:r>
            <w:rPr>
              <w:rFonts w:ascii="黑体" w:hAnsi="黑体" w:eastAsia="黑体" w:cs="黑体"/>
              <w:spacing w:val="-80"/>
              <w:sz w:val="20"/>
              <w:szCs w:val="20"/>
            </w:rPr>
            <w:t xml:space="preserve"> </w:t>
          </w:r>
          <w:r>
            <w:rPr>
              <w:rFonts w:ascii="黑体" w:hAnsi="黑体" w:eastAsia="黑体" w:cs="黑体"/>
              <w:sz w:val="20"/>
              <w:szCs w:val="20"/>
            </w:rPr>
            <w:tab/>
          </w:r>
          <w:r>
            <w:rPr>
              <w:rFonts w:ascii="Times New Roman" w:hAnsi="Times New Roman" w:eastAsia="Times New Roman" w:cs="Times New Roman"/>
              <w:spacing w:val="-3"/>
              <w:sz w:val="20"/>
              <w:szCs w:val="20"/>
            </w:rPr>
            <w:t>229</w:t>
          </w:r>
          <w:r>
            <w:rPr>
              <w:rFonts w:ascii="Times New Roman" w:hAnsi="Times New Roman" w:eastAsia="Times New Roman" w:cs="Times New Roman"/>
              <w:spacing w:val="-3"/>
              <w:sz w:val="20"/>
              <w:szCs w:val="20"/>
            </w:rPr>
            <w:fldChar w:fldCharType="end"/>
          </w:r>
        </w:p>
        <w:p w14:paraId="3402C2A0">
          <w:pPr>
            <w:tabs>
              <w:tab w:val="right" w:leader="dot" w:pos="9375"/>
            </w:tabs>
            <w:spacing w:before="80" w:line="222" w:lineRule="auto"/>
            <w:ind w:left="1769"/>
            <w:rPr>
              <w:rFonts w:ascii="Times New Roman" w:hAnsi="Times New Roman" w:eastAsia="Times New Roman" w:cs="Times New Roman"/>
              <w:sz w:val="20"/>
              <w:szCs w:val="20"/>
            </w:rPr>
          </w:pPr>
          <w:r>
            <w:fldChar w:fldCharType="begin"/>
          </w:r>
          <w:r>
            <w:instrText xml:space="preserve"> HYPERLINK \l "bookmark34" </w:instrText>
          </w:r>
          <w:r>
            <w:fldChar w:fldCharType="separate"/>
          </w:r>
          <w:r>
            <w:rPr>
              <w:rFonts w:ascii="Times New Roman" w:hAnsi="Times New Roman" w:eastAsia="Times New Roman" w:cs="Times New Roman"/>
              <w:spacing w:val="1"/>
              <w:sz w:val="20"/>
              <w:szCs w:val="20"/>
            </w:rPr>
            <w:t xml:space="preserve">9.3     </w:t>
          </w:r>
          <w:r>
            <w:rPr>
              <w:rFonts w:ascii="黑体" w:hAnsi="黑体" w:eastAsia="黑体" w:cs="黑体"/>
              <w:spacing w:val="1"/>
              <w:sz w:val="20"/>
              <w:szCs w:val="20"/>
            </w:rPr>
            <w:t>建设项目管理有关要求</w:t>
          </w:r>
          <w:r>
            <w:rPr>
              <w:rFonts w:ascii="黑体" w:hAnsi="黑体" w:eastAsia="黑体" w:cs="黑体"/>
              <w:spacing w:val="-89"/>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238</w:t>
          </w:r>
          <w:r>
            <w:rPr>
              <w:rFonts w:ascii="Times New Roman" w:hAnsi="Times New Roman" w:eastAsia="Times New Roman" w:cs="Times New Roman"/>
              <w:spacing w:val="-1"/>
              <w:sz w:val="20"/>
              <w:szCs w:val="20"/>
            </w:rPr>
            <w:fldChar w:fldCharType="end"/>
          </w:r>
        </w:p>
        <w:p w14:paraId="5D11273D">
          <w:pPr>
            <w:tabs>
              <w:tab w:val="right" w:leader="dot" w:pos="9375"/>
            </w:tabs>
            <w:spacing w:before="69" w:line="222" w:lineRule="auto"/>
            <w:ind w:left="1769"/>
            <w:rPr>
              <w:rFonts w:ascii="Times New Roman" w:hAnsi="Times New Roman" w:eastAsia="Times New Roman" w:cs="Times New Roman"/>
              <w:sz w:val="20"/>
              <w:szCs w:val="20"/>
            </w:rPr>
          </w:pPr>
          <w:r>
            <w:fldChar w:fldCharType="begin"/>
          </w:r>
          <w:r>
            <w:instrText xml:space="preserve"> HYPERLINK \l "bookmark35" </w:instrText>
          </w:r>
          <w:r>
            <w:fldChar w:fldCharType="separate"/>
          </w:r>
          <w:r>
            <w:rPr>
              <w:rFonts w:ascii="Times New Roman" w:hAnsi="Times New Roman" w:eastAsia="Times New Roman" w:cs="Times New Roman"/>
              <w:spacing w:val="1"/>
              <w:sz w:val="20"/>
              <w:szCs w:val="20"/>
            </w:rPr>
            <w:t xml:space="preserve">9.4     </w:t>
          </w:r>
          <w:r>
            <w:rPr>
              <w:rFonts w:ascii="黑体" w:hAnsi="黑体" w:eastAsia="黑体" w:cs="黑体"/>
              <w:spacing w:val="1"/>
              <w:sz w:val="20"/>
              <w:szCs w:val="20"/>
            </w:rPr>
            <w:t>建设监理</w:t>
          </w:r>
          <w:r>
            <w:rPr>
              <w:rFonts w:ascii="黑体" w:hAnsi="黑体" w:eastAsia="黑体" w:cs="黑体"/>
              <w:spacing w:val="-73"/>
              <w:sz w:val="20"/>
              <w:szCs w:val="20"/>
            </w:rPr>
            <w:t xml:space="preserve"> </w:t>
          </w:r>
          <w:r>
            <w:rPr>
              <w:rFonts w:ascii="黑体" w:hAnsi="黑体" w:eastAsia="黑体" w:cs="黑体"/>
              <w:sz w:val="20"/>
              <w:szCs w:val="20"/>
            </w:rPr>
            <w:tab/>
          </w:r>
          <w:r>
            <w:rPr>
              <w:rFonts w:ascii="Times New Roman" w:hAnsi="Times New Roman" w:eastAsia="Times New Roman" w:cs="Times New Roman"/>
              <w:spacing w:val="-3"/>
              <w:sz w:val="20"/>
              <w:szCs w:val="20"/>
            </w:rPr>
            <w:t>274</w:t>
          </w:r>
          <w:r>
            <w:rPr>
              <w:rFonts w:ascii="Times New Roman" w:hAnsi="Times New Roman" w:eastAsia="Times New Roman" w:cs="Times New Roman"/>
              <w:spacing w:val="-3"/>
              <w:sz w:val="20"/>
              <w:szCs w:val="20"/>
            </w:rPr>
            <w:fldChar w:fldCharType="end"/>
          </w:r>
        </w:p>
        <w:p w14:paraId="15BE7869">
          <w:pPr>
            <w:tabs>
              <w:tab w:val="right" w:leader="dot" w:pos="9365"/>
            </w:tabs>
            <w:spacing w:before="297" w:line="222" w:lineRule="auto"/>
            <w:ind w:left="1542"/>
            <w:rPr>
              <w:rFonts w:ascii="Times New Roman" w:hAnsi="Times New Roman" w:eastAsia="Times New Roman" w:cs="Times New Roman"/>
              <w:sz w:val="20"/>
              <w:szCs w:val="20"/>
            </w:rPr>
          </w:pPr>
          <w:r>
            <w:fldChar w:fldCharType="begin"/>
          </w:r>
          <w:r>
            <w:instrText xml:space="preserve"> HYPERLINK \l "bookmark36" </w:instrText>
          </w:r>
          <w:r>
            <w:fldChar w:fldCharType="separate"/>
          </w:r>
          <w:r>
            <w:rPr>
              <w:rFonts w:ascii="黑体" w:hAnsi="黑体" w:eastAsia="黑体" w:cs="黑体"/>
              <w:b/>
              <w:bCs/>
              <w:color w:val="307090"/>
              <w:spacing w:val="-10"/>
              <w:sz w:val="20"/>
              <w:szCs w:val="20"/>
            </w:rPr>
            <w:t>第</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1</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0</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章</w:t>
          </w:r>
          <w:r>
            <w:rPr>
              <w:rFonts w:ascii="黑体" w:hAnsi="黑体" w:eastAsia="黑体" w:cs="黑体"/>
              <w:color w:val="307090"/>
              <w:spacing w:val="74"/>
              <w:sz w:val="20"/>
              <w:szCs w:val="20"/>
            </w:rPr>
            <w:t xml:space="preserve"> </w:t>
          </w:r>
          <w:r>
            <w:rPr>
              <w:rFonts w:ascii="黑体" w:hAnsi="黑体" w:eastAsia="黑体" w:cs="黑体"/>
              <w:b/>
              <w:bCs/>
              <w:color w:val="307090"/>
              <w:spacing w:val="-10"/>
              <w:sz w:val="20"/>
              <w:szCs w:val="20"/>
            </w:rPr>
            <w:t>工</w:t>
          </w:r>
          <w:r>
            <w:rPr>
              <w:rFonts w:ascii="黑体" w:hAnsi="黑体" w:eastAsia="黑体" w:cs="黑体"/>
              <w:color w:val="307090"/>
              <w:spacing w:val="-36"/>
              <w:sz w:val="20"/>
              <w:szCs w:val="20"/>
            </w:rPr>
            <w:t xml:space="preserve"> </w:t>
          </w:r>
          <w:r>
            <w:rPr>
              <w:rFonts w:ascii="黑体" w:hAnsi="黑体" w:eastAsia="黑体" w:cs="黑体"/>
              <w:b/>
              <w:bCs/>
              <w:color w:val="307090"/>
              <w:spacing w:val="-10"/>
              <w:sz w:val="20"/>
              <w:szCs w:val="20"/>
            </w:rPr>
            <w:t>程</w:t>
          </w:r>
          <w:r>
            <w:rPr>
              <w:rFonts w:ascii="黑体" w:hAnsi="黑体" w:eastAsia="黑体" w:cs="黑体"/>
              <w:color w:val="307090"/>
              <w:spacing w:val="-36"/>
              <w:sz w:val="20"/>
              <w:szCs w:val="20"/>
            </w:rPr>
            <w:t xml:space="preserve"> </w:t>
          </w:r>
          <w:r>
            <w:rPr>
              <w:rFonts w:ascii="黑体" w:hAnsi="黑体" w:eastAsia="黑体" w:cs="黑体"/>
              <w:b/>
              <w:bCs/>
              <w:color w:val="307090"/>
              <w:spacing w:val="-10"/>
              <w:sz w:val="20"/>
              <w:szCs w:val="20"/>
            </w:rPr>
            <w:t>招</w:t>
          </w:r>
          <w:r>
            <w:rPr>
              <w:rFonts w:ascii="黑体" w:hAnsi="黑体" w:eastAsia="黑体" w:cs="黑体"/>
              <w:color w:val="307090"/>
              <w:spacing w:val="-39"/>
              <w:sz w:val="20"/>
              <w:szCs w:val="20"/>
            </w:rPr>
            <w:t xml:space="preserve"> </w:t>
          </w:r>
          <w:r>
            <w:rPr>
              <w:rFonts w:ascii="黑体" w:hAnsi="黑体" w:eastAsia="黑体" w:cs="黑体"/>
              <w:b/>
              <w:bCs/>
              <w:color w:val="307090"/>
              <w:spacing w:val="-10"/>
              <w:sz w:val="20"/>
              <w:szCs w:val="20"/>
            </w:rPr>
            <w:t>标</w:t>
          </w:r>
          <w:r>
            <w:rPr>
              <w:rFonts w:ascii="黑体" w:hAnsi="黑体" w:eastAsia="黑体" w:cs="黑体"/>
              <w:color w:val="307090"/>
              <w:spacing w:val="-37"/>
              <w:sz w:val="20"/>
              <w:szCs w:val="20"/>
            </w:rPr>
            <w:t xml:space="preserve"> </w:t>
          </w:r>
          <w:r>
            <w:rPr>
              <w:rFonts w:ascii="黑体" w:hAnsi="黑体" w:eastAsia="黑体" w:cs="黑体"/>
              <w:b/>
              <w:bCs/>
              <w:color w:val="307090"/>
              <w:spacing w:val="-10"/>
              <w:sz w:val="20"/>
              <w:szCs w:val="20"/>
            </w:rPr>
            <w:t>投</w:t>
          </w:r>
          <w:r>
            <w:rPr>
              <w:rFonts w:ascii="黑体" w:hAnsi="黑体" w:eastAsia="黑体" w:cs="黑体"/>
              <w:color w:val="307090"/>
              <w:spacing w:val="-40"/>
              <w:sz w:val="20"/>
              <w:szCs w:val="20"/>
            </w:rPr>
            <w:t xml:space="preserve"> </w:t>
          </w:r>
          <w:r>
            <w:rPr>
              <w:rFonts w:ascii="黑体" w:hAnsi="黑体" w:eastAsia="黑体" w:cs="黑体"/>
              <w:b/>
              <w:bCs/>
              <w:color w:val="307090"/>
              <w:spacing w:val="-10"/>
              <w:sz w:val="20"/>
              <w:szCs w:val="20"/>
            </w:rPr>
            <w:t>标</w:t>
          </w:r>
          <w:r>
            <w:rPr>
              <w:rFonts w:ascii="黑体" w:hAnsi="黑体" w:eastAsia="黑体" w:cs="黑体"/>
              <w:color w:val="307090"/>
              <w:spacing w:val="-27"/>
              <w:sz w:val="20"/>
              <w:szCs w:val="20"/>
            </w:rPr>
            <w:t xml:space="preserve"> </w:t>
          </w:r>
          <w:r>
            <w:rPr>
              <w:rFonts w:ascii="黑体" w:hAnsi="黑体" w:eastAsia="黑体" w:cs="黑体"/>
              <w:b/>
              <w:bCs/>
              <w:color w:val="307090"/>
              <w:spacing w:val="-10"/>
              <w:sz w:val="20"/>
              <w:szCs w:val="20"/>
            </w:rPr>
            <w:t>与</w:t>
          </w:r>
          <w:r>
            <w:rPr>
              <w:rFonts w:ascii="黑体" w:hAnsi="黑体" w:eastAsia="黑体" w:cs="黑体"/>
              <w:color w:val="307090"/>
              <w:spacing w:val="-35"/>
              <w:sz w:val="20"/>
              <w:szCs w:val="20"/>
            </w:rPr>
            <w:t xml:space="preserve"> </w:t>
          </w:r>
          <w:r>
            <w:rPr>
              <w:rFonts w:ascii="黑体" w:hAnsi="黑体" w:eastAsia="黑体" w:cs="黑体"/>
              <w:b/>
              <w:bCs/>
              <w:color w:val="307090"/>
              <w:spacing w:val="-10"/>
              <w:sz w:val="20"/>
              <w:szCs w:val="20"/>
            </w:rPr>
            <w:t>合</w:t>
          </w:r>
          <w:r>
            <w:rPr>
              <w:rFonts w:ascii="黑体" w:hAnsi="黑体" w:eastAsia="黑体" w:cs="黑体"/>
              <w:color w:val="307090"/>
              <w:spacing w:val="-25"/>
              <w:sz w:val="20"/>
              <w:szCs w:val="20"/>
            </w:rPr>
            <w:t xml:space="preserve"> </w:t>
          </w:r>
          <w:r>
            <w:rPr>
              <w:rFonts w:ascii="黑体" w:hAnsi="黑体" w:eastAsia="黑体" w:cs="黑体"/>
              <w:b/>
              <w:bCs/>
              <w:color w:val="307090"/>
              <w:spacing w:val="-10"/>
              <w:sz w:val="20"/>
              <w:szCs w:val="20"/>
            </w:rPr>
            <w:t>同</w:t>
          </w:r>
          <w:r>
            <w:rPr>
              <w:rFonts w:ascii="黑体" w:hAnsi="黑体" w:eastAsia="黑体" w:cs="黑体"/>
              <w:color w:val="307090"/>
              <w:spacing w:val="-34"/>
              <w:sz w:val="20"/>
              <w:szCs w:val="20"/>
            </w:rPr>
            <w:t xml:space="preserve"> </w:t>
          </w:r>
          <w:r>
            <w:rPr>
              <w:rFonts w:ascii="黑体" w:hAnsi="黑体" w:eastAsia="黑体" w:cs="黑体"/>
              <w:b/>
              <w:bCs/>
              <w:color w:val="307090"/>
              <w:spacing w:val="-10"/>
              <w:sz w:val="20"/>
              <w:szCs w:val="20"/>
            </w:rPr>
            <w:t>管</w:t>
          </w:r>
          <w:r>
            <w:rPr>
              <w:rFonts w:ascii="黑体" w:hAnsi="黑体" w:eastAsia="黑体" w:cs="黑体"/>
              <w:color w:val="307090"/>
              <w:spacing w:val="-36"/>
              <w:sz w:val="20"/>
              <w:szCs w:val="20"/>
            </w:rPr>
            <w:t xml:space="preserve"> </w:t>
          </w:r>
          <w:r>
            <w:rPr>
              <w:rFonts w:ascii="黑体" w:hAnsi="黑体" w:eastAsia="黑体" w:cs="黑体"/>
              <w:b/>
              <w:bCs/>
              <w:color w:val="307090"/>
              <w:spacing w:val="-10"/>
              <w:sz w:val="20"/>
              <w:szCs w:val="20"/>
            </w:rPr>
            <w:t>理</w:t>
          </w:r>
          <w:r>
            <w:rPr>
              <w:rFonts w:ascii="黑体" w:hAnsi="黑体" w:eastAsia="黑体" w:cs="黑体"/>
              <w:color w:val="307090"/>
              <w:spacing w:val="-75"/>
              <w:sz w:val="20"/>
              <w:szCs w:val="20"/>
            </w:rPr>
            <w:t xml:space="preserve"> </w:t>
          </w:r>
          <w:r>
            <w:rPr>
              <w:rFonts w:ascii="黑体" w:hAnsi="黑体" w:eastAsia="黑体" w:cs="黑体"/>
              <w:color w:val="307090"/>
              <w:sz w:val="20"/>
              <w:szCs w:val="20"/>
            </w:rPr>
            <w:tab/>
          </w:r>
          <w:r>
            <w:rPr>
              <w:rFonts w:ascii="Times New Roman" w:hAnsi="Times New Roman" w:eastAsia="Times New Roman" w:cs="Times New Roman"/>
              <w:color w:val="307090"/>
              <w:spacing w:val="1"/>
              <w:sz w:val="20"/>
              <w:szCs w:val="20"/>
            </w:rPr>
            <w:t>290</w:t>
          </w:r>
          <w:r>
            <w:rPr>
              <w:rFonts w:ascii="Times New Roman" w:hAnsi="Times New Roman" w:eastAsia="Times New Roman" w:cs="Times New Roman"/>
              <w:color w:val="307090"/>
              <w:spacing w:val="1"/>
              <w:sz w:val="20"/>
              <w:szCs w:val="20"/>
            </w:rPr>
            <w:fldChar w:fldCharType="end"/>
          </w:r>
        </w:p>
        <w:p w14:paraId="059ACCFD">
          <w:pPr>
            <w:tabs>
              <w:tab w:val="right" w:leader="dot" w:pos="9365"/>
            </w:tabs>
            <w:spacing w:before="182" w:line="222" w:lineRule="auto"/>
            <w:ind w:left="1769"/>
            <w:rPr>
              <w:rFonts w:ascii="Times New Roman" w:hAnsi="Times New Roman" w:eastAsia="Times New Roman" w:cs="Times New Roman"/>
              <w:sz w:val="20"/>
              <w:szCs w:val="20"/>
            </w:rPr>
          </w:pPr>
          <w:r>
            <w:fldChar w:fldCharType="begin"/>
          </w:r>
          <w:r>
            <w:instrText xml:space="preserve"> HYPERLINK \l "bookmark37" </w:instrText>
          </w:r>
          <w:r>
            <w:fldChar w:fldCharType="separate"/>
          </w:r>
          <w:r>
            <w:rPr>
              <w:rFonts w:ascii="Times New Roman" w:hAnsi="Times New Roman" w:eastAsia="Times New Roman" w:cs="Times New Roman"/>
              <w:spacing w:val="-4"/>
              <w:sz w:val="20"/>
              <w:szCs w:val="20"/>
            </w:rPr>
            <w:t>10.1</w:t>
          </w:r>
          <w:r>
            <w:rPr>
              <w:rFonts w:ascii="Times New Roman" w:hAnsi="Times New Roman" w:eastAsia="Times New Roman" w:cs="Times New Roman"/>
              <w:spacing w:val="12"/>
              <w:w w:val="101"/>
              <w:sz w:val="20"/>
              <w:szCs w:val="20"/>
            </w:rPr>
            <w:t xml:space="preserve">    </w:t>
          </w:r>
          <w:r>
            <w:rPr>
              <w:rFonts w:ascii="黑体" w:hAnsi="黑体" w:eastAsia="黑体" w:cs="黑体"/>
              <w:spacing w:val="-4"/>
              <w:sz w:val="20"/>
              <w:szCs w:val="20"/>
            </w:rPr>
            <w:t>工程招标投标</w:t>
          </w:r>
          <w:r>
            <w:rPr>
              <w:rFonts w:ascii="黑体" w:hAnsi="黑体" w:eastAsia="黑体" w:cs="黑体"/>
              <w:spacing w:val="-71"/>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290</w:t>
          </w:r>
          <w:r>
            <w:rPr>
              <w:rFonts w:ascii="Times New Roman" w:hAnsi="Times New Roman" w:eastAsia="Times New Roman" w:cs="Times New Roman"/>
              <w:spacing w:val="1"/>
              <w:sz w:val="20"/>
              <w:szCs w:val="20"/>
            </w:rPr>
            <w:fldChar w:fldCharType="end"/>
          </w:r>
        </w:p>
        <w:p w14:paraId="1936A483">
          <w:pPr>
            <w:tabs>
              <w:tab w:val="right" w:leader="dot" w:pos="9430"/>
            </w:tabs>
            <w:spacing w:before="80" w:line="222" w:lineRule="auto"/>
            <w:ind w:left="1769"/>
            <w:rPr>
              <w:rFonts w:ascii="Times New Roman" w:hAnsi="Times New Roman" w:eastAsia="Times New Roman" w:cs="Times New Roman"/>
              <w:sz w:val="20"/>
              <w:szCs w:val="20"/>
            </w:rPr>
          </w:pPr>
          <w:r>
            <w:fldChar w:fldCharType="begin"/>
          </w:r>
          <w:r>
            <w:instrText xml:space="preserve"> HYPERLINK \l "bookmark38" </w:instrText>
          </w:r>
          <w:r>
            <w:fldChar w:fldCharType="separate"/>
          </w:r>
          <w:r>
            <w:rPr>
              <w:rFonts w:ascii="Times New Roman" w:hAnsi="Times New Roman" w:eastAsia="Times New Roman" w:cs="Times New Roman"/>
              <w:spacing w:val="-4"/>
              <w:sz w:val="20"/>
              <w:szCs w:val="20"/>
            </w:rPr>
            <w:t>10.2</w:t>
          </w:r>
          <w:r>
            <w:rPr>
              <w:rFonts w:ascii="Times New Roman" w:hAnsi="Times New Roman" w:eastAsia="Times New Roman" w:cs="Times New Roman"/>
              <w:spacing w:val="6"/>
              <w:sz w:val="20"/>
              <w:szCs w:val="20"/>
            </w:rPr>
            <w:t xml:space="preserve">     </w:t>
          </w:r>
          <w:r>
            <w:rPr>
              <w:rFonts w:ascii="黑体" w:hAnsi="黑体" w:eastAsia="黑体" w:cs="黑体"/>
              <w:spacing w:val="-4"/>
              <w:sz w:val="20"/>
              <w:szCs w:val="20"/>
            </w:rPr>
            <w:t>工程合同管理</w:t>
          </w:r>
          <w:r>
            <w:rPr>
              <w:rFonts w:ascii="黑体" w:hAnsi="黑体" w:eastAsia="黑体" w:cs="黑体"/>
              <w:spacing w:val="-61"/>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313</w:t>
          </w:r>
          <w:r>
            <w:rPr>
              <w:rFonts w:ascii="Times New Roman" w:hAnsi="Times New Roman" w:eastAsia="Times New Roman" w:cs="Times New Roman"/>
              <w:spacing w:val="-1"/>
              <w:sz w:val="20"/>
              <w:szCs w:val="20"/>
            </w:rPr>
            <w:fldChar w:fldCharType="end"/>
          </w:r>
        </w:p>
        <w:p w14:paraId="519CA21C">
          <w:pPr>
            <w:tabs>
              <w:tab w:val="right" w:leader="dot" w:pos="9280"/>
            </w:tabs>
            <w:spacing w:before="286" w:line="222" w:lineRule="auto"/>
            <w:ind w:left="1542"/>
            <w:rPr>
              <w:rFonts w:ascii="Times New Roman" w:hAnsi="Times New Roman" w:eastAsia="Times New Roman" w:cs="Times New Roman"/>
              <w:sz w:val="20"/>
              <w:szCs w:val="20"/>
            </w:rPr>
          </w:pPr>
          <w:r>
            <w:fldChar w:fldCharType="begin"/>
          </w:r>
          <w:r>
            <w:instrText xml:space="preserve"> HYPERLINK \l "bookmark39" </w:instrText>
          </w:r>
          <w:r>
            <w:fldChar w:fldCharType="separate"/>
          </w:r>
          <w:r>
            <w:rPr>
              <w:rFonts w:ascii="黑体" w:hAnsi="黑体" w:eastAsia="黑体" w:cs="黑体"/>
              <w:b/>
              <w:bCs/>
              <w:color w:val="307090"/>
              <w:spacing w:val="-10"/>
              <w:sz w:val="20"/>
              <w:szCs w:val="20"/>
            </w:rPr>
            <w:t>第</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1</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1</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章</w:t>
          </w:r>
          <w:r>
            <w:rPr>
              <w:rFonts w:ascii="黑体" w:hAnsi="黑体" w:eastAsia="黑体" w:cs="黑体"/>
              <w:color w:val="307090"/>
              <w:spacing w:val="72"/>
              <w:sz w:val="20"/>
              <w:szCs w:val="20"/>
            </w:rPr>
            <w:t xml:space="preserve"> </w:t>
          </w:r>
          <w:r>
            <w:rPr>
              <w:rFonts w:ascii="黑体" w:hAnsi="黑体" w:eastAsia="黑体" w:cs="黑体"/>
              <w:b/>
              <w:bCs/>
              <w:color w:val="307090"/>
              <w:spacing w:val="-10"/>
              <w:sz w:val="20"/>
              <w:szCs w:val="20"/>
            </w:rPr>
            <w:t>施</w:t>
          </w:r>
          <w:r>
            <w:rPr>
              <w:rFonts w:ascii="黑体" w:hAnsi="黑体" w:eastAsia="黑体" w:cs="黑体"/>
              <w:color w:val="307090"/>
              <w:spacing w:val="-26"/>
              <w:sz w:val="20"/>
              <w:szCs w:val="20"/>
            </w:rPr>
            <w:t xml:space="preserve"> </w:t>
          </w:r>
          <w:r>
            <w:rPr>
              <w:rFonts w:ascii="黑体" w:hAnsi="黑体" w:eastAsia="黑体" w:cs="黑体"/>
              <w:b/>
              <w:bCs/>
              <w:color w:val="307090"/>
              <w:spacing w:val="-10"/>
              <w:sz w:val="20"/>
              <w:szCs w:val="20"/>
            </w:rPr>
            <w:t>工</w:t>
          </w:r>
          <w:r>
            <w:rPr>
              <w:rFonts w:ascii="黑体" w:hAnsi="黑体" w:eastAsia="黑体" w:cs="黑体"/>
              <w:color w:val="307090"/>
              <w:spacing w:val="-28"/>
              <w:sz w:val="20"/>
              <w:szCs w:val="20"/>
            </w:rPr>
            <w:t xml:space="preserve"> </w:t>
          </w:r>
          <w:r>
            <w:rPr>
              <w:rFonts w:ascii="黑体" w:hAnsi="黑体" w:eastAsia="黑体" w:cs="黑体"/>
              <w:b/>
              <w:bCs/>
              <w:color w:val="307090"/>
              <w:spacing w:val="-10"/>
              <w:sz w:val="20"/>
              <w:szCs w:val="20"/>
            </w:rPr>
            <w:t>进</w:t>
          </w:r>
          <w:r>
            <w:rPr>
              <w:rFonts w:ascii="黑体" w:hAnsi="黑体" w:eastAsia="黑体" w:cs="黑体"/>
              <w:color w:val="307090"/>
              <w:spacing w:val="-26"/>
              <w:sz w:val="20"/>
              <w:szCs w:val="20"/>
            </w:rPr>
            <w:t xml:space="preserve"> </w:t>
          </w:r>
          <w:r>
            <w:rPr>
              <w:rFonts w:ascii="黑体" w:hAnsi="黑体" w:eastAsia="黑体" w:cs="黑体"/>
              <w:b/>
              <w:bCs/>
              <w:color w:val="307090"/>
              <w:spacing w:val="-10"/>
              <w:sz w:val="20"/>
              <w:szCs w:val="20"/>
            </w:rPr>
            <w:t>度</w:t>
          </w:r>
          <w:r>
            <w:rPr>
              <w:rFonts w:ascii="黑体" w:hAnsi="黑体" w:eastAsia="黑体" w:cs="黑体"/>
              <w:color w:val="307090"/>
              <w:spacing w:val="-25"/>
              <w:sz w:val="20"/>
              <w:szCs w:val="20"/>
            </w:rPr>
            <w:t xml:space="preserve"> </w:t>
          </w:r>
          <w:r>
            <w:rPr>
              <w:rFonts w:ascii="黑体" w:hAnsi="黑体" w:eastAsia="黑体" w:cs="黑体"/>
              <w:b/>
              <w:bCs/>
              <w:color w:val="307090"/>
              <w:spacing w:val="-10"/>
              <w:sz w:val="20"/>
              <w:szCs w:val="20"/>
            </w:rPr>
            <w:t>管</w:t>
          </w:r>
          <w:r>
            <w:rPr>
              <w:rFonts w:ascii="黑体" w:hAnsi="黑体" w:eastAsia="黑体" w:cs="黑体"/>
              <w:color w:val="307090"/>
              <w:spacing w:val="-27"/>
              <w:sz w:val="20"/>
              <w:szCs w:val="20"/>
            </w:rPr>
            <w:t xml:space="preserve"> </w:t>
          </w:r>
          <w:r>
            <w:rPr>
              <w:rFonts w:ascii="黑体" w:hAnsi="黑体" w:eastAsia="黑体" w:cs="黑体"/>
              <w:b/>
              <w:bCs/>
              <w:color w:val="307090"/>
              <w:spacing w:val="-10"/>
              <w:sz w:val="20"/>
              <w:szCs w:val="20"/>
            </w:rPr>
            <w:t>理</w:t>
          </w:r>
          <w:r>
            <w:rPr>
              <w:rFonts w:ascii="黑体" w:hAnsi="黑体" w:eastAsia="黑体" w:cs="黑体"/>
              <w:color w:val="307090"/>
              <w:spacing w:val="-85"/>
              <w:sz w:val="20"/>
              <w:szCs w:val="20"/>
            </w:rPr>
            <w:t xml:space="preserve"> </w:t>
          </w:r>
          <w:r>
            <w:rPr>
              <w:rFonts w:ascii="黑体" w:hAnsi="黑体" w:eastAsia="黑体" w:cs="黑体"/>
              <w:color w:val="307090"/>
              <w:sz w:val="20"/>
              <w:szCs w:val="20"/>
            </w:rPr>
            <w:tab/>
          </w:r>
          <w:r>
            <w:rPr>
              <w:rFonts w:ascii="Times New Roman" w:hAnsi="Times New Roman" w:eastAsia="Times New Roman" w:cs="Times New Roman"/>
              <w:color w:val="307090"/>
              <w:spacing w:val="7"/>
              <w:sz w:val="20"/>
              <w:szCs w:val="20"/>
            </w:rPr>
            <w:t>35</w:t>
          </w:r>
          <w:r>
            <w:rPr>
              <w:rFonts w:ascii="Times New Roman" w:hAnsi="Times New Roman" w:eastAsia="Times New Roman" w:cs="Times New Roman"/>
              <w:color w:val="307090"/>
              <w:spacing w:val="7"/>
              <w:sz w:val="20"/>
              <w:szCs w:val="20"/>
            </w:rPr>
            <w:fldChar w:fldCharType="end"/>
          </w:r>
        </w:p>
        <w:p w14:paraId="5C023448">
          <w:pPr>
            <w:tabs>
              <w:tab w:val="right" w:leader="dot" w:pos="9340"/>
            </w:tabs>
            <w:spacing w:before="183" w:line="222" w:lineRule="auto"/>
            <w:ind w:left="1769"/>
            <w:rPr>
              <w:rFonts w:ascii="Times New Roman" w:hAnsi="Times New Roman" w:eastAsia="Times New Roman" w:cs="Times New Roman"/>
              <w:sz w:val="20"/>
              <w:szCs w:val="20"/>
            </w:rPr>
          </w:pPr>
          <w:r>
            <w:fldChar w:fldCharType="begin"/>
          </w:r>
          <w:r>
            <w:instrText xml:space="preserve"> HYPERLINK \l "bookmark40" </w:instrText>
          </w:r>
          <w:r>
            <w:fldChar w:fldCharType="separate"/>
          </w:r>
          <w:r>
            <w:rPr>
              <w:rFonts w:ascii="Times New Roman" w:hAnsi="Times New Roman" w:eastAsia="Times New Roman" w:cs="Times New Roman"/>
              <w:spacing w:val="-2"/>
              <w:sz w:val="20"/>
              <w:szCs w:val="20"/>
            </w:rPr>
            <w:t>11.1</w:t>
          </w:r>
          <w:r>
            <w:rPr>
              <w:rFonts w:ascii="Times New Roman" w:hAnsi="Times New Roman" w:eastAsia="Times New Roman" w:cs="Times New Roman"/>
              <w:spacing w:val="7"/>
              <w:sz w:val="20"/>
              <w:szCs w:val="20"/>
            </w:rPr>
            <w:t xml:space="preserve">    </w:t>
          </w:r>
          <w:r>
            <w:rPr>
              <w:rFonts w:ascii="黑体" w:hAnsi="黑体" w:eastAsia="黑体" w:cs="黑体"/>
              <w:spacing w:val="-2"/>
              <w:sz w:val="20"/>
              <w:szCs w:val="20"/>
            </w:rPr>
            <w:t>工程建设程序</w:t>
          </w:r>
          <w:r>
            <w:rPr>
              <w:rFonts w:ascii="黑体" w:hAnsi="黑体" w:eastAsia="黑体" w:cs="黑体"/>
              <w:spacing w:val="-80"/>
              <w:sz w:val="20"/>
              <w:szCs w:val="20"/>
            </w:rPr>
            <w:t xml:space="preserve"> </w:t>
          </w:r>
          <w:r>
            <w:rPr>
              <w:rFonts w:ascii="黑体" w:hAnsi="黑体" w:eastAsia="黑体" w:cs="黑体"/>
              <w:sz w:val="20"/>
              <w:szCs w:val="20"/>
            </w:rPr>
            <w:tab/>
          </w:r>
          <w:r>
            <w:rPr>
              <w:rFonts w:ascii="Times New Roman" w:hAnsi="Times New Roman" w:eastAsia="Times New Roman" w:cs="Times New Roman"/>
              <w:spacing w:val="7"/>
              <w:sz w:val="20"/>
              <w:szCs w:val="20"/>
            </w:rPr>
            <w:t>35</w:t>
          </w:r>
          <w:r>
            <w:rPr>
              <w:rFonts w:ascii="Times New Roman" w:hAnsi="Times New Roman" w:eastAsia="Times New Roman" w:cs="Times New Roman"/>
              <w:spacing w:val="7"/>
              <w:sz w:val="20"/>
              <w:szCs w:val="20"/>
            </w:rPr>
            <w:fldChar w:fldCharType="end"/>
          </w:r>
        </w:p>
        <w:p w14:paraId="20B57A32">
          <w:pPr>
            <w:tabs>
              <w:tab w:val="right" w:leader="dot" w:pos="9440"/>
            </w:tabs>
            <w:spacing w:before="79" w:line="222" w:lineRule="auto"/>
            <w:ind w:left="1769"/>
            <w:rPr>
              <w:rFonts w:ascii="Times New Roman" w:hAnsi="Times New Roman" w:eastAsia="Times New Roman" w:cs="Times New Roman"/>
              <w:sz w:val="20"/>
              <w:szCs w:val="20"/>
            </w:rPr>
          </w:pPr>
          <w:r>
            <w:fldChar w:fldCharType="begin"/>
          </w:r>
          <w:r>
            <w:instrText xml:space="preserve"> HYPERLINK \l "bookmark41" </w:instrText>
          </w:r>
          <w:r>
            <w:fldChar w:fldCharType="separate"/>
          </w:r>
          <w:r>
            <w:rPr>
              <w:rFonts w:ascii="Times New Roman" w:hAnsi="Times New Roman" w:eastAsia="Times New Roman" w:cs="Times New Roman"/>
              <w:spacing w:val="-4"/>
              <w:sz w:val="20"/>
              <w:szCs w:val="20"/>
            </w:rPr>
            <w:t>11.2</w:t>
          </w:r>
          <w:r>
            <w:rPr>
              <w:rFonts w:ascii="Times New Roman" w:hAnsi="Times New Roman" w:eastAsia="Times New Roman" w:cs="Times New Roman"/>
              <w:spacing w:val="12"/>
              <w:w w:val="101"/>
              <w:sz w:val="20"/>
              <w:szCs w:val="20"/>
            </w:rPr>
            <w:t xml:space="preserve">    </w:t>
          </w:r>
          <w:r>
            <w:rPr>
              <w:rFonts w:ascii="黑体" w:hAnsi="黑体" w:eastAsia="黑体" w:cs="黑体"/>
              <w:spacing w:val="-4"/>
              <w:sz w:val="20"/>
              <w:szCs w:val="20"/>
            </w:rPr>
            <w:t>水利工程验收</w:t>
          </w:r>
          <w:r>
            <w:rPr>
              <w:rFonts w:ascii="黑体" w:hAnsi="黑体" w:eastAsia="黑体" w:cs="黑体"/>
              <w:spacing w:val="-61"/>
              <w:sz w:val="20"/>
              <w:szCs w:val="20"/>
            </w:rPr>
            <w:t xml:space="preserve"> </w:t>
          </w:r>
          <w:r>
            <w:rPr>
              <w:rFonts w:ascii="黑体" w:hAnsi="黑体" w:eastAsia="黑体" w:cs="黑体"/>
              <w:sz w:val="20"/>
              <w:szCs w:val="20"/>
            </w:rPr>
            <w:tab/>
          </w:r>
          <w:r>
            <w:rPr>
              <w:rFonts w:ascii="Times New Roman" w:hAnsi="Times New Roman" w:eastAsia="Times New Roman" w:cs="Times New Roman"/>
              <w:spacing w:val="-2"/>
              <w:sz w:val="20"/>
              <w:szCs w:val="20"/>
            </w:rPr>
            <w:t>343</w:t>
          </w:r>
          <w:r>
            <w:rPr>
              <w:rFonts w:ascii="Times New Roman" w:hAnsi="Times New Roman" w:eastAsia="Times New Roman" w:cs="Times New Roman"/>
              <w:spacing w:val="-2"/>
              <w:sz w:val="20"/>
              <w:szCs w:val="20"/>
            </w:rPr>
            <w:fldChar w:fldCharType="end"/>
          </w:r>
        </w:p>
        <w:p w14:paraId="4D9BA0C9">
          <w:pPr>
            <w:tabs>
              <w:tab w:val="right" w:leader="dot" w:pos="9370"/>
            </w:tabs>
            <w:spacing w:before="69" w:line="221" w:lineRule="auto"/>
            <w:ind w:left="1769"/>
            <w:rPr>
              <w:rFonts w:ascii="Times New Roman" w:hAnsi="Times New Roman" w:eastAsia="Times New Roman" w:cs="Times New Roman"/>
              <w:sz w:val="20"/>
              <w:szCs w:val="20"/>
            </w:rPr>
          </w:pPr>
          <w:r>
            <w:fldChar w:fldCharType="begin"/>
          </w:r>
          <w:r>
            <w:instrText xml:space="preserve"> HYPERLINK \l "bookmark42" </w:instrText>
          </w:r>
          <w:r>
            <w:fldChar w:fldCharType="separate"/>
          </w:r>
          <w:r>
            <w:rPr>
              <w:rFonts w:ascii="Times New Roman" w:hAnsi="Times New Roman" w:eastAsia="Times New Roman" w:cs="Times New Roman"/>
              <w:spacing w:val="-1"/>
              <w:sz w:val="20"/>
              <w:szCs w:val="20"/>
            </w:rPr>
            <w:t xml:space="preserve">11.3     </w:t>
          </w:r>
          <w:r>
            <w:rPr>
              <w:rFonts w:ascii="黑体" w:hAnsi="黑体" w:eastAsia="黑体" w:cs="黑体"/>
              <w:spacing w:val="-1"/>
              <w:sz w:val="20"/>
              <w:szCs w:val="20"/>
            </w:rPr>
            <w:t>水力发电工程验收</w:t>
          </w:r>
          <w:r>
            <w:rPr>
              <w:rFonts w:ascii="黑体" w:hAnsi="黑体" w:eastAsia="黑体" w:cs="黑体"/>
              <w:spacing w:val="-64"/>
              <w:sz w:val="20"/>
              <w:szCs w:val="20"/>
            </w:rPr>
            <w:t xml:space="preserve"> </w:t>
          </w:r>
          <w:r>
            <w:rPr>
              <w:rFonts w:ascii="黑体" w:hAnsi="黑体" w:eastAsia="黑体" w:cs="黑体"/>
              <w:sz w:val="20"/>
              <w:szCs w:val="20"/>
            </w:rPr>
            <w:tab/>
          </w:r>
          <w:r>
            <w:rPr>
              <w:rFonts w:ascii="Times New Roman" w:hAnsi="Times New Roman" w:eastAsia="Times New Roman" w:cs="Times New Roman"/>
              <w:sz w:val="20"/>
              <w:szCs w:val="20"/>
            </w:rPr>
            <w:t>372</w:t>
          </w:r>
          <w:r>
            <w:rPr>
              <w:rFonts w:ascii="Times New Roman" w:hAnsi="Times New Roman" w:eastAsia="Times New Roman" w:cs="Times New Roman"/>
              <w:sz w:val="20"/>
              <w:szCs w:val="20"/>
            </w:rPr>
            <w:fldChar w:fldCharType="end"/>
          </w:r>
        </w:p>
        <w:p w14:paraId="0A8A9259">
          <w:pPr>
            <w:tabs>
              <w:tab w:val="right" w:leader="dot" w:pos="9380"/>
            </w:tabs>
            <w:spacing w:before="278" w:line="222" w:lineRule="auto"/>
            <w:ind w:left="1542"/>
            <w:rPr>
              <w:rFonts w:ascii="Times New Roman" w:hAnsi="Times New Roman" w:eastAsia="Times New Roman" w:cs="Times New Roman"/>
              <w:sz w:val="20"/>
              <w:szCs w:val="20"/>
            </w:rPr>
          </w:pPr>
          <w:r>
            <w:fldChar w:fldCharType="begin"/>
          </w:r>
          <w:r>
            <w:instrText xml:space="preserve"> HYPERLINK \l "bookmark43" </w:instrText>
          </w:r>
          <w:r>
            <w:fldChar w:fldCharType="separate"/>
          </w:r>
          <w:r>
            <w:rPr>
              <w:rFonts w:ascii="黑体" w:hAnsi="黑体" w:eastAsia="黑体" w:cs="黑体"/>
              <w:b/>
              <w:bCs/>
              <w:color w:val="307090"/>
              <w:spacing w:val="-10"/>
              <w:sz w:val="20"/>
              <w:szCs w:val="20"/>
            </w:rPr>
            <w:t>第</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1</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2</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章</w:t>
          </w:r>
          <w:r>
            <w:rPr>
              <w:rFonts w:ascii="黑体" w:hAnsi="黑体" w:eastAsia="黑体" w:cs="黑体"/>
              <w:color w:val="307090"/>
              <w:spacing w:val="79"/>
              <w:sz w:val="20"/>
              <w:szCs w:val="20"/>
            </w:rPr>
            <w:t xml:space="preserve"> </w:t>
          </w:r>
          <w:r>
            <w:rPr>
              <w:rFonts w:ascii="黑体" w:hAnsi="黑体" w:eastAsia="黑体" w:cs="黑体"/>
              <w:b/>
              <w:bCs/>
              <w:color w:val="307090"/>
              <w:spacing w:val="-10"/>
              <w:sz w:val="20"/>
              <w:szCs w:val="20"/>
            </w:rPr>
            <w:t>施</w:t>
          </w:r>
          <w:r>
            <w:rPr>
              <w:rFonts w:ascii="黑体" w:hAnsi="黑体" w:eastAsia="黑体" w:cs="黑体"/>
              <w:color w:val="307090"/>
              <w:spacing w:val="-23"/>
              <w:sz w:val="20"/>
              <w:szCs w:val="20"/>
            </w:rPr>
            <w:t xml:space="preserve"> </w:t>
          </w:r>
          <w:r>
            <w:rPr>
              <w:rFonts w:ascii="黑体" w:hAnsi="黑体" w:eastAsia="黑体" w:cs="黑体"/>
              <w:b/>
              <w:bCs/>
              <w:color w:val="307090"/>
              <w:spacing w:val="-10"/>
              <w:sz w:val="20"/>
              <w:szCs w:val="20"/>
            </w:rPr>
            <w:t>工</w:t>
          </w:r>
          <w:r>
            <w:rPr>
              <w:rFonts w:ascii="黑体" w:hAnsi="黑体" w:eastAsia="黑体" w:cs="黑体"/>
              <w:color w:val="307090"/>
              <w:spacing w:val="-21"/>
              <w:sz w:val="20"/>
              <w:szCs w:val="20"/>
            </w:rPr>
            <w:t xml:space="preserve"> </w:t>
          </w:r>
          <w:r>
            <w:rPr>
              <w:rFonts w:ascii="黑体" w:hAnsi="黑体" w:eastAsia="黑体" w:cs="黑体"/>
              <w:b/>
              <w:bCs/>
              <w:color w:val="307090"/>
              <w:spacing w:val="-10"/>
              <w:sz w:val="20"/>
              <w:szCs w:val="20"/>
            </w:rPr>
            <w:t>质</w:t>
          </w:r>
          <w:r>
            <w:rPr>
              <w:rFonts w:ascii="黑体" w:hAnsi="黑体" w:eastAsia="黑体" w:cs="黑体"/>
              <w:color w:val="307090"/>
              <w:spacing w:val="-10"/>
              <w:sz w:val="20"/>
              <w:szCs w:val="20"/>
            </w:rPr>
            <w:t xml:space="preserve"> </w:t>
          </w:r>
          <w:r>
            <w:rPr>
              <w:rFonts w:ascii="黑体" w:hAnsi="黑体" w:eastAsia="黑体" w:cs="黑体"/>
              <w:b/>
              <w:bCs/>
              <w:color w:val="307090"/>
              <w:spacing w:val="-10"/>
              <w:sz w:val="20"/>
              <w:szCs w:val="20"/>
            </w:rPr>
            <w:t>量</w:t>
          </w:r>
          <w:r>
            <w:rPr>
              <w:rFonts w:ascii="黑体" w:hAnsi="黑体" w:eastAsia="黑体" w:cs="黑体"/>
              <w:color w:val="307090"/>
              <w:spacing w:val="-21"/>
              <w:sz w:val="20"/>
              <w:szCs w:val="20"/>
            </w:rPr>
            <w:t xml:space="preserve"> </w:t>
          </w:r>
          <w:r>
            <w:rPr>
              <w:rFonts w:ascii="黑体" w:hAnsi="黑体" w:eastAsia="黑体" w:cs="黑体"/>
              <w:b/>
              <w:bCs/>
              <w:color w:val="307090"/>
              <w:spacing w:val="-10"/>
              <w:sz w:val="20"/>
              <w:szCs w:val="20"/>
            </w:rPr>
            <w:t>管</w:t>
          </w:r>
          <w:r>
            <w:rPr>
              <w:rFonts w:ascii="黑体" w:hAnsi="黑体" w:eastAsia="黑体" w:cs="黑体"/>
              <w:color w:val="307090"/>
              <w:spacing w:val="-24"/>
              <w:sz w:val="20"/>
              <w:szCs w:val="20"/>
            </w:rPr>
            <w:t xml:space="preserve"> </w:t>
          </w:r>
          <w:r>
            <w:rPr>
              <w:rFonts w:ascii="黑体" w:hAnsi="黑体" w:eastAsia="黑体" w:cs="黑体"/>
              <w:b/>
              <w:bCs/>
              <w:color w:val="307090"/>
              <w:spacing w:val="-10"/>
              <w:sz w:val="20"/>
              <w:szCs w:val="20"/>
            </w:rPr>
            <w:t>理</w:t>
          </w:r>
          <w:r>
            <w:rPr>
              <w:rFonts w:ascii="黑体" w:hAnsi="黑体" w:eastAsia="黑体" w:cs="黑体"/>
              <w:color w:val="307090"/>
              <w:spacing w:val="-85"/>
              <w:sz w:val="20"/>
              <w:szCs w:val="20"/>
            </w:rPr>
            <w:t xml:space="preserve"> </w:t>
          </w:r>
          <w:r>
            <w:rPr>
              <w:rFonts w:ascii="黑体" w:hAnsi="黑体" w:eastAsia="黑体" w:cs="黑体"/>
              <w:color w:val="307090"/>
              <w:sz w:val="20"/>
              <w:szCs w:val="20"/>
            </w:rPr>
            <w:tab/>
          </w:r>
          <w:r>
            <w:rPr>
              <w:rFonts w:ascii="Times New Roman" w:hAnsi="Times New Roman" w:eastAsia="Times New Roman" w:cs="Times New Roman"/>
              <w:color w:val="307090"/>
              <w:spacing w:val="-1"/>
              <w:sz w:val="20"/>
              <w:szCs w:val="20"/>
            </w:rPr>
            <w:t>377</w:t>
          </w:r>
          <w:r>
            <w:rPr>
              <w:rFonts w:ascii="Times New Roman" w:hAnsi="Times New Roman" w:eastAsia="Times New Roman" w:cs="Times New Roman"/>
              <w:color w:val="307090"/>
              <w:spacing w:val="-1"/>
              <w:sz w:val="20"/>
              <w:szCs w:val="20"/>
            </w:rPr>
            <w:fldChar w:fldCharType="end"/>
          </w:r>
        </w:p>
        <w:p w14:paraId="7F20E017">
          <w:pPr>
            <w:tabs>
              <w:tab w:val="right" w:leader="dot" w:pos="9390"/>
            </w:tabs>
            <w:spacing w:before="202" w:line="221" w:lineRule="auto"/>
            <w:ind w:left="1769"/>
            <w:rPr>
              <w:rFonts w:ascii="Times New Roman" w:hAnsi="Times New Roman" w:eastAsia="Times New Roman" w:cs="Times New Roman"/>
              <w:sz w:val="20"/>
              <w:szCs w:val="20"/>
            </w:rPr>
          </w:pPr>
          <w:r>
            <w:fldChar w:fldCharType="begin"/>
          </w:r>
          <w:r>
            <w:instrText xml:space="preserve"> HYPERLINK \l "bookmark44" </w:instrText>
          </w:r>
          <w:r>
            <w:fldChar w:fldCharType="separate"/>
          </w:r>
          <w:r>
            <w:rPr>
              <w:rFonts w:ascii="Times New Roman" w:hAnsi="Times New Roman" w:eastAsia="Times New Roman" w:cs="Times New Roman"/>
              <w:spacing w:val="-1"/>
              <w:sz w:val="20"/>
              <w:szCs w:val="20"/>
            </w:rPr>
            <w:t>12.1</w:t>
          </w:r>
          <w:r>
            <w:rPr>
              <w:rFonts w:ascii="Times New Roman" w:hAnsi="Times New Roman" w:eastAsia="Times New Roman" w:cs="Times New Roman"/>
              <w:spacing w:val="13"/>
              <w:w w:val="101"/>
              <w:sz w:val="20"/>
              <w:szCs w:val="20"/>
            </w:rPr>
            <w:t xml:space="preserve">    </w:t>
          </w:r>
          <w:r>
            <w:rPr>
              <w:rFonts w:ascii="黑体" w:hAnsi="黑体" w:eastAsia="黑体" w:cs="黑体"/>
              <w:spacing w:val="-1"/>
              <w:sz w:val="20"/>
              <w:szCs w:val="20"/>
            </w:rPr>
            <w:t>水利水电工程质量职责与事故处理</w:t>
          </w:r>
          <w:r>
            <w:rPr>
              <w:rFonts w:ascii="黑体" w:hAnsi="黑体" w:eastAsia="黑体" w:cs="黑体"/>
              <w:spacing w:val="-86"/>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377</w:t>
          </w:r>
          <w:r>
            <w:rPr>
              <w:rFonts w:ascii="Times New Roman" w:hAnsi="Times New Roman" w:eastAsia="Times New Roman" w:cs="Times New Roman"/>
              <w:spacing w:val="-1"/>
              <w:sz w:val="20"/>
              <w:szCs w:val="20"/>
            </w:rPr>
            <w:fldChar w:fldCharType="end"/>
          </w:r>
        </w:p>
        <w:p w14:paraId="45B74096">
          <w:pPr>
            <w:tabs>
              <w:tab w:val="right" w:leader="dot" w:pos="9375"/>
            </w:tabs>
            <w:spacing w:before="71" w:line="222" w:lineRule="auto"/>
            <w:ind w:left="1769"/>
            <w:rPr>
              <w:rFonts w:ascii="Times New Roman" w:hAnsi="Times New Roman" w:eastAsia="Times New Roman" w:cs="Times New Roman"/>
              <w:sz w:val="20"/>
              <w:szCs w:val="20"/>
            </w:rPr>
          </w:pPr>
          <w:r>
            <w:fldChar w:fldCharType="begin"/>
          </w:r>
          <w:r>
            <w:instrText xml:space="preserve"> HYPERLINK \l "bookmark45" </w:instrText>
          </w:r>
          <w:r>
            <w:fldChar w:fldCharType="separate"/>
          </w:r>
          <w:r>
            <w:rPr>
              <w:rFonts w:ascii="Times New Roman" w:hAnsi="Times New Roman" w:eastAsia="Times New Roman" w:cs="Times New Roman"/>
              <w:sz w:val="20"/>
              <w:szCs w:val="20"/>
            </w:rPr>
            <w:t xml:space="preserve">12.2     </w:t>
          </w:r>
          <w:r>
            <w:rPr>
              <w:rFonts w:ascii="黑体" w:hAnsi="黑体" w:eastAsia="黑体" w:cs="黑体"/>
              <w:sz w:val="20"/>
              <w:szCs w:val="20"/>
            </w:rPr>
            <w:t>施工质量检验</w:t>
          </w:r>
          <w:r>
            <w:rPr>
              <w:rFonts w:ascii="黑体" w:hAnsi="黑体" w:eastAsia="黑体" w:cs="黑体"/>
              <w:spacing w:val="-71"/>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409</w:t>
          </w:r>
          <w:r>
            <w:rPr>
              <w:rFonts w:ascii="Times New Roman" w:hAnsi="Times New Roman" w:eastAsia="Times New Roman" w:cs="Times New Roman"/>
              <w:spacing w:val="1"/>
              <w:sz w:val="20"/>
              <w:szCs w:val="20"/>
            </w:rPr>
            <w:fldChar w:fldCharType="end"/>
          </w:r>
        </w:p>
        <w:p w14:paraId="443BEC32">
          <w:pPr>
            <w:tabs>
              <w:tab w:val="right" w:leader="dot" w:pos="9265"/>
            </w:tabs>
            <w:spacing w:before="277" w:line="222" w:lineRule="auto"/>
            <w:ind w:left="1542"/>
            <w:rPr>
              <w:rFonts w:ascii="Times New Roman" w:hAnsi="Times New Roman" w:eastAsia="Times New Roman" w:cs="Times New Roman"/>
              <w:sz w:val="20"/>
              <w:szCs w:val="20"/>
            </w:rPr>
          </w:pPr>
          <w:r>
            <w:fldChar w:fldCharType="begin"/>
          </w:r>
          <w:r>
            <w:instrText xml:space="preserve"> HYPERLINK \l "bookmark46" </w:instrText>
          </w:r>
          <w:r>
            <w:fldChar w:fldCharType="separate"/>
          </w:r>
          <w:r>
            <w:rPr>
              <w:rFonts w:ascii="黑体" w:hAnsi="黑体" w:eastAsia="黑体" w:cs="黑体"/>
              <w:b/>
              <w:bCs/>
              <w:color w:val="307090"/>
              <w:spacing w:val="-9"/>
              <w:sz w:val="20"/>
              <w:szCs w:val="20"/>
            </w:rPr>
            <w:t>第</w:t>
          </w:r>
          <w:r>
            <w:rPr>
              <w:rFonts w:ascii="黑体" w:hAnsi="黑体" w:eastAsia="黑体" w:cs="黑体"/>
              <w:color w:val="307090"/>
              <w:spacing w:val="-9"/>
              <w:sz w:val="20"/>
              <w:szCs w:val="20"/>
            </w:rPr>
            <w:t xml:space="preserve"> </w:t>
          </w:r>
          <w:r>
            <w:rPr>
              <w:rFonts w:ascii="黑体" w:hAnsi="黑体" w:eastAsia="黑体" w:cs="黑体"/>
              <w:b/>
              <w:bCs/>
              <w:color w:val="307090"/>
              <w:spacing w:val="-9"/>
              <w:sz w:val="20"/>
              <w:szCs w:val="20"/>
            </w:rPr>
            <w:t>1</w:t>
          </w:r>
          <w:r>
            <w:rPr>
              <w:rFonts w:ascii="黑体" w:hAnsi="黑体" w:eastAsia="黑体" w:cs="黑体"/>
              <w:color w:val="307090"/>
              <w:spacing w:val="-9"/>
              <w:sz w:val="20"/>
              <w:szCs w:val="20"/>
            </w:rPr>
            <w:t xml:space="preserve"> </w:t>
          </w:r>
          <w:r>
            <w:rPr>
              <w:rFonts w:ascii="黑体" w:hAnsi="黑体" w:eastAsia="黑体" w:cs="黑体"/>
              <w:b/>
              <w:bCs/>
              <w:color w:val="307090"/>
              <w:spacing w:val="-9"/>
              <w:sz w:val="20"/>
              <w:szCs w:val="20"/>
            </w:rPr>
            <w:t>3</w:t>
          </w:r>
          <w:r>
            <w:rPr>
              <w:rFonts w:ascii="黑体" w:hAnsi="黑体" w:eastAsia="黑体" w:cs="黑体"/>
              <w:color w:val="307090"/>
              <w:spacing w:val="2"/>
              <w:sz w:val="20"/>
              <w:szCs w:val="20"/>
            </w:rPr>
            <w:t xml:space="preserve"> </w:t>
          </w:r>
          <w:r>
            <w:rPr>
              <w:rFonts w:ascii="黑体" w:hAnsi="黑体" w:eastAsia="黑体" w:cs="黑体"/>
              <w:b/>
              <w:bCs/>
              <w:color w:val="307090"/>
              <w:spacing w:val="-9"/>
              <w:sz w:val="20"/>
              <w:szCs w:val="20"/>
            </w:rPr>
            <w:t>章</w:t>
          </w:r>
          <w:r>
            <w:rPr>
              <w:rFonts w:ascii="黑体" w:hAnsi="黑体" w:eastAsia="黑体" w:cs="黑体"/>
              <w:color w:val="307090"/>
              <w:spacing w:val="70"/>
              <w:sz w:val="20"/>
              <w:szCs w:val="20"/>
            </w:rPr>
            <w:t xml:space="preserve"> </w:t>
          </w:r>
          <w:r>
            <w:rPr>
              <w:rFonts w:ascii="黑体" w:hAnsi="黑体" w:eastAsia="黑体" w:cs="黑体"/>
              <w:b/>
              <w:bCs/>
              <w:color w:val="307090"/>
              <w:spacing w:val="-9"/>
              <w:sz w:val="20"/>
              <w:szCs w:val="20"/>
            </w:rPr>
            <w:t>施</w:t>
          </w:r>
          <w:r>
            <w:rPr>
              <w:rFonts w:ascii="黑体" w:hAnsi="黑体" w:eastAsia="黑体" w:cs="黑体"/>
              <w:color w:val="307090"/>
              <w:spacing w:val="-22"/>
              <w:sz w:val="20"/>
              <w:szCs w:val="20"/>
            </w:rPr>
            <w:t xml:space="preserve"> </w:t>
          </w:r>
          <w:r>
            <w:rPr>
              <w:rFonts w:ascii="黑体" w:hAnsi="黑体" w:eastAsia="黑体" w:cs="黑体"/>
              <w:b/>
              <w:bCs/>
              <w:color w:val="307090"/>
              <w:spacing w:val="-9"/>
              <w:sz w:val="20"/>
              <w:szCs w:val="20"/>
            </w:rPr>
            <w:t>工</w:t>
          </w:r>
          <w:r>
            <w:rPr>
              <w:rFonts w:ascii="黑体" w:hAnsi="黑体" w:eastAsia="黑体" w:cs="黑体"/>
              <w:color w:val="307090"/>
              <w:spacing w:val="-25"/>
              <w:sz w:val="20"/>
              <w:szCs w:val="20"/>
            </w:rPr>
            <w:t xml:space="preserve"> </w:t>
          </w:r>
          <w:r>
            <w:rPr>
              <w:rFonts w:ascii="黑体" w:hAnsi="黑体" w:eastAsia="黑体" w:cs="黑体"/>
              <w:b/>
              <w:bCs/>
              <w:color w:val="307090"/>
              <w:spacing w:val="-9"/>
              <w:sz w:val="20"/>
              <w:szCs w:val="20"/>
            </w:rPr>
            <w:t>成</w:t>
          </w:r>
          <w:r>
            <w:rPr>
              <w:rFonts w:ascii="黑体" w:hAnsi="黑体" w:eastAsia="黑体" w:cs="黑体"/>
              <w:color w:val="307090"/>
              <w:spacing w:val="-22"/>
              <w:sz w:val="20"/>
              <w:szCs w:val="20"/>
            </w:rPr>
            <w:t xml:space="preserve"> </w:t>
          </w:r>
          <w:r>
            <w:rPr>
              <w:rFonts w:ascii="黑体" w:hAnsi="黑体" w:eastAsia="黑体" w:cs="黑体"/>
              <w:b/>
              <w:bCs/>
              <w:color w:val="307090"/>
              <w:spacing w:val="-9"/>
              <w:sz w:val="20"/>
              <w:szCs w:val="20"/>
            </w:rPr>
            <w:t>本</w:t>
          </w:r>
          <w:r>
            <w:rPr>
              <w:rFonts w:ascii="黑体" w:hAnsi="黑体" w:eastAsia="黑体" w:cs="黑体"/>
              <w:color w:val="307090"/>
              <w:spacing w:val="-21"/>
              <w:sz w:val="20"/>
              <w:szCs w:val="20"/>
            </w:rPr>
            <w:t xml:space="preserve"> </w:t>
          </w:r>
          <w:r>
            <w:rPr>
              <w:rFonts w:ascii="黑体" w:hAnsi="黑体" w:eastAsia="黑体" w:cs="黑体"/>
              <w:b/>
              <w:bCs/>
              <w:color w:val="307090"/>
              <w:spacing w:val="-9"/>
              <w:sz w:val="20"/>
              <w:szCs w:val="20"/>
            </w:rPr>
            <w:t>管</w:t>
          </w:r>
          <w:r>
            <w:rPr>
              <w:rFonts w:ascii="黑体" w:hAnsi="黑体" w:eastAsia="黑体" w:cs="黑体"/>
              <w:color w:val="307090"/>
              <w:spacing w:val="-24"/>
              <w:sz w:val="20"/>
              <w:szCs w:val="20"/>
            </w:rPr>
            <w:t xml:space="preserve"> </w:t>
          </w:r>
          <w:r>
            <w:rPr>
              <w:rFonts w:ascii="黑体" w:hAnsi="黑体" w:eastAsia="黑体" w:cs="黑体"/>
              <w:b/>
              <w:bCs/>
              <w:color w:val="307090"/>
              <w:spacing w:val="-9"/>
              <w:sz w:val="20"/>
              <w:szCs w:val="20"/>
            </w:rPr>
            <w:t>理</w:t>
          </w:r>
          <w:r>
            <w:rPr>
              <w:rFonts w:ascii="黑体" w:hAnsi="黑体" w:eastAsia="黑体" w:cs="黑体"/>
              <w:color w:val="307090"/>
              <w:spacing w:val="-85"/>
              <w:sz w:val="20"/>
              <w:szCs w:val="20"/>
            </w:rPr>
            <w:t xml:space="preserve"> </w:t>
          </w:r>
          <w:r>
            <w:rPr>
              <w:rFonts w:ascii="黑体" w:hAnsi="黑体" w:eastAsia="黑体" w:cs="黑体"/>
              <w:color w:val="307090"/>
              <w:sz w:val="20"/>
              <w:szCs w:val="20"/>
            </w:rPr>
            <w:tab/>
          </w:r>
          <w:r>
            <w:rPr>
              <w:rFonts w:ascii="Times New Roman" w:hAnsi="Times New Roman" w:eastAsia="Times New Roman" w:cs="Times New Roman"/>
              <w:color w:val="307090"/>
              <w:spacing w:val="2"/>
              <w:sz w:val="20"/>
              <w:szCs w:val="20"/>
            </w:rPr>
            <w:t>44</w:t>
          </w:r>
          <w:r>
            <w:rPr>
              <w:rFonts w:ascii="Times New Roman" w:hAnsi="Times New Roman" w:eastAsia="Times New Roman" w:cs="Times New Roman"/>
              <w:color w:val="307090"/>
              <w:spacing w:val="2"/>
              <w:sz w:val="20"/>
              <w:szCs w:val="20"/>
            </w:rPr>
            <w:fldChar w:fldCharType="end"/>
          </w:r>
        </w:p>
        <w:p w14:paraId="6712C9C3">
          <w:pPr>
            <w:tabs>
              <w:tab w:val="right" w:leader="dot" w:pos="9285"/>
            </w:tabs>
            <w:spacing w:before="192" w:line="221" w:lineRule="auto"/>
            <w:ind w:left="1769"/>
            <w:rPr>
              <w:rFonts w:ascii="Times New Roman" w:hAnsi="Times New Roman" w:eastAsia="Times New Roman" w:cs="Times New Roman"/>
              <w:sz w:val="20"/>
              <w:szCs w:val="20"/>
            </w:rPr>
          </w:pPr>
          <w:r>
            <w:fldChar w:fldCharType="begin"/>
          </w:r>
          <w:r>
            <w:instrText xml:space="preserve"> HYPERLINK \l "bookmark47" </w:instrText>
          </w:r>
          <w:r>
            <w:fldChar w:fldCharType="separate"/>
          </w:r>
          <w:r>
            <w:rPr>
              <w:rFonts w:ascii="Times New Roman" w:hAnsi="Times New Roman" w:eastAsia="Times New Roman" w:cs="Times New Roman"/>
              <w:spacing w:val="-2"/>
              <w:sz w:val="20"/>
              <w:szCs w:val="20"/>
            </w:rPr>
            <w:t xml:space="preserve">13.1     </w:t>
          </w:r>
          <w:r>
            <w:rPr>
              <w:rFonts w:ascii="黑体" w:hAnsi="黑体" w:eastAsia="黑体" w:cs="黑体"/>
              <w:spacing w:val="-2"/>
              <w:sz w:val="20"/>
              <w:szCs w:val="20"/>
            </w:rPr>
            <w:t>水利水电工程概预算</w:t>
          </w:r>
          <w:r>
            <w:rPr>
              <w:rFonts w:ascii="黑体" w:hAnsi="黑体" w:eastAsia="黑体" w:cs="黑体"/>
              <w:spacing w:val="-55"/>
              <w:sz w:val="20"/>
              <w:szCs w:val="20"/>
            </w:rPr>
            <w:t xml:space="preserve"> </w:t>
          </w:r>
          <w:r>
            <w:rPr>
              <w:rFonts w:ascii="黑体" w:hAnsi="黑体" w:eastAsia="黑体" w:cs="黑体"/>
              <w:sz w:val="20"/>
              <w:szCs w:val="20"/>
            </w:rPr>
            <w:tab/>
          </w:r>
          <w:r>
            <w:rPr>
              <w:rFonts w:ascii="Times New Roman" w:hAnsi="Times New Roman" w:eastAsia="Times New Roman" w:cs="Times New Roman"/>
              <w:spacing w:val="2"/>
              <w:sz w:val="20"/>
              <w:szCs w:val="20"/>
            </w:rPr>
            <w:t>44</w:t>
          </w:r>
          <w:r>
            <w:rPr>
              <w:rFonts w:ascii="Times New Roman" w:hAnsi="Times New Roman" w:eastAsia="Times New Roman" w:cs="Times New Roman"/>
              <w:spacing w:val="2"/>
              <w:sz w:val="20"/>
              <w:szCs w:val="20"/>
            </w:rPr>
            <w:fldChar w:fldCharType="end"/>
          </w:r>
        </w:p>
        <w:p w14:paraId="15DD3601">
          <w:pPr>
            <w:tabs>
              <w:tab w:val="right" w:leader="dot" w:pos="9375"/>
            </w:tabs>
            <w:spacing w:before="82" w:line="222" w:lineRule="auto"/>
            <w:ind w:left="1769"/>
            <w:rPr>
              <w:rFonts w:ascii="Times New Roman" w:hAnsi="Times New Roman" w:eastAsia="Times New Roman" w:cs="Times New Roman"/>
              <w:sz w:val="20"/>
              <w:szCs w:val="20"/>
            </w:rPr>
          </w:pPr>
          <w:r>
            <w:fldChar w:fldCharType="begin"/>
          </w:r>
          <w:r>
            <w:instrText xml:space="preserve"> HYPERLINK \l "bookmark48" </w:instrText>
          </w:r>
          <w:r>
            <w:fldChar w:fldCharType="separate"/>
          </w:r>
          <w:r>
            <w:rPr>
              <w:rFonts w:ascii="Times New Roman" w:hAnsi="Times New Roman" w:eastAsia="Times New Roman" w:cs="Times New Roman"/>
              <w:spacing w:val="-1"/>
              <w:sz w:val="20"/>
              <w:szCs w:val="20"/>
            </w:rPr>
            <w:t>13.2</w:t>
          </w:r>
          <w:r>
            <w:rPr>
              <w:rFonts w:ascii="Times New Roman" w:hAnsi="Times New Roman" w:eastAsia="Times New Roman" w:cs="Times New Roman"/>
              <w:spacing w:val="5"/>
              <w:sz w:val="20"/>
              <w:szCs w:val="20"/>
            </w:rPr>
            <w:t xml:space="preserve">     </w:t>
          </w:r>
          <w:r>
            <w:rPr>
              <w:rFonts w:ascii="黑体" w:hAnsi="黑体" w:eastAsia="黑体" w:cs="黑体"/>
              <w:spacing w:val="-1"/>
              <w:sz w:val="20"/>
              <w:szCs w:val="20"/>
            </w:rPr>
            <w:t>阶段成本控制</w:t>
          </w:r>
          <w:r>
            <w:rPr>
              <w:rFonts w:ascii="黑体" w:hAnsi="黑体" w:eastAsia="黑体" w:cs="黑体"/>
              <w:spacing w:val="-86"/>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458</w:t>
          </w:r>
          <w:r>
            <w:rPr>
              <w:rFonts w:ascii="Times New Roman" w:hAnsi="Times New Roman" w:eastAsia="Times New Roman" w:cs="Times New Roman"/>
              <w:spacing w:val="1"/>
              <w:sz w:val="20"/>
              <w:szCs w:val="20"/>
            </w:rPr>
            <w:fldChar w:fldCharType="end"/>
          </w:r>
        </w:p>
      </w:sdtContent>
    </w:sdt>
    <w:p w14:paraId="50102845">
      <w:pPr>
        <w:spacing w:line="222" w:lineRule="auto"/>
        <w:rPr>
          <w:rFonts w:ascii="Times New Roman" w:hAnsi="Times New Roman" w:eastAsia="Times New Roman" w:cs="Times New Roman"/>
          <w:sz w:val="20"/>
          <w:szCs w:val="20"/>
        </w:rPr>
        <w:sectPr>
          <w:headerReference r:id="rId6" w:type="default"/>
          <w:footerReference r:id="rId7" w:type="default"/>
          <w:pgSz w:w="10320" w:h="14590"/>
          <w:pgMar w:top="326" w:right="16" w:bottom="224" w:left="0" w:header="18" w:footer="0" w:gutter="0"/>
          <w:cols w:space="720" w:num="1"/>
        </w:sectPr>
      </w:pPr>
    </w:p>
    <w:p w14:paraId="0B1A3155">
      <w:pPr>
        <w:pStyle w:val="2"/>
        <w:spacing w:line="249" w:lineRule="auto"/>
      </w:pPr>
    </w:p>
    <w:p w14:paraId="36F3DFD2">
      <w:pPr>
        <w:pStyle w:val="2"/>
        <w:spacing w:line="249" w:lineRule="auto"/>
      </w:pPr>
    </w:p>
    <w:p w14:paraId="0D9F3673">
      <w:pPr>
        <w:pStyle w:val="2"/>
        <w:spacing w:line="249" w:lineRule="auto"/>
      </w:pPr>
    </w:p>
    <w:p w14:paraId="16CA28F9">
      <w:pPr>
        <w:pStyle w:val="2"/>
        <w:spacing w:line="249" w:lineRule="auto"/>
      </w:pPr>
    </w:p>
    <w:sdt>
      <w:sdtPr>
        <w:rPr>
          <w:rFonts w:ascii="黑体" w:hAnsi="黑体" w:eastAsia="黑体" w:cs="黑体"/>
          <w:sz w:val="20"/>
          <w:szCs w:val="20"/>
        </w:rPr>
        <w:id w:val="147458754"/>
        <w:docPartObj>
          <w:docPartGallery w:val="Table of Contents"/>
          <w:docPartUnique/>
        </w:docPartObj>
      </w:sdtPr>
      <w:sdtEndPr>
        <w:rPr>
          <w:rFonts w:ascii="Times New Roman" w:hAnsi="Times New Roman" w:eastAsia="Times New Roman" w:cs="Times New Roman"/>
          <w:sz w:val="20"/>
          <w:szCs w:val="20"/>
        </w:rPr>
      </w:sdtEndPr>
      <w:sdtContent>
        <w:p w14:paraId="2D1E9820">
          <w:pPr>
            <w:tabs>
              <w:tab w:val="right" w:leader="dot" w:pos="8745"/>
            </w:tabs>
            <w:spacing w:before="65" w:line="222" w:lineRule="auto"/>
            <w:ind w:left="962"/>
            <w:rPr>
              <w:rFonts w:ascii="Times New Roman" w:hAnsi="Times New Roman" w:eastAsia="Times New Roman" w:cs="Times New Roman"/>
              <w:sz w:val="20"/>
              <w:szCs w:val="20"/>
            </w:rPr>
          </w:pPr>
          <w:r>
            <w:rPr>
              <w:rFonts w:ascii="黑体" w:hAnsi="黑体" w:eastAsia="黑体" w:cs="黑体"/>
              <w:b/>
              <w:bCs/>
              <w:color w:val="2080B0"/>
              <w:spacing w:val="-10"/>
              <w:sz w:val="20"/>
              <w:szCs w:val="20"/>
            </w:rPr>
            <w:t>第</w:t>
          </w:r>
          <w:r>
            <w:rPr>
              <w:rFonts w:ascii="黑体" w:hAnsi="黑体" w:eastAsia="黑体" w:cs="黑体"/>
              <w:color w:val="2080B0"/>
              <w:spacing w:val="-10"/>
              <w:sz w:val="20"/>
              <w:szCs w:val="20"/>
            </w:rPr>
            <w:t xml:space="preserve"> </w:t>
          </w:r>
          <w:r>
            <w:rPr>
              <w:rFonts w:ascii="黑体" w:hAnsi="黑体" w:eastAsia="黑体" w:cs="黑体"/>
              <w:b/>
              <w:bCs/>
              <w:color w:val="2080B0"/>
              <w:spacing w:val="-10"/>
              <w:sz w:val="20"/>
              <w:szCs w:val="20"/>
            </w:rPr>
            <w:t>1</w:t>
          </w:r>
          <w:r>
            <w:rPr>
              <w:rFonts w:ascii="黑体" w:hAnsi="黑体" w:eastAsia="黑体" w:cs="黑体"/>
              <w:color w:val="2080B0"/>
              <w:spacing w:val="-10"/>
              <w:sz w:val="20"/>
              <w:szCs w:val="20"/>
            </w:rPr>
            <w:t xml:space="preserve"> </w:t>
          </w:r>
          <w:r>
            <w:rPr>
              <w:rFonts w:ascii="黑体" w:hAnsi="黑体" w:eastAsia="黑体" w:cs="黑体"/>
              <w:b/>
              <w:bCs/>
              <w:color w:val="2080B0"/>
              <w:spacing w:val="-10"/>
              <w:sz w:val="20"/>
              <w:szCs w:val="20"/>
            </w:rPr>
            <w:t>4</w:t>
          </w:r>
          <w:r>
            <w:rPr>
              <w:rFonts w:ascii="黑体" w:hAnsi="黑体" w:eastAsia="黑体" w:cs="黑体"/>
              <w:color w:val="2080B0"/>
              <w:spacing w:val="7"/>
              <w:sz w:val="20"/>
              <w:szCs w:val="20"/>
            </w:rPr>
            <w:t xml:space="preserve"> </w:t>
          </w:r>
          <w:r>
            <w:rPr>
              <w:rFonts w:ascii="黑体" w:hAnsi="黑体" w:eastAsia="黑体" w:cs="黑体"/>
              <w:b/>
              <w:bCs/>
              <w:color w:val="2080B0"/>
              <w:spacing w:val="-10"/>
              <w:sz w:val="20"/>
              <w:szCs w:val="20"/>
            </w:rPr>
            <w:t>章</w:t>
          </w:r>
          <w:r>
            <w:rPr>
              <w:rFonts w:ascii="黑体" w:hAnsi="黑体" w:eastAsia="黑体" w:cs="黑体"/>
              <w:color w:val="2080B0"/>
              <w:spacing w:val="68"/>
              <w:sz w:val="20"/>
              <w:szCs w:val="20"/>
            </w:rPr>
            <w:t xml:space="preserve"> </w:t>
          </w:r>
          <w:r>
            <w:rPr>
              <w:rFonts w:ascii="黑体" w:hAnsi="黑体" w:eastAsia="黑体" w:cs="黑体"/>
              <w:b/>
              <w:bCs/>
              <w:color w:val="2080B0"/>
              <w:spacing w:val="-10"/>
              <w:sz w:val="20"/>
              <w:szCs w:val="20"/>
            </w:rPr>
            <w:t>施</w:t>
          </w:r>
          <w:r>
            <w:rPr>
              <w:rFonts w:ascii="黑体" w:hAnsi="黑体" w:eastAsia="黑体" w:cs="黑体"/>
              <w:color w:val="2080B0"/>
              <w:spacing w:val="-24"/>
              <w:sz w:val="20"/>
              <w:szCs w:val="20"/>
            </w:rPr>
            <w:t xml:space="preserve"> </w:t>
          </w:r>
          <w:r>
            <w:rPr>
              <w:rFonts w:ascii="黑体" w:hAnsi="黑体" w:eastAsia="黑体" w:cs="黑体"/>
              <w:b/>
              <w:bCs/>
              <w:color w:val="2080B0"/>
              <w:spacing w:val="-10"/>
              <w:sz w:val="20"/>
              <w:szCs w:val="20"/>
            </w:rPr>
            <w:t>工</w:t>
          </w:r>
          <w:r>
            <w:rPr>
              <w:rFonts w:ascii="黑体" w:hAnsi="黑体" w:eastAsia="黑体" w:cs="黑体"/>
              <w:color w:val="2080B0"/>
              <w:spacing w:val="-10"/>
              <w:sz w:val="20"/>
              <w:szCs w:val="20"/>
            </w:rPr>
            <w:t xml:space="preserve"> </w:t>
          </w:r>
          <w:r>
            <w:rPr>
              <w:rFonts w:ascii="黑体" w:hAnsi="黑体" w:eastAsia="黑体" w:cs="黑体"/>
              <w:b/>
              <w:bCs/>
              <w:color w:val="2080B0"/>
              <w:spacing w:val="-10"/>
              <w:sz w:val="20"/>
              <w:szCs w:val="20"/>
            </w:rPr>
            <w:t>安</w:t>
          </w:r>
          <w:r>
            <w:rPr>
              <w:rFonts w:ascii="黑体" w:hAnsi="黑体" w:eastAsia="黑体" w:cs="黑体"/>
              <w:color w:val="2080B0"/>
              <w:spacing w:val="-23"/>
              <w:sz w:val="20"/>
              <w:szCs w:val="20"/>
            </w:rPr>
            <w:t xml:space="preserve"> </w:t>
          </w:r>
          <w:r>
            <w:rPr>
              <w:rFonts w:ascii="黑体" w:hAnsi="黑体" w:eastAsia="黑体" w:cs="黑体"/>
              <w:b/>
              <w:bCs/>
              <w:color w:val="2080B0"/>
              <w:spacing w:val="-10"/>
              <w:sz w:val="20"/>
              <w:szCs w:val="20"/>
            </w:rPr>
            <w:t>全</w:t>
          </w:r>
          <w:r>
            <w:rPr>
              <w:rFonts w:ascii="黑体" w:hAnsi="黑体" w:eastAsia="黑体" w:cs="黑体"/>
              <w:color w:val="2080B0"/>
              <w:spacing w:val="-23"/>
              <w:sz w:val="20"/>
              <w:szCs w:val="20"/>
            </w:rPr>
            <w:t xml:space="preserve"> </w:t>
          </w:r>
          <w:r>
            <w:rPr>
              <w:rFonts w:ascii="黑体" w:hAnsi="黑体" w:eastAsia="黑体" w:cs="黑体"/>
              <w:b/>
              <w:bCs/>
              <w:color w:val="2080B0"/>
              <w:spacing w:val="-10"/>
              <w:sz w:val="20"/>
              <w:szCs w:val="20"/>
            </w:rPr>
            <w:t>管</w:t>
          </w:r>
          <w:r>
            <w:rPr>
              <w:rFonts w:ascii="黑体" w:hAnsi="黑体" w:eastAsia="黑体" w:cs="黑体"/>
              <w:color w:val="2080B0"/>
              <w:spacing w:val="-25"/>
              <w:sz w:val="20"/>
              <w:szCs w:val="20"/>
            </w:rPr>
            <w:t xml:space="preserve"> </w:t>
          </w:r>
          <w:r>
            <w:rPr>
              <w:rFonts w:ascii="黑体" w:hAnsi="黑体" w:eastAsia="黑体" w:cs="黑体"/>
              <w:b/>
              <w:bCs/>
              <w:color w:val="2080B0"/>
              <w:spacing w:val="-10"/>
              <w:sz w:val="20"/>
              <w:szCs w:val="20"/>
            </w:rPr>
            <w:t>理</w:t>
          </w:r>
          <w:r>
            <w:rPr>
              <w:rFonts w:ascii="黑体" w:hAnsi="黑体" w:eastAsia="黑体" w:cs="黑体"/>
              <w:color w:val="2080B0"/>
              <w:spacing w:val="-75"/>
              <w:sz w:val="20"/>
              <w:szCs w:val="20"/>
            </w:rPr>
            <w:t xml:space="preserve"> </w:t>
          </w:r>
          <w:r>
            <w:rPr>
              <w:rFonts w:ascii="黑体" w:hAnsi="黑体" w:eastAsia="黑体" w:cs="黑体"/>
              <w:color w:val="2080B0"/>
              <w:sz w:val="20"/>
              <w:szCs w:val="20"/>
            </w:rPr>
            <w:tab/>
          </w:r>
          <w:r>
            <w:rPr>
              <w:rFonts w:ascii="Times New Roman" w:hAnsi="Times New Roman" w:eastAsia="Times New Roman" w:cs="Times New Roman"/>
              <w:color w:val="2080B0"/>
              <w:spacing w:val="1"/>
              <w:sz w:val="20"/>
              <w:szCs w:val="20"/>
            </w:rPr>
            <w:t>470</w:t>
          </w:r>
        </w:p>
        <w:p w14:paraId="43C6EEAA">
          <w:pPr>
            <w:tabs>
              <w:tab w:val="right" w:leader="dot" w:pos="8755"/>
            </w:tabs>
            <w:spacing w:before="221" w:line="221" w:lineRule="auto"/>
            <w:ind w:left="116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14.1</w:t>
          </w:r>
          <w:r>
            <w:rPr>
              <w:rFonts w:ascii="Times New Roman" w:hAnsi="Times New Roman" w:eastAsia="Times New Roman" w:cs="Times New Roman"/>
              <w:spacing w:val="14"/>
              <w:w w:val="101"/>
              <w:sz w:val="20"/>
              <w:szCs w:val="20"/>
            </w:rPr>
            <w:t xml:space="preserve">    </w:t>
          </w:r>
          <w:r>
            <w:rPr>
              <w:rFonts w:ascii="黑体" w:hAnsi="黑体" w:eastAsia="黑体" w:cs="黑体"/>
              <w:spacing w:val="-1"/>
              <w:sz w:val="20"/>
              <w:szCs w:val="20"/>
            </w:rPr>
            <w:t>水利水电工程建设安全生产职责</w:t>
          </w:r>
          <w:r>
            <w:rPr>
              <w:rFonts w:ascii="黑体" w:hAnsi="黑体" w:eastAsia="黑体" w:cs="黑体"/>
              <w:spacing w:val="-81"/>
              <w:sz w:val="20"/>
              <w:szCs w:val="20"/>
            </w:rPr>
            <w:t xml:space="preserve"> </w:t>
          </w:r>
          <w:r>
            <w:rPr>
              <w:rFonts w:ascii="黑体" w:hAnsi="黑体" w:eastAsia="黑体" w:cs="黑体"/>
              <w:sz w:val="20"/>
              <w:szCs w:val="20"/>
            </w:rPr>
            <w:tab/>
          </w:r>
          <w:r>
            <w:rPr>
              <w:rFonts w:ascii="Times New Roman" w:hAnsi="Times New Roman" w:eastAsia="Times New Roman" w:cs="Times New Roman"/>
              <w:spacing w:val="1"/>
              <w:sz w:val="20"/>
              <w:szCs w:val="20"/>
            </w:rPr>
            <w:t>470</w:t>
          </w:r>
        </w:p>
        <w:p w14:paraId="0EAEFA28">
          <w:pPr>
            <w:tabs>
              <w:tab w:val="right" w:leader="dot" w:pos="8750"/>
            </w:tabs>
            <w:spacing w:before="81" w:line="222" w:lineRule="auto"/>
            <w:ind w:left="116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14.2     </w:t>
          </w:r>
          <w:r>
            <w:rPr>
              <w:rFonts w:ascii="黑体" w:hAnsi="黑体" w:eastAsia="黑体" w:cs="黑体"/>
              <w:spacing w:val="1"/>
              <w:sz w:val="20"/>
              <w:szCs w:val="20"/>
            </w:rPr>
            <w:t>水利水电工程建设风险管控</w:t>
          </w:r>
          <w:r>
            <w:rPr>
              <w:rFonts w:ascii="黑体" w:hAnsi="黑体" w:eastAsia="黑体" w:cs="黑体"/>
              <w:spacing w:val="-73"/>
              <w:sz w:val="20"/>
              <w:szCs w:val="20"/>
            </w:rPr>
            <w:t xml:space="preserve"> </w:t>
          </w:r>
          <w:r>
            <w:rPr>
              <w:rFonts w:ascii="黑体" w:hAnsi="黑体" w:eastAsia="黑体" w:cs="黑体"/>
              <w:sz w:val="20"/>
              <w:szCs w:val="20"/>
            </w:rPr>
            <w:tab/>
          </w:r>
          <w:r>
            <w:rPr>
              <w:rFonts w:ascii="黑体" w:hAnsi="黑体" w:eastAsia="黑体" w:cs="黑体"/>
              <w:spacing w:val="-36"/>
              <w:sz w:val="20"/>
              <w:szCs w:val="20"/>
            </w:rPr>
            <w:t xml:space="preserve"> </w:t>
          </w:r>
          <w:r>
            <w:rPr>
              <w:rFonts w:ascii="Times New Roman" w:hAnsi="Times New Roman" w:eastAsia="Times New Roman" w:cs="Times New Roman"/>
              <w:spacing w:val="-3"/>
              <w:sz w:val="20"/>
              <w:szCs w:val="20"/>
            </w:rPr>
            <w:t>507</w:t>
          </w:r>
        </w:p>
        <w:p w14:paraId="5F3DFEF1">
          <w:pPr>
            <w:tabs>
              <w:tab w:val="right" w:leader="dot" w:pos="8770"/>
            </w:tabs>
            <w:spacing w:before="266" w:line="221" w:lineRule="auto"/>
            <w:ind w:left="962"/>
            <w:rPr>
              <w:rFonts w:ascii="Times New Roman" w:hAnsi="Times New Roman" w:eastAsia="Times New Roman" w:cs="Times New Roman"/>
              <w:sz w:val="20"/>
              <w:szCs w:val="20"/>
            </w:rPr>
          </w:pPr>
          <w:r>
            <w:rPr>
              <w:rFonts w:ascii="黑体" w:hAnsi="黑体" w:eastAsia="黑体" w:cs="黑体"/>
              <w:b/>
              <w:bCs/>
              <w:color w:val="2080A0"/>
              <w:spacing w:val="-10"/>
              <w:sz w:val="20"/>
              <w:szCs w:val="20"/>
            </w:rPr>
            <w:t>第</w:t>
          </w:r>
          <w:r>
            <w:rPr>
              <w:rFonts w:ascii="黑体" w:hAnsi="黑体" w:eastAsia="黑体" w:cs="黑体"/>
              <w:color w:val="2080A0"/>
              <w:spacing w:val="-10"/>
              <w:sz w:val="20"/>
              <w:szCs w:val="20"/>
            </w:rPr>
            <w:t xml:space="preserve"> </w:t>
          </w:r>
          <w:r>
            <w:rPr>
              <w:rFonts w:ascii="黑体" w:hAnsi="黑体" w:eastAsia="黑体" w:cs="黑体"/>
              <w:b/>
              <w:bCs/>
              <w:color w:val="2080A0"/>
              <w:spacing w:val="-10"/>
              <w:sz w:val="20"/>
              <w:szCs w:val="20"/>
            </w:rPr>
            <w:t>1</w:t>
          </w:r>
          <w:r>
            <w:rPr>
              <w:rFonts w:ascii="黑体" w:hAnsi="黑体" w:eastAsia="黑体" w:cs="黑体"/>
              <w:color w:val="2080A0"/>
              <w:spacing w:val="-10"/>
              <w:sz w:val="20"/>
              <w:szCs w:val="20"/>
            </w:rPr>
            <w:t xml:space="preserve"> </w:t>
          </w:r>
          <w:r>
            <w:rPr>
              <w:rFonts w:ascii="黑体" w:hAnsi="黑体" w:eastAsia="黑体" w:cs="黑体"/>
              <w:b/>
              <w:bCs/>
              <w:color w:val="2080A0"/>
              <w:spacing w:val="-10"/>
              <w:sz w:val="20"/>
              <w:szCs w:val="20"/>
            </w:rPr>
            <w:t>5</w:t>
          </w:r>
          <w:r>
            <w:rPr>
              <w:rFonts w:ascii="黑体" w:hAnsi="黑体" w:eastAsia="黑体" w:cs="黑体"/>
              <w:color w:val="2080A0"/>
              <w:spacing w:val="-10"/>
              <w:sz w:val="20"/>
              <w:szCs w:val="20"/>
            </w:rPr>
            <w:t xml:space="preserve"> </w:t>
          </w:r>
          <w:r>
            <w:rPr>
              <w:rFonts w:ascii="黑体" w:hAnsi="黑体" w:eastAsia="黑体" w:cs="黑体"/>
              <w:b/>
              <w:bCs/>
              <w:color w:val="2080A0"/>
              <w:spacing w:val="-10"/>
              <w:sz w:val="20"/>
              <w:szCs w:val="20"/>
            </w:rPr>
            <w:t>章</w:t>
          </w:r>
          <w:r>
            <w:rPr>
              <w:rFonts w:ascii="黑体" w:hAnsi="黑体" w:eastAsia="黑体" w:cs="黑体"/>
              <w:color w:val="2080A0"/>
              <w:spacing w:val="71"/>
              <w:sz w:val="20"/>
              <w:szCs w:val="20"/>
            </w:rPr>
            <w:t xml:space="preserve"> </w:t>
          </w:r>
          <w:r>
            <w:rPr>
              <w:rFonts w:ascii="黑体" w:hAnsi="黑体" w:eastAsia="黑体" w:cs="黑体"/>
              <w:b/>
              <w:bCs/>
              <w:color w:val="2080A0"/>
              <w:spacing w:val="-10"/>
              <w:sz w:val="20"/>
              <w:szCs w:val="20"/>
            </w:rPr>
            <w:t>绿</w:t>
          </w:r>
          <w:r>
            <w:rPr>
              <w:rFonts w:ascii="黑体" w:hAnsi="黑体" w:eastAsia="黑体" w:cs="黑体"/>
              <w:color w:val="2080A0"/>
              <w:spacing w:val="-37"/>
              <w:sz w:val="20"/>
              <w:szCs w:val="20"/>
            </w:rPr>
            <w:t xml:space="preserve"> </w:t>
          </w:r>
          <w:r>
            <w:rPr>
              <w:rFonts w:ascii="黑体" w:hAnsi="黑体" w:eastAsia="黑体" w:cs="黑体"/>
              <w:b/>
              <w:bCs/>
              <w:color w:val="2080A0"/>
              <w:spacing w:val="-10"/>
              <w:sz w:val="20"/>
              <w:szCs w:val="20"/>
            </w:rPr>
            <w:t>色</w:t>
          </w:r>
          <w:r>
            <w:rPr>
              <w:rFonts w:ascii="黑体" w:hAnsi="黑体" w:eastAsia="黑体" w:cs="黑体"/>
              <w:color w:val="2080A0"/>
              <w:spacing w:val="-38"/>
              <w:sz w:val="20"/>
              <w:szCs w:val="20"/>
            </w:rPr>
            <w:t xml:space="preserve"> </w:t>
          </w:r>
          <w:r>
            <w:rPr>
              <w:rFonts w:ascii="黑体" w:hAnsi="黑体" w:eastAsia="黑体" w:cs="黑体"/>
              <w:b/>
              <w:bCs/>
              <w:color w:val="2080A0"/>
              <w:spacing w:val="-10"/>
              <w:sz w:val="20"/>
              <w:szCs w:val="20"/>
            </w:rPr>
            <w:t>建</w:t>
          </w:r>
          <w:r>
            <w:rPr>
              <w:rFonts w:ascii="黑体" w:hAnsi="黑体" w:eastAsia="黑体" w:cs="黑体"/>
              <w:color w:val="2080A0"/>
              <w:spacing w:val="-41"/>
              <w:sz w:val="20"/>
              <w:szCs w:val="20"/>
            </w:rPr>
            <w:t xml:space="preserve"> </w:t>
          </w:r>
          <w:r>
            <w:rPr>
              <w:rFonts w:ascii="黑体" w:hAnsi="黑体" w:eastAsia="黑体" w:cs="黑体"/>
              <w:b/>
              <w:bCs/>
              <w:color w:val="2080A0"/>
              <w:spacing w:val="-10"/>
              <w:sz w:val="20"/>
              <w:szCs w:val="20"/>
            </w:rPr>
            <w:t>造</w:t>
          </w:r>
          <w:r>
            <w:rPr>
              <w:rFonts w:ascii="黑体" w:hAnsi="黑体" w:eastAsia="黑体" w:cs="黑体"/>
              <w:color w:val="2080A0"/>
              <w:spacing w:val="-39"/>
              <w:sz w:val="20"/>
              <w:szCs w:val="20"/>
            </w:rPr>
            <w:t xml:space="preserve"> </w:t>
          </w:r>
          <w:r>
            <w:rPr>
              <w:rFonts w:ascii="黑体" w:hAnsi="黑体" w:eastAsia="黑体" w:cs="黑体"/>
              <w:b/>
              <w:bCs/>
              <w:color w:val="2080A0"/>
              <w:spacing w:val="-10"/>
              <w:sz w:val="20"/>
              <w:szCs w:val="20"/>
            </w:rPr>
            <w:t>及</w:t>
          </w:r>
          <w:r>
            <w:rPr>
              <w:rFonts w:ascii="黑体" w:hAnsi="黑体" w:eastAsia="黑体" w:cs="黑体"/>
              <w:color w:val="2080A0"/>
              <w:spacing w:val="-40"/>
              <w:sz w:val="20"/>
              <w:szCs w:val="20"/>
            </w:rPr>
            <w:t xml:space="preserve"> </w:t>
          </w:r>
          <w:r>
            <w:rPr>
              <w:rFonts w:ascii="黑体" w:hAnsi="黑体" w:eastAsia="黑体" w:cs="黑体"/>
              <w:b/>
              <w:bCs/>
              <w:color w:val="2080A0"/>
              <w:spacing w:val="-10"/>
              <w:sz w:val="20"/>
              <w:szCs w:val="20"/>
            </w:rPr>
            <w:t>施</w:t>
          </w:r>
          <w:r>
            <w:rPr>
              <w:rFonts w:ascii="黑体" w:hAnsi="黑体" w:eastAsia="黑体" w:cs="黑体"/>
              <w:color w:val="2080A0"/>
              <w:spacing w:val="-38"/>
              <w:sz w:val="20"/>
              <w:szCs w:val="20"/>
            </w:rPr>
            <w:t xml:space="preserve"> </w:t>
          </w:r>
          <w:r>
            <w:rPr>
              <w:rFonts w:ascii="黑体" w:hAnsi="黑体" w:eastAsia="黑体" w:cs="黑体"/>
              <w:b/>
              <w:bCs/>
              <w:color w:val="2080A0"/>
              <w:spacing w:val="-10"/>
              <w:sz w:val="20"/>
              <w:szCs w:val="20"/>
            </w:rPr>
            <w:t>工</w:t>
          </w:r>
          <w:r>
            <w:rPr>
              <w:rFonts w:ascii="黑体" w:hAnsi="黑体" w:eastAsia="黑体" w:cs="黑体"/>
              <w:color w:val="2080A0"/>
              <w:spacing w:val="-39"/>
              <w:sz w:val="20"/>
              <w:szCs w:val="20"/>
            </w:rPr>
            <w:t xml:space="preserve"> </w:t>
          </w:r>
          <w:r>
            <w:rPr>
              <w:rFonts w:ascii="黑体" w:hAnsi="黑体" w:eastAsia="黑体" w:cs="黑体"/>
              <w:b/>
              <w:bCs/>
              <w:color w:val="2080A0"/>
              <w:spacing w:val="-10"/>
              <w:sz w:val="20"/>
              <w:szCs w:val="20"/>
            </w:rPr>
            <w:t>现</w:t>
          </w:r>
          <w:r>
            <w:rPr>
              <w:rFonts w:ascii="黑体" w:hAnsi="黑体" w:eastAsia="黑体" w:cs="黑体"/>
              <w:color w:val="2080A0"/>
              <w:spacing w:val="-40"/>
              <w:sz w:val="20"/>
              <w:szCs w:val="20"/>
            </w:rPr>
            <w:t xml:space="preserve"> </w:t>
          </w:r>
          <w:r>
            <w:rPr>
              <w:rFonts w:ascii="黑体" w:hAnsi="黑体" w:eastAsia="黑体" w:cs="黑体"/>
              <w:b/>
              <w:bCs/>
              <w:color w:val="2080A0"/>
              <w:spacing w:val="-10"/>
              <w:sz w:val="20"/>
              <w:szCs w:val="20"/>
            </w:rPr>
            <w:t>场</w:t>
          </w:r>
          <w:r>
            <w:rPr>
              <w:rFonts w:ascii="黑体" w:hAnsi="黑体" w:eastAsia="黑体" w:cs="黑体"/>
              <w:color w:val="2080A0"/>
              <w:spacing w:val="-39"/>
              <w:sz w:val="20"/>
              <w:szCs w:val="20"/>
            </w:rPr>
            <w:t xml:space="preserve"> </w:t>
          </w:r>
          <w:r>
            <w:rPr>
              <w:rFonts w:ascii="黑体" w:hAnsi="黑体" w:eastAsia="黑体" w:cs="黑体"/>
              <w:b/>
              <w:bCs/>
              <w:color w:val="2080A0"/>
              <w:spacing w:val="-10"/>
              <w:sz w:val="20"/>
              <w:szCs w:val="20"/>
            </w:rPr>
            <w:t>环</w:t>
          </w:r>
          <w:r>
            <w:rPr>
              <w:rFonts w:ascii="黑体" w:hAnsi="黑体" w:eastAsia="黑体" w:cs="黑体"/>
              <w:color w:val="2080A0"/>
              <w:spacing w:val="-38"/>
              <w:sz w:val="20"/>
              <w:szCs w:val="20"/>
            </w:rPr>
            <w:t xml:space="preserve"> </w:t>
          </w:r>
          <w:r>
            <w:rPr>
              <w:rFonts w:ascii="黑体" w:hAnsi="黑体" w:eastAsia="黑体" w:cs="黑体"/>
              <w:b/>
              <w:bCs/>
              <w:color w:val="2080A0"/>
              <w:spacing w:val="-10"/>
              <w:sz w:val="20"/>
              <w:szCs w:val="20"/>
            </w:rPr>
            <w:t>境</w:t>
          </w:r>
          <w:r>
            <w:rPr>
              <w:rFonts w:ascii="黑体" w:hAnsi="黑体" w:eastAsia="黑体" w:cs="黑体"/>
              <w:color w:val="2080A0"/>
              <w:spacing w:val="-37"/>
              <w:sz w:val="20"/>
              <w:szCs w:val="20"/>
            </w:rPr>
            <w:t xml:space="preserve"> </w:t>
          </w:r>
          <w:r>
            <w:rPr>
              <w:rFonts w:ascii="黑体" w:hAnsi="黑体" w:eastAsia="黑体" w:cs="黑体"/>
              <w:b/>
              <w:bCs/>
              <w:color w:val="2080A0"/>
              <w:spacing w:val="-10"/>
              <w:sz w:val="20"/>
              <w:szCs w:val="20"/>
            </w:rPr>
            <w:t>管</w:t>
          </w:r>
          <w:r>
            <w:rPr>
              <w:rFonts w:ascii="黑体" w:hAnsi="黑体" w:eastAsia="黑体" w:cs="黑体"/>
              <w:color w:val="2080A0"/>
              <w:spacing w:val="-40"/>
              <w:sz w:val="20"/>
              <w:szCs w:val="20"/>
            </w:rPr>
            <w:t xml:space="preserve"> </w:t>
          </w:r>
          <w:r>
            <w:rPr>
              <w:rFonts w:ascii="黑体" w:hAnsi="黑体" w:eastAsia="黑体" w:cs="黑体"/>
              <w:b/>
              <w:bCs/>
              <w:color w:val="2080A0"/>
              <w:spacing w:val="-10"/>
              <w:sz w:val="20"/>
              <w:szCs w:val="20"/>
            </w:rPr>
            <w:t>理</w:t>
          </w:r>
          <w:r>
            <w:rPr>
              <w:rFonts w:ascii="黑体" w:hAnsi="黑体" w:eastAsia="黑体" w:cs="黑体"/>
              <w:color w:val="2080A0"/>
              <w:spacing w:val="-75"/>
              <w:sz w:val="20"/>
              <w:szCs w:val="20"/>
            </w:rPr>
            <w:t xml:space="preserve"> </w:t>
          </w:r>
          <w:r>
            <w:rPr>
              <w:rFonts w:ascii="黑体" w:hAnsi="黑体" w:eastAsia="黑体" w:cs="黑体"/>
              <w:color w:val="3090A0"/>
              <w:sz w:val="20"/>
              <w:szCs w:val="20"/>
            </w:rPr>
            <w:tab/>
          </w:r>
          <w:r>
            <w:rPr>
              <w:rFonts w:ascii="黑体" w:hAnsi="黑体" w:eastAsia="黑体" w:cs="黑体"/>
              <w:color w:val="2080A0"/>
              <w:spacing w:val="-26"/>
              <w:sz w:val="20"/>
              <w:szCs w:val="20"/>
            </w:rPr>
            <w:t xml:space="preserve"> </w:t>
          </w:r>
          <w:r>
            <w:rPr>
              <w:rFonts w:ascii="Times New Roman" w:hAnsi="Times New Roman" w:eastAsia="Times New Roman" w:cs="Times New Roman"/>
              <w:color w:val="2080A0"/>
              <w:spacing w:val="-3"/>
              <w:sz w:val="20"/>
              <w:szCs w:val="20"/>
            </w:rPr>
            <w:t>534</w:t>
          </w:r>
        </w:p>
        <w:p w14:paraId="37398A88">
          <w:pPr>
            <w:tabs>
              <w:tab w:val="right" w:leader="dot" w:pos="8730"/>
            </w:tabs>
            <w:spacing w:before="213" w:line="221" w:lineRule="auto"/>
            <w:ind w:left="1169"/>
            <w:rPr>
              <w:rFonts w:ascii="Times New Roman" w:hAnsi="Times New Roman" w:eastAsia="Times New Roman" w:cs="Times New Roman"/>
              <w:sz w:val="20"/>
              <w:szCs w:val="20"/>
            </w:rPr>
          </w:pPr>
          <w:r>
            <w:rPr>
              <w:rFonts w:ascii="Times New Roman" w:hAnsi="Times New Roman" w:eastAsia="Times New Roman" w:cs="Times New Roman"/>
              <w:sz w:val="20"/>
              <w:szCs w:val="20"/>
            </w:rPr>
            <w:t>15.1</w:t>
          </w:r>
          <w:r>
            <w:rPr>
              <w:rFonts w:ascii="Times New Roman" w:hAnsi="Times New Roman" w:eastAsia="Times New Roman" w:cs="Times New Roman"/>
              <w:spacing w:val="11"/>
              <w:sz w:val="20"/>
              <w:szCs w:val="20"/>
            </w:rPr>
            <w:t xml:space="preserve">    </w:t>
          </w:r>
          <w:r>
            <w:rPr>
              <w:rFonts w:ascii="黑体" w:hAnsi="黑体" w:eastAsia="黑体" w:cs="黑体"/>
              <w:sz w:val="20"/>
              <w:szCs w:val="20"/>
            </w:rPr>
            <w:t>绿色建造</w:t>
          </w:r>
          <w:r>
            <w:rPr>
              <w:rFonts w:ascii="黑体" w:hAnsi="黑体" w:eastAsia="黑体" w:cs="黑体"/>
              <w:spacing w:val="-75"/>
              <w:sz w:val="20"/>
              <w:szCs w:val="20"/>
            </w:rPr>
            <w:t xml:space="preserve"> </w:t>
          </w:r>
          <w:r>
            <w:rPr>
              <w:rFonts w:ascii="黑体" w:hAnsi="黑体" w:eastAsia="黑体" w:cs="黑体"/>
              <w:sz w:val="20"/>
              <w:szCs w:val="20"/>
            </w:rPr>
            <w:tab/>
          </w:r>
          <w:r>
            <w:rPr>
              <w:rFonts w:ascii="黑体" w:hAnsi="黑体" w:eastAsia="黑体" w:cs="黑体"/>
              <w:spacing w:val="-26"/>
              <w:sz w:val="20"/>
              <w:szCs w:val="20"/>
            </w:rPr>
            <w:t xml:space="preserve"> </w:t>
          </w:r>
          <w:r>
            <w:rPr>
              <w:rFonts w:ascii="Times New Roman" w:hAnsi="Times New Roman" w:eastAsia="Times New Roman" w:cs="Times New Roman"/>
              <w:spacing w:val="-3"/>
              <w:sz w:val="20"/>
              <w:szCs w:val="20"/>
            </w:rPr>
            <w:t>534</w:t>
          </w:r>
        </w:p>
        <w:p w14:paraId="4C3876AD">
          <w:pPr>
            <w:tabs>
              <w:tab w:val="right" w:leader="dot" w:pos="8740"/>
            </w:tabs>
            <w:spacing w:before="71" w:line="222" w:lineRule="auto"/>
            <w:ind w:left="116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15.2     </w:t>
          </w:r>
          <w:r>
            <w:rPr>
              <w:rFonts w:ascii="黑体" w:hAnsi="黑体" w:eastAsia="黑体" w:cs="黑体"/>
              <w:spacing w:val="1"/>
              <w:sz w:val="20"/>
              <w:szCs w:val="20"/>
            </w:rPr>
            <w:t>施工现场环境管理</w:t>
          </w:r>
          <w:r>
            <w:rPr>
              <w:rFonts w:ascii="黑体" w:hAnsi="黑体" w:eastAsia="黑体" w:cs="黑体"/>
              <w:spacing w:val="-78"/>
              <w:sz w:val="20"/>
              <w:szCs w:val="20"/>
            </w:rPr>
            <w:t xml:space="preserve"> </w:t>
          </w:r>
          <w:r>
            <w:rPr>
              <w:rFonts w:ascii="黑体" w:hAnsi="黑体" w:eastAsia="黑体" w:cs="黑体"/>
              <w:sz w:val="20"/>
              <w:szCs w:val="20"/>
            </w:rPr>
            <w:tab/>
          </w:r>
          <w:r>
            <w:rPr>
              <w:rFonts w:ascii="黑体" w:hAnsi="黑体" w:eastAsia="黑体" w:cs="黑体"/>
              <w:spacing w:val="-36"/>
              <w:sz w:val="20"/>
              <w:szCs w:val="20"/>
            </w:rPr>
            <w:t xml:space="preserve"> </w:t>
          </w:r>
          <w:r>
            <w:rPr>
              <w:rFonts w:ascii="Times New Roman" w:hAnsi="Times New Roman" w:eastAsia="Times New Roman" w:cs="Times New Roman"/>
              <w:spacing w:val="-3"/>
              <w:sz w:val="20"/>
              <w:szCs w:val="20"/>
            </w:rPr>
            <w:t>540</w:t>
          </w:r>
        </w:p>
      </w:sdtContent>
    </w:sdt>
    <w:p w14:paraId="67A1722F">
      <w:pPr>
        <w:spacing w:line="222" w:lineRule="auto"/>
        <w:rPr>
          <w:rFonts w:ascii="Times New Roman" w:hAnsi="Times New Roman" w:eastAsia="Times New Roman" w:cs="Times New Roman"/>
          <w:sz w:val="20"/>
          <w:szCs w:val="20"/>
        </w:rPr>
        <w:sectPr>
          <w:headerReference r:id="rId8" w:type="default"/>
          <w:pgSz w:w="10320" w:h="14590"/>
          <w:pgMar w:top="346" w:right="16" w:bottom="224" w:left="0" w:header="38" w:footer="0" w:gutter="0"/>
          <w:cols w:space="720" w:num="1"/>
        </w:sectPr>
      </w:pPr>
    </w:p>
    <w:p w14:paraId="646DC70D">
      <w:pPr>
        <w:spacing w:line="212" w:lineRule="auto"/>
        <w:ind w:left="286"/>
        <w:rPr>
          <w:rFonts w:ascii="宋体" w:hAnsi="宋体" w:eastAsia="宋体" w:cs="宋体"/>
          <w:sz w:val="21"/>
          <w:szCs w:val="21"/>
        </w:rPr>
      </w:pPr>
      <w:r>
        <w:rPr>
          <w:rFonts w:hint="eastAsia" w:ascii="宋体" w:hAnsi="宋体" w:eastAsia="宋体" w:cs="宋体"/>
          <w:spacing w:val="28"/>
          <w:sz w:val="21"/>
          <w:szCs w:val="21"/>
          <w:lang w:eastAsia="zh-CN"/>
        </w:rPr>
        <w:t>大鱼社区</w:t>
      </w:r>
      <w:r>
        <w:rPr>
          <w:rFonts w:ascii="宋体" w:hAnsi="宋体" w:eastAsia="宋体" w:cs="宋体"/>
          <w:spacing w:val="28"/>
          <w:sz w:val="21"/>
          <w:szCs w:val="21"/>
        </w:rPr>
        <w:t>助你备考：少走弯路，快速通关!认准</w:t>
      </w:r>
      <w:r>
        <w:rPr>
          <w:rFonts w:ascii="Times New Roman" w:hAnsi="Times New Roman" w:eastAsia="Times New Roman" w:cs="Times New Roman"/>
          <w:sz w:val="21"/>
          <w:szCs w:val="21"/>
        </w:rPr>
        <w:t>VX</w:t>
      </w:r>
      <w:r>
        <w:rPr>
          <w:rFonts w:ascii="Times New Roman" w:hAnsi="Times New Roman" w:eastAsia="Times New Roman" w:cs="Times New Roman"/>
          <w:spacing w:val="28"/>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8"/>
          <w:sz w:val="21"/>
          <w:szCs w:val="21"/>
        </w:rPr>
        <w:t xml:space="preserve">       </w:t>
      </w:r>
      <w:r>
        <w:rPr>
          <w:rFonts w:ascii="宋体" w:hAnsi="宋体" w:eastAsia="宋体" w:cs="宋体"/>
          <w:spacing w:val="28"/>
          <w:sz w:val="21"/>
          <w:szCs w:val="21"/>
        </w:rPr>
        <w:t>(天道酬勤，白嫖勿</w:t>
      </w:r>
      <w:r>
        <w:rPr>
          <w:rFonts w:ascii="宋体" w:hAnsi="宋体" w:eastAsia="宋体" w:cs="宋体"/>
          <w:spacing w:val="27"/>
          <w:sz w:val="21"/>
          <w:szCs w:val="21"/>
        </w:rPr>
        <w:t>扰)</w:t>
      </w:r>
    </w:p>
    <w:p w14:paraId="194F43D2">
      <w:pPr>
        <w:pStyle w:val="2"/>
        <w:spacing w:line="260" w:lineRule="auto"/>
      </w:pPr>
    </w:p>
    <w:p w14:paraId="6FAA6945">
      <w:pPr>
        <w:pStyle w:val="2"/>
        <w:spacing w:line="260" w:lineRule="auto"/>
      </w:pPr>
    </w:p>
    <w:p w14:paraId="409917BE">
      <w:pPr>
        <w:pStyle w:val="2"/>
        <w:spacing w:line="261" w:lineRule="auto"/>
      </w:pPr>
    </w:p>
    <w:p w14:paraId="6F2346CE">
      <w:pPr>
        <w:pStyle w:val="2"/>
        <w:spacing w:line="261" w:lineRule="auto"/>
      </w:pPr>
    </w:p>
    <w:p w14:paraId="46470622">
      <w:pPr>
        <w:pStyle w:val="2"/>
        <w:spacing w:line="261" w:lineRule="auto"/>
      </w:pPr>
    </w:p>
    <w:p w14:paraId="435AFB01">
      <w:pPr>
        <w:pStyle w:val="2"/>
        <w:spacing w:line="261" w:lineRule="auto"/>
      </w:pPr>
    </w:p>
    <w:p w14:paraId="5CF22DAF">
      <w:pPr>
        <w:tabs>
          <w:tab w:val="left" w:pos="2722"/>
        </w:tabs>
        <w:spacing w:before="149" w:line="222" w:lineRule="auto"/>
        <w:ind w:left="1697"/>
        <w:rPr>
          <w:rFonts w:ascii="黑体" w:hAnsi="黑体" w:eastAsia="黑体" w:cs="黑体"/>
          <w:sz w:val="46"/>
          <w:szCs w:val="46"/>
        </w:rPr>
      </w:pPr>
      <w:r>
        <w:rPr>
          <w:rFonts w:ascii="黑体" w:hAnsi="黑体" w:eastAsia="黑体" w:cs="黑体"/>
          <w:color w:val="2080B0"/>
          <w:sz w:val="46"/>
          <w:szCs w:val="46"/>
          <w:u w:val="single" w:color="0000FF"/>
        </w:rPr>
        <w:tab/>
      </w:r>
      <w:r>
        <w:rPr>
          <w:rFonts w:ascii="黑体" w:hAnsi="黑体" w:eastAsia="黑体" w:cs="黑体"/>
          <w:b/>
          <w:bCs/>
          <w:color w:val="2080B0"/>
          <w:spacing w:val="12"/>
          <w:sz w:val="46"/>
          <w:szCs w:val="46"/>
          <w:u w:val="single" w:color="0000FF"/>
        </w:rPr>
        <w:t>第1篇</w:t>
      </w:r>
      <w:r>
        <w:rPr>
          <w:rFonts w:ascii="黑体" w:hAnsi="黑体" w:eastAsia="黑体" w:cs="黑体"/>
          <w:color w:val="2080B0"/>
          <w:spacing w:val="12"/>
          <w:sz w:val="46"/>
          <w:szCs w:val="46"/>
          <w:u w:val="single" w:color="0000FF"/>
        </w:rPr>
        <w:t xml:space="preserve">  </w:t>
      </w:r>
      <w:r>
        <w:rPr>
          <w:rFonts w:ascii="黑体" w:hAnsi="黑体" w:eastAsia="黑体" w:cs="黑体"/>
          <w:b/>
          <w:bCs/>
          <w:color w:val="2080B0"/>
          <w:spacing w:val="12"/>
          <w:sz w:val="46"/>
          <w:szCs w:val="46"/>
          <w:u w:val="single" w:color="0000FF"/>
        </w:rPr>
        <w:t>水利水电工程技术</w:t>
      </w:r>
      <w:r>
        <w:rPr>
          <w:rFonts w:ascii="黑体" w:hAnsi="黑体" w:eastAsia="黑体" w:cs="黑体"/>
          <w:color w:val="2080B0"/>
          <w:spacing w:val="1"/>
          <w:sz w:val="46"/>
          <w:szCs w:val="46"/>
          <w:u w:val="single" w:color="0000FF"/>
        </w:rPr>
        <w:t xml:space="preserve">     </w:t>
      </w:r>
    </w:p>
    <w:p w14:paraId="0063AD1C">
      <w:pPr>
        <w:pStyle w:val="2"/>
        <w:spacing w:line="385" w:lineRule="auto"/>
      </w:pPr>
    </w:p>
    <w:p w14:paraId="40E13177">
      <w:pPr>
        <w:spacing w:line="450" w:lineRule="exact"/>
        <w:ind w:firstLine="1566"/>
      </w:pPr>
      <w:r>
        <w:drawing>
          <wp:anchor distT="0" distB="0" distL="0" distR="0" simplePos="0" relativeHeight="251659264" behindDoc="1" locked="0" layoutInCell="1" allowOverlap="1">
            <wp:simplePos x="0" y="0"/>
            <wp:positionH relativeFrom="column">
              <wp:posOffset>5407660</wp:posOffset>
            </wp:positionH>
            <wp:positionV relativeFrom="paragraph">
              <wp:posOffset>457200</wp:posOffset>
            </wp:positionV>
            <wp:extent cx="590550" cy="5778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3"/>
                    <a:stretch>
                      <a:fillRect/>
                    </a:stretch>
                  </pic:blipFill>
                  <pic:spPr>
                    <a:xfrm>
                      <a:off x="0" y="0"/>
                      <a:ext cx="590574" cy="577836"/>
                    </a:xfrm>
                    <a:prstGeom prst="rect">
                      <a:avLst/>
                    </a:prstGeom>
                  </pic:spPr>
                </pic:pic>
              </a:graphicData>
            </a:graphic>
          </wp:anchor>
        </w:drawing>
      </w:r>
      <w:r>
        <w:rPr>
          <w:position w:val="-8"/>
        </w:rPr>
        <w:pict>
          <v:group id="_x0000_s1037" o:spid="_x0000_s1037" o:spt="203" style="height:22.5pt;width:392.55pt;" coordsize="7850,450">
            <o:lock v:ext="edit"/>
            <v:shape id="_x0000_s1038" o:spid="_x0000_s1038" o:spt="75" type="#_x0000_t75" style="position:absolute;left:0;top:0;height:450;width:7850;" filled="f" stroked="f" coordsize="21600,21600">
              <v:path/>
              <v:fill on="f" focussize="0,0"/>
              <v:stroke on="f"/>
              <v:imagedata r:id="rId24" o:title=""/>
              <o:lock v:ext="edit" aspectratio="t"/>
            </v:shape>
            <v:shape id="_x0000_s1039" o:spid="_x0000_s1039" o:spt="202" type="#_x0000_t202" style="position:absolute;left:-20;top:-20;height:490;width:7890;" filled="f" stroked="f" coordsize="21600,21600">
              <v:path/>
              <v:fill on="f" focussize="0,0"/>
              <v:stroke on="f"/>
              <v:imagedata o:title=""/>
              <o:lock v:ext="edit" aspectratio="f"/>
              <v:textbox inset="0mm,0mm,0mm,0mm">
                <w:txbxContent>
                  <w:p w14:paraId="47A303D4">
                    <w:pPr>
                      <w:spacing w:before="136" w:line="222" w:lineRule="auto"/>
                      <w:ind w:left="1524"/>
                      <w:rPr>
                        <w:rFonts w:ascii="黑体" w:hAnsi="黑体" w:eastAsia="黑体" w:cs="黑体"/>
                        <w:sz w:val="31"/>
                        <w:szCs w:val="31"/>
                      </w:rPr>
                    </w:pPr>
                    <w:r>
                      <w:rPr>
                        <w:rFonts w:ascii="黑体" w:hAnsi="黑体" w:eastAsia="黑体" w:cs="黑体"/>
                        <w:b/>
                        <w:bCs/>
                        <w:color w:val="FFFFFF"/>
                        <w:spacing w:val="3"/>
                        <w:sz w:val="31"/>
                        <w:szCs w:val="31"/>
                      </w:rPr>
                      <w:t>第</w:t>
                    </w:r>
                    <w:r>
                      <w:rPr>
                        <w:rFonts w:ascii="黑体" w:hAnsi="黑体" w:eastAsia="黑体" w:cs="黑体"/>
                        <w:color w:val="FFFFFF"/>
                        <w:spacing w:val="-32"/>
                        <w:sz w:val="31"/>
                        <w:szCs w:val="31"/>
                      </w:rPr>
                      <w:t xml:space="preserve"> </w:t>
                    </w:r>
                    <w:r>
                      <w:rPr>
                        <w:rFonts w:ascii="黑体" w:hAnsi="黑体" w:eastAsia="黑体" w:cs="黑体"/>
                        <w:b/>
                        <w:bCs/>
                        <w:color w:val="FFFFFF"/>
                        <w:spacing w:val="3"/>
                        <w:sz w:val="31"/>
                        <w:szCs w:val="31"/>
                      </w:rPr>
                      <w:t>1</w:t>
                    </w:r>
                    <w:r>
                      <w:rPr>
                        <w:rFonts w:ascii="黑体" w:hAnsi="黑体" w:eastAsia="黑体" w:cs="黑体"/>
                        <w:color w:val="FFFFFF"/>
                        <w:spacing w:val="-51"/>
                        <w:sz w:val="31"/>
                        <w:szCs w:val="31"/>
                      </w:rPr>
                      <w:t xml:space="preserve"> </w:t>
                    </w:r>
                    <w:r>
                      <w:rPr>
                        <w:rFonts w:ascii="黑体" w:hAnsi="黑体" w:eastAsia="黑体" w:cs="黑体"/>
                        <w:b/>
                        <w:bCs/>
                        <w:color w:val="FFFFFF"/>
                        <w:spacing w:val="3"/>
                        <w:sz w:val="31"/>
                        <w:szCs w:val="31"/>
                      </w:rPr>
                      <w:t>章</w:t>
                    </w:r>
                    <w:r>
                      <w:rPr>
                        <w:rFonts w:ascii="黑体" w:hAnsi="黑体" w:eastAsia="黑体" w:cs="黑体"/>
                        <w:color w:val="FFFFFF"/>
                        <w:spacing w:val="3"/>
                        <w:sz w:val="31"/>
                        <w:szCs w:val="31"/>
                      </w:rPr>
                      <w:t xml:space="preserve">  </w:t>
                    </w:r>
                    <w:r>
                      <w:rPr>
                        <w:rFonts w:ascii="黑体" w:hAnsi="黑体" w:eastAsia="黑体" w:cs="黑体"/>
                        <w:b/>
                        <w:bCs/>
                        <w:color w:val="FFFFFF"/>
                        <w:spacing w:val="3"/>
                        <w:sz w:val="31"/>
                        <w:szCs w:val="31"/>
                      </w:rPr>
                      <w:t>水利水电工程勘测与设计</w:t>
                    </w:r>
                  </w:p>
                </w:txbxContent>
              </v:textbox>
            </v:shape>
            <w10:wrap type="none"/>
            <w10:anchorlock/>
          </v:group>
        </w:pict>
      </w:r>
    </w:p>
    <w:p w14:paraId="26D73F22">
      <w:pPr>
        <w:spacing w:before="65"/>
      </w:pPr>
    </w:p>
    <w:tbl>
      <w:tblPr>
        <w:tblStyle w:val="5"/>
        <w:tblW w:w="7960" w:type="dxa"/>
        <w:tblInd w:w="148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6912"/>
        <w:gridCol w:w="1048"/>
      </w:tblGrid>
      <w:tr w14:paraId="2FD7B2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6912" w:type="dxa"/>
            <w:vAlign w:val="top"/>
          </w:tcPr>
          <w:p w14:paraId="151AF3C6">
            <w:pPr>
              <w:pStyle w:val="6"/>
              <w:spacing w:line="221" w:lineRule="auto"/>
              <w:ind w:left="4"/>
              <w:rPr>
                <w:rFonts w:ascii="黑体" w:hAnsi="黑体" w:eastAsia="黑体" w:cs="黑体"/>
                <w:sz w:val="31"/>
                <w:szCs w:val="31"/>
              </w:rPr>
            </w:pPr>
            <w:r>
              <w:rPr>
                <w:b/>
                <w:bCs/>
                <w:color w:val="2080A0"/>
                <w:spacing w:val="-14"/>
                <w:sz w:val="31"/>
                <w:szCs w:val="31"/>
              </w:rPr>
              <w:t>1.1</w:t>
            </w:r>
            <w:r>
              <w:rPr>
                <w:color w:val="2080A0"/>
                <w:spacing w:val="43"/>
                <w:sz w:val="31"/>
                <w:szCs w:val="31"/>
              </w:rPr>
              <w:t xml:space="preserve">  </w:t>
            </w:r>
            <w:r>
              <w:rPr>
                <w:rFonts w:ascii="黑体" w:hAnsi="黑体" w:eastAsia="黑体" w:cs="黑体"/>
                <w:b/>
                <w:bCs/>
                <w:color w:val="2080A0"/>
                <w:spacing w:val="-14"/>
                <w:sz w:val="31"/>
                <w:szCs w:val="31"/>
              </w:rPr>
              <w:t>水利水电工程勘测</w:t>
            </w:r>
          </w:p>
          <w:p w14:paraId="1E639801">
            <w:pPr>
              <w:pStyle w:val="6"/>
              <w:spacing w:before="145" w:line="222" w:lineRule="auto"/>
              <w:ind w:left="3"/>
              <w:rPr>
                <w:rFonts w:ascii="黑体" w:hAnsi="黑体" w:eastAsia="黑体" w:cs="黑体"/>
                <w:sz w:val="21"/>
                <w:szCs w:val="21"/>
              </w:rPr>
            </w:pPr>
            <w:r>
              <w:rPr>
                <w:b/>
                <w:bCs/>
                <w:color w:val="3070A0"/>
                <w:spacing w:val="13"/>
                <w:sz w:val="21"/>
                <w:szCs w:val="21"/>
              </w:rPr>
              <w:t>1.1.1</w:t>
            </w:r>
            <w:r>
              <w:rPr>
                <w:color w:val="3070A0"/>
                <w:spacing w:val="26"/>
                <w:sz w:val="21"/>
                <w:szCs w:val="21"/>
              </w:rPr>
              <w:t xml:space="preserve">   </w:t>
            </w:r>
            <w:r>
              <w:rPr>
                <w:rFonts w:ascii="黑体" w:hAnsi="黑体" w:eastAsia="黑体" w:cs="黑体"/>
                <w:b/>
                <w:bCs/>
                <w:color w:val="3070A0"/>
                <w:spacing w:val="13"/>
                <w:sz w:val="21"/>
                <w:szCs w:val="21"/>
              </w:rPr>
              <w:t>测量仪器的使用</w:t>
            </w:r>
          </w:p>
        </w:tc>
        <w:tc>
          <w:tcPr>
            <w:tcW w:w="1048" w:type="dxa"/>
            <w:vAlign w:val="top"/>
          </w:tcPr>
          <w:p w14:paraId="6F0E6D31">
            <w:pPr>
              <w:rPr>
                <w:rFonts w:ascii="Arial"/>
                <w:sz w:val="21"/>
              </w:rPr>
            </w:pPr>
          </w:p>
        </w:tc>
      </w:tr>
      <w:tr w14:paraId="6164DB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2" w:hRule="atLeast"/>
        </w:trPr>
        <w:tc>
          <w:tcPr>
            <w:tcW w:w="6912" w:type="dxa"/>
            <w:vAlign w:val="top"/>
          </w:tcPr>
          <w:p w14:paraId="2E27189A">
            <w:pPr>
              <w:spacing w:line="202" w:lineRule="exact"/>
              <w:rPr>
                <w:rFonts w:ascii="Arial"/>
                <w:sz w:val="17"/>
              </w:rPr>
            </w:pPr>
          </w:p>
        </w:tc>
        <w:tc>
          <w:tcPr>
            <w:tcW w:w="1048" w:type="dxa"/>
            <w:vAlign w:val="top"/>
          </w:tcPr>
          <w:p w14:paraId="70C729DF">
            <w:pPr>
              <w:spacing w:before="68" w:line="134" w:lineRule="exact"/>
              <w:ind w:left="368"/>
              <w:rPr>
                <w:rFonts w:ascii="黑体" w:hAnsi="黑体" w:eastAsia="黑体" w:cs="黑体"/>
                <w:sz w:val="16"/>
                <w:szCs w:val="16"/>
              </w:rPr>
            </w:pPr>
            <w:r>
              <w:rPr>
                <w:rFonts w:ascii="黑体" w:hAnsi="黑体" w:eastAsia="黑体" w:cs="黑体"/>
                <w:spacing w:val="8"/>
                <w:position w:val="-1"/>
                <w:sz w:val="16"/>
                <w:szCs w:val="16"/>
              </w:rPr>
              <w:t>第1章</w:t>
            </w:r>
          </w:p>
        </w:tc>
      </w:tr>
      <w:tr w14:paraId="4C88F8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8" w:hRule="atLeast"/>
        </w:trPr>
        <w:tc>
          <w:tcPr>
            <w:tcW w:w="6912" w:type="dxa"/>
            <w:vAlign w:val="top"/>
          </w:tcPr>
          <w:p w14:paraId="6718DDB2">
            <w:pPr>
              <w:pStyle w:val="6"/>
              <w:spacing w:line="182" w:lineRule="auto"/>
              <w:ind w:left="433"/>
              <w:rPr>
                <w:rFonts w:ascii="黑体" w:hAnsi="黑体" w:eastAsia="黑体" w:cs="黑体"/>
                <w:sz w:val="21"/>
                <w:szCs w:val="21"/>
              </w:rPr>
            </w:pPr>
            <w:r>
              <w:rPr>
                <w:b/>
                <w:bCs/>
                <w:color w:val="307090"/>
                <w:spacing w:val="5"/>
                <w:sz w:val="21"/>
                <w:szCs w:val="21"/>
              </w:rPr>
              <w:t>1.</w:t>
            </w:r>
            <w:r>
              <w:rPr>
                <w:color w:val="307090"/>
                <w:spacing w:val="-49"/>
                <w:sz w:val="21"/>
                <w:szCs w:val="21"/>
              </w:rPr>
              <w:t xml:space="preserve"> </w:t>
            </w:r>
            <w:r>
              <w:rPr>
                <w:rFonts w:ascii="黑体" w:hAnsi="黑体" w:eastAsia="黑体" w:cs="黑体"/>
                <w:b/>
                <w:bCs/>
                <w:color w:val="307090"/>
                <w:spacing w:val="5"/>
                <w:sz w:val="21"/>
                <w:szCs w:val="21"/>
              </w:rPr>
              <w:t>常用测量仪器及其作用</w:t>
            </w:r>
          </w:p>
        </w:tc>
        <w:tc>
          <w:tcPr>
            <w:tcW w:w="1048" w:type="dxa"/>
            <w:vAlign w:val="top"/>
          </w:tcPr>
          <w:p w14:paraId="4E8D9317">
            <w:pPr>
              <w:spacing w:before="55" w:line="201" w:lineRule="auto"/>
              <w:ind w:left="168"/>
              <w:rPr>
                <w:rFonts w:ascii="黑体" w:hAnsi="黑体" w:eastAsia="黑体" w:cs="黑体"/>
                <w:sz w:val="14"/>
                <w:szCs w:val="14"/>
              </w:rPr>
            </w:pPr>
            <w:r>
              <w:rPr>
                <w:rFonts w:ascii="黑体" w:hAnsi="黑体" w:eastAsia="黑体" w:cs="黑体"/>
                <w:spacing w:val="-1"/>
                <w:sz w:val="14"/>
                <w:szCs w:val="14"/>
              </w:rPr>
              <w:t>看本章精讲课</w:t>
            </w:r>
          </w:p>
        </w:tc>
      </w:tr>
      <w:tr w14:paraId="095FAE0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50" w:hRule="atLeast"/>
        </w:trPr>
        <w:tc>
          <w:tcPr>
            <w:tcW w:w="6912" w:type="dxa"/>
            <w:vAlign w:val="top"/>
          </w:tcPr>
          <w:p w14:paraId="1D3A73BF">
            <w:pPr>
              <w:pStyle w:val="6"/>
              <w:spacing w:before="21" w:line="228" w:lineRule="auto"/>
              <w:ind w:right="13" w:firstLine="430"/>
              <w:rPr>
                <w:sz w:val="21"/>
                <w:szCs w:val="21"/>
              </w:rPr>
            </w:pPr>
            <w:r>
              <w:rPr>
                <w:spacing w:val="-1"/>
                <w:sz w:val="21"/>
                <w:szCs w:val="21"/>
              </w:rPr>
              <w:t>水利水电工程施工常用的测量仪器有水准仪</w:t>
            </w:r>
            <w:r>
              <w:rPr>
                <w:spacing w:val="-2"/>
                <w:sz w:val="21"/>
                <w:szCs w:val="21"/>
              </w:rPr>
              <w:t>、经纬仪、电磁波测距仪、</w:t>
            </w:r>
            <w:r>
              <w:rPr>
                <w:sz w:val="21"/>
                <w:szCs w:val="21"/>
              </w:rPr>
              <w:t xml:space="preserve"> </w:t>
            </w:r>
            <w:r>
              <w:rPr>
                <w:spacing w:val="-5"/>
                <w:sz w:val="21"/>
                <w:szCs w:val="21"/>
              </w:rPr>
              <w:t>全站仪、卫星定位系统、水准尺。</w:t>
            </w:r>
          </w:p>
        </w:tc>
        <w:tc>
          <w:tcPr>
            <w:tcW w:w="1048" w:type="dxa"/>
            <w:vAlign w:val="top"/>
          </w:tcPr>
          <w:p w14:paraId="1BBCCD9D">
            <w:pPr>
              <w:spacing w:before="27" w:line="222" w:lineRule="auto"/>
              <w:ind w:left="148"/>
              <w:rPr>
                <w:rFonts w:ascii="黑体" w:hAnsi="黑体" w:eastAsia="黑体" w:cs="黑体"/>
                <w:sz w:val="14"/>
                <w:szCs w:val="14"/>
              </w:rPr>
            </w:pPr>
            <w:r>
              <w:rPr>
                <w:rFonts w:ascii="黑体" w:hAnsi="黑体" w:eastAsia="黑体" w:cs="黑体"/>
                <w:spacing w:val="4"/>
                <w:sz w:val="14"/>
                <w:szCs w:val="14"/>
              </w:rPr>
              <w:t>做本章自测题</w:t>
            </w:r>
          </w:p>
        </w:tc>
      </w:tr>
    </w:tbl>
    <w:p w14:paraId="51E55E2C">
      <w:pPr>
        <w:spacing w:before="126" w:line="221" w:lineRule="auto"/>
        <w:ind w:left="1920"/>
        <w:rPr>
          <w:rFonts w:ascii="黑体" w:hAnsi="黑体" w:eastAsia="黑体" w:cs="黑体"/>
          <w:sz w:val="21"/>
          <w:szCs w:val="21"/>
        </w:rPr>
      </w:pPr>
      <w:r>
        <w:rPr>
          <w:rFonts w:ascii="黑体" w:hAnsi="黑体" w:eastAsia="黑体" w:cs="黑体"/>
          <w:b/>
          <w:bCs/>
          <w:color w:val="307090"/>
          <w:spacing w:val="8"/>
          <w:sz w:val="21"/>
          <w:szCs w:val="21"/>
        </w:rPr>
        <w:t>1)水准仪分类及作用</w:t>
      </w:r>
    </w:p>
    <w:p w14:paraId="196E0F1C">
      <w:pPr>
        <w:spacing w:before="50" w:line="273" w:lineRule="auto"/>
        <w:ind w:left="1486" w:right="740" w:firstLine="430"/>
        <w:jc w:val="both"/>
        <w:rPr>
          <w:rFonts w:ascii="宋体" w:hAnsi="宋体" w:eastAsia="宋体" w:cs="宋体"/>
          <w:sz w:val="21"/>
          <w:szCs w:val="21"/>
        </w:rPr>
      </w:pPr>
      <w:r>
        <w:rPr>
          <w:rFonts w:ascii="宋体" w:hAnsi="宋体" w:eastAsia="宋体" w:cs="宋体"/>
          <w:spacing w:val="3"/>
          <w:sz w:val="21"/>
          <w:szCs w:val="21"/>
        </w:rPr>
        <w:t>水准仪按精度不同划分为4个等级，分为普通水准仪(</w:t>
      </w:r>
      <w:r>
        <w:rPr>
          <w:rFonts w:ascii="宋体" w:hAnsi="宋体" w:eastAsia="宋体" w:cs="宋体"/>
          <w:sz w:val="21"/>
          <w:szCs w:val="21"/>
        </w:rPr>
        <w:t>DS</w:t>
      </w:r>
      <w:r>
        <w:rPr>
          <w:rFonts w:ascii="宋体" w:hAnsi="宋体" w:eastAsia="宋体" w:cs="宋体"/>
          <w:spacing w:val="3"/>
          <w:sz w:val="21"/>
          <w:szCs w:val="21"/>
        </w:rPr>
        <w:t>3、</w:t>
      </w:r>
      <w:r>
        <w:rPr>
          <w:rFonts w:ascii="宋体" w:hAnsi="宋体" w:eastAsia="宋体" w:cs="宋体"/>
          <w:sz w:val="21"/>
          <w:szCs w:val="21"/>
        </w:rPr>
        <w:t>DS</w:t>
      </w:r>
      <w:r>
        <w:rPr>
          <w:rFonts w:ascii="宋体" w:hAnsi="宋体" w:eastAsia="宋体" w:cs="宋体"/>
          <w:spacing w:val="3"/>
          <w:sz w:val="21"/>
          <w:szCs w:val="21"/>
        </w:rPr>
        <w:t xml:space="preserve">10)  和精密水准仪  </w:t>
      </w:r>
      <w:r>
        <w:rPr>
          <w:rFonts w:ascii="宋体" w:hAnsi="宋体" w:eastAsia="宋体" w:cs="宋体"/>
          <w:spacing w:val="-2"/>
          <w:sz w:val="21"/>
          <w:szCs w:val="21"/>
        </w:rPr>
        <w:t>(DS05、DS1)。</w:t>
      </w:r>
      <w:r>
        <w:rPr>
          <w:rFonts w:ascii="宋体" w:hAnsi="宋体" w:eastAsia="宋体" w:cs="宋体"/>
          <w:spacing w:val="25"/>
          <w:sz w:val="21"/>
          <w:szCs w:val="21"/>
        </w:rPr>
        <w:t xml:space="preserve"> </w:t>
      </w:r>
      <w:r>
        <w:rPr>
          <w:rFonts w:ascii="宋体" w:hAnsi="宋体" w:eastAsia="宋体" w:cs="宋体"/>
          <w:spacing w:val="-2"/>
          <w:sz w:val="21"/>
          <w:szCs w:val="21"/>
        </w:rPr>
        <w:t>普通水准仪用于国家</w:t>
      </w:r>
      <w:r>
        <w:rPr>
          <w:rFonts w:ascii="宋体" w:hAnsi="宋体" w:eastAsia="宋体" w:cs="宋体"/>
          <w:spacing w:val="-3"/>
          <w:sz w:val="21"/>
          <w:szCs w:val="21"/>
        </w:rPr>
        <w:t>三、四等水准及普通水准测量，工程测量中一般使</w:t>
      </w:r>
      <w:r>
        <w:rPr>
          <w:rFonts w:ascii="宋体" w:hAnsi="宋体" w:eastAsia="宋体" w:cs="宋体"/>
          <w:sz w:val="21"/>
          <w:szCs w:val="21"/>
        </w:rPr>
        <w:t xml:space="preserve">  </w:t>
      </w:r>
      <w:r>
        <w:rPr>
          <w:rFonts w:ascii="宋体" w:hAnsi="宋体" w:eastAsia="宋体" w:cs="宋体"/>
          <w:spacing w:val="-2"/>
          <w:sz w:val="21"/>
          <w:szCs w:val="21"/>
        </w:rPr>
        <w:t>用</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DS3</w:t>
      </w:r>
      <w:r>
        <w:rPr>
          <w:rFonts w:ascii="Times New Roman" w:hAnsi="Times New Roman" w:eastAsia="Times New Roman" w:cs="Times New Roman"/>
          <w:spacing w:val="-12"/>
          <w:sz w:val="21"/>
          <w:szCs w:val="21"/>
        </w:rPr>
        <w:t xml:space="preserve"> </w:t>
      </w:r>
      <w:r>
        <w:rPr>
          <w:rFonts w:ascii="宋体" w:hAnsi="宋体" w:eastAsia="宋体" w:cs="宋体"/>
          <w:spacing w:val="-2"/>
          <w:sz w:val="21"/>
          <w:szCs w:val="21"/>
        </w:rPr>
        <w:t>型微倾式普通水准仪，精密水准仪用于国家一、二等精密水准测量。</w:t>
      </w:r>
      <w:r>
        <w:rPr>
          <w:rFonts w:ascii="Times New Roman" w:hAnsi="Times New Roman" w:eastAsia="Times New Roman" w:cs="Times New Roman"/>
          <w:spacing w:val="-2"/>
          <w:sz w:val="21"/>
          <w:szCs w:val="21"/>
        </w:rPr>
        <w:t>D</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w:t>
      </w:r>
      <w:r>
        <w:rPr>
          <w:rFonts w:ascii="Times New Roman" w:hAnsi="Times New Roman" w:eastAsia="Times New Roman" w:cs="Times New Roman"/>
          <w:spacing w:val="-2"/>
          <w:sz w:val="21"/>
          <w:szCs w:val="21"/>
        </w:rPr>
        <w:t xml:space="preserve">S </w:t>
      </w:r>
      <w:r>
        <w:rPr>
          <w:rFonts w:ascii="宋体" w:hAnsi="宋体" w:eastAsia="宋体" w:cs="宋体"/>
          <w:spacing w:val="-2"/>
          <w:sz w:val="21"/>
          <w:szCs w:val="21"/>
        </w:rPr>
        <w:t>分别</w:t>
      </w:r>
      <w:r>
        <w:rPr>
          <w:rFonts w:ascii="宋体" w:hAnsi="宋体" w:eastAsia="宋体" w:cs="宋体"/>
          <w:sz w:val="21"/>
          <w:szCs w:val="21"/>
        </w:rPr>
        <w:t xml:space="preserve">  为“大地测量”和“水准仪”的汉语拼音的第一个字母，数字表</w:t>
      </w:r>
      <w:r>
        <w:rPr>
          <w:rFonts w:ascii="宋体" w:hAnsi="宋体" w:eastAsia="宋体" w:cs="宋体"/>
          <w:spacing w:val="-1"/>
          <w:sz w:val="21"/>
          <w:szCs w:val="21"/>
        </w:rPr>
        <w:t>示该仪器精度，如“3”</w:t>
      </w:r>
    </w:p>
    <w:p w14:paraId="2402D34C">
      <w:pPr>
        <w:spacing w:before="1" w:line="218" w:lineRule="auto"/>
        <w:ind w:left="1486"/>
        <w:rPr>
          <w:rFonts w:ascii="宋体" w:hAnsi="宋体" w:eastAsia="宋体" w:cs="宋体"/>
          <w:sz w:val="21"/>
          <w:szCs w:val="21"/>
        </w:rPr>
      </w:pPr>
      <w:r>
        <w:rPr>
          <w:rFonts w:ascii="宋体" w:hAnsi="宋体" w:eastAsia="宋体" w:cs="宋体"/>
          <w:spacing w:val="-2"/>
          <w:sz w:val="21"/>
          <w:szCs w:val="21"/>
        </w:rPr>
        <w:t>表示每公里往返测量高差中数的偶然中误差不超过±3</w:t>
      </w:r>
      <w:r>
        <w:rPr>
          <w:rFonts w:ascii="Times New Roman" w:hAnsi="Times New Roman" w:eastAsia="Times New Roman" w:cs="Times New Roman"/>
          <w:spacing w:val="-2"/>
          <w:sz w:val="21"/>
          <w:szCs w:val="21"/>
        </w:rPr>
        <w:t>mm</w:t>
      </w:r>
      <w:r>
        <w:rPr>
          <w:rFonts w:ascii="宋体" w:hAnsi="宋体" w:eastAsia="宋体" w:cs="宋体"/>
          <w:spacing w:val="-2"/>
          <w:sz w:val="21"/>
          <w:szCs w:val="21"/>
        </w:rPr>
        <w:t>。</w:t>
      </w:r>
    </w:p>
    <w:p w14:paraId="765025C6">
      <w:pPr>
        <w:spacing w:before="102" w:line="281" w:lineRule="auto"/>
        <w:ind w:left="1486" w:right="913" w:firstLine="430"/>
        <w:rPr>
          <w:rFonts w:ascii="宋体" w:hAnsi="宋体" w:eastAsia="宋体" w:cs="宋体"/>
          <w:sz w:val="21"/>
          <w:szCs w:val="21"/>
        </w:rPr>
      </w:pPr>
      <w:r>
        <w:rPr>
          <w:rFonts w:ascii="宋体" w:hAnsi="宋体" w:eastAsia="宋体" w:cs="宋体"/>
          <w:spacing w:val="3"/>
          <w:sz w:val="21"/>
          <w:szCs w:val="21"/>
        </w:rPr>
        <w:t>水准仪主要部件有望远镜、管水准器(或补偿器)、垂直轴、基座、脚螺旋。按结</w:t>
      </w:r>
      <w:r>
        <w:rPr>
          <w:rFonts w:ascii="宋体" w:hAnsi="宋体" w:eastAsia="宋体" w:cs="宋体"/>
          <w:spacing w:val="13"/>
          <w:sz w:val="21"/>
          <w:szCs w:val="21"/>
        </w:rPr>
        <w:t xml:space="preserve"> </w:t>
      </w:r>
      <w:r>
        <w:rPr>
          <w:rFonts w:ascii="宋体" w:hAnsi="宋体" w:eastAsia="宋体" w:cs="宋体"/>
          <w:sz w:val="21"/>
          <w:szCs w:val="21"/>
        </w:rPr>
        <w:t>构分为微倾水准仪、自动安平水准仪、激光水准仪和数字水准仪(又称电子水准仪)。</w:t>
      </w:r>
    </w:p>
    <w:p w14:paraId="5C0AA161">
      <w:pPr>
        <w:spacing w:line="274" w:lineRule="auto"/>
        <w:ind w:left="1486" w:right="929" w:firstLine="430"/>
        <w:jc w:val="both"/>
        <w:rPr>
          <w:rFonts w:ascii="宋体" w:hAnsi="宋体" w:eastAsia="宋体" w:cs="宋体"/>
          <w:sz w:val="21"/>
          <w:szCs w:val="21"/>
        </w:rPr>
      </w:pPr>
      <w:r>
        <w:rPr>
          <w:rFonts w:ascii="宋体" w:hAnsi="宋体" w:eastAsia="宋体" w:cs="宋体"/>
          <w:spacing w:val="3"/>
          <w:sz w:val="21"/>
          <w:szCs w:val="21"/>
        </w:rPr>
        <w:t>水准仪用于水准测量，水准测量是利用水准仪提供的一条水平视线</w:t>
      </w:r>
      <w:r>
        <w:rPr>
          <w:rFonts w:ascii="宋体" w:hAnsi="宋体" w:eastAsia="宋体" w:cs="宋体"/>
          <w:spacing w:val="2"/>
          <w:sz w:val="21"/>
          <w:szCs w:val="21"/>
        </w:rPr>
        <w:t>，借助于带有</w:t>
      </w:r>
      <w:r>
        <w:rPr>
          <w:rFonts w:ascii="宋体" w:hAnsi="宋体" w:eastAsia="宋体" w:cs="宋体"/>
          <w:sz w:val="21"/>
          <w:szCs w:val="21"/>
        </w:rPr>
        <w:t xml:space="preserve"> </w:t>
      </w:r>
      <w:r>
        <w:rPr>
          <w:rFonts w:ascii="宋体" w:hAnsi="宋体" w:eastAsia="宋体" w:cs="宋体"/>
          <w:spacing w:val="6"/>
          <w:sz w:val="21"/>
          <w:szCs w:val="21"/>
        </w:rPr>
        <w:t>分划的尺子(水准尺),测量出两地面点之间的高差，然后根据测得</w:t>
      </w:r>
      <w:r>
        <w:rPr>
          <w:rFonts w:ascii="宋体" w:hAnsi="宋体" w:eastAsia="宋体" w:cs="宋体"/>
          <w:spacing w:val="5"/>
          <w:sz w:val="21"/>
          <w:szCs w:val="21"/>
        </w:rPr>
        <w:t>的高差和已知点的</w:t>
      </w:r>
      <w:r>
        <w:rPr>
          <w:rFonts w:ascii="宋体" w:hAnsi="宋体" w:eastAsia="宋体" w:cs="宋体"/>
          <w:sz w:val="21"/>
          <w:szCs w:val="21"/>
        </w:rPr>
        <w:t xml:space="preserve"> </w:t>
      </w:r>
      <w:r>
        <w:rPr>
          <w:rFonts w:ascii="宋体" w:hAnsi="宋体" w:eastAsia="宋体" w:cs="宋体"/>
          <w:spacing w:val="-5"/>
          <w:sz w:val="21"/>
          <w:szCs w:val="21"/>
        </w:rPr>
        <w:t>高程，推算出另一个点的高程。</w:t>
      </w:r>
    </w:p>
    <w:p w14:paraId="08CDA194">
      <w:pPr>
        <w:spacing w:before="41" w:line="221" w:lineRule="auto"/>
        <w:ind w:left="1920"/>
        <w:rPr>
          <w:rFonts w:ascii="黑体" w:hAnsi="黑体" w:eastAsia="黑体" w:cs="黑体"/>
          <w:sz w:val="21"/>
          <w:szCs w:val="21"/>
        </w:rPr>
      </w:pPr>
      <w:r>
        <w:rPr>
          <w:rFonts w:ascii="黑体" w:hAnsi="黑体" w:eastAsia="黑体" w:cs="黑体"/>
          <w:b/>
          <w:bCs/>
          <w:color w:val="407090"/>
          <w:spacing w:val="14"/>
          <w:sz w:val="21"/>
          <w:szCs w:val="21"/>
        </w:rPr>
        <w:t>2)经纬仪分类及作用</w:t>
      </w:r>
    </w:p>
    <w:p w14:paraId="301FEDA8">
      <w:pPr>
        <w:spacing w:before="41" w:line="274" w:lineRule="auto"/>
        <w:ind w:left="1486" w:right="936" w:firstLine="430"/>
        <w:jc w:val="both"/>
        <w:rPr>
          <w:rFonts w:ascii="宋体" w:hAnsi="宋体" w:eastAsia="宋体" w:cs="宋体"/>
          <w:sz w:val="21"/>
          <w:szCs w:val="21"/>
        </w:rPr>
      </w:pPr>
      <w:r>
        <w:rPr>
          <w:rFonts w:ascii="宋体" w:hAnsi="宋体" w:eastAsia="宋体" w:cs="宋体"/>
          <w:spacing w:val="1"/>
          <w:sz w:val="21"/>
          <w:szCs w:val="21"/>
        </w:rPr>
        <w:t>经纬仪按精度从高到低分为</w:t>
      </w:r>
      <w:r>
        <w:rPr>
          <w:rFonts w:ascii="宋体" w:hAnsi="宋体" w:eastAsia="宋体" w:cs="宋体"/>
          <w:sz w:val="21"/>
          <w:szCs w:val="21"/>
        </w:rPr>
        <w:t>DJ</w:t>
      </w:r>
      <w:r>
        <w:rPr>
          <w:rFonts w:ascii="宋体" w:hAnsi="宋体" w:eastAsia="宋体" w:cs="宋体"/>
          <w:spacing w:val="1"/>
          <w:sz w:val="21"/>
          <w:szCs w:val="21"/>
        </w:rPr>
        <w:t>05、</w:t>
      </w:r>
      <w:r>
        <w:rPr>
          <w:rFonts w:ascii="宋体" w:hAnsi="宋体" w:eastAsia="宋体" w:cs="宋体"/>
          <w:sz w:val="21"/>
          <w:szCs w:val="21"/>
        </w:rPr>
        <w:t>DJ</w:t>
      </w:r>
      <w:r>
        <w:rPr>
          <w:rFonts w:ascii="宋体" w:hAnsi="宋体" w:eastAsia="宋体" w:cs="宋体"/>
          <w:spacing w:val="1"/>
          <w:sz w:val="21"/>
          <w:szCs w:val="21"/>
        </w:rPr>
        <w:t>1、</w:t>
      </w:r>
      <w:r>
        <w:rPr>
          <w:rFonts w:ascii="宋体" w:hAnsi="宋体" w:eastAsia="宋体" w:cs="宋体"/>
          <w:sz w:val="21"/>
          <w:szCs w:val="21"/>
        </w:rPr>
        <w:t>DJ</w:t>
      </w:r>
      <w:r>
        <w:rPr>
          <w:rFonts w:ascii="宋体" w:hAnsi="宋体" w:eastAsia="宋体" w:cs="宋体"/>
          <w:spacing w:val="1"/>
          <w:sz w:val="21"/>
          <w:szCs w:val="21"/>
        </w:rPr>
        <w:t>2、</w:t>
      </w:r>
      <w:r>
        <w:rPr>
          <w:rFonts w:ascii="宋体" w:hAnsi="宋体" w:eastAsia="宋体" w:cs="宋体"/>
          <w:sz w:val="21"/>
          <w:szCs w:val="21"/>
        </w:rPr>
        <w:t>DJ</w:t>
      </w:r>
      <w:r>
        <w:rPr>
          <w:rFonts w:ascii="宋体" w:hAnsi="宋体" w:eastAsia="宋体" w:cs="宋体"/>
          <w:spacing w:val="1"/>
          <w:sz w:val="21"/>
          <w:szCs w:val="21"/>
        </w:rPr>
        <w:t>6 和</w:t>
      </w:r>
      <w:r>
        <w:rPr>
          <w:rFonts w:ascii="宋体" w:hAnsi="宋体" w:eastAsia="宋体" w:cs="宋体"/>
          <w:spacing w:val="-41"/>
          <w:sz w:val="21"/>
          <w:szCs w:val="21"/>
        </w:rPr>
        <w:t xml:space="preserve"> </w:t>
      </w:r>
      <w:r>
        <w:rPr>
          <w:rFonts w:ascii="宋体" w:hAnsi="宋体" w:eastAsia="宋体" w:cs="宋体"/>
          <w:sz w:val="21"/>
          <w:szCs w:val="21"/>
        </w:rPr>
        <w:t>DJ</w:t>
      </w:r>
      <w:r>
        <w:rPr>
          <w:rFonts w:ascii="宋体" w:hAnsi="宋体" w:eastAsia="宋体" w:cs="宋体"/>
          <w:spacing w:val="1"/>
          <w:sz w:val="21"/>
          <w:szCs w:val="21"/>
        </w:rPr>
        <w:t>10</w:t>
      </w:r>
      <w:r>
        <w:rPr>
          <w:rFonts w:ascii="宋体" w:hAnsi="宋体" w:eastAsia="宋体" w:cs="宋体"/>
          <w:spacing w:val="-40"/>
          <w:sz w:val="21"/>
          <w:szCs w:val="21"/>
        </w:rPr>
        <w:t xml:space="preserve"> </w:t>
      </w:r>
      <w:r>
        <w:rPr>
          <w:rFonts w:ascii="宋体" w:hAnsi="宋体" w:eastAsia="宋体" w:cs="宋体"/>
          <w:spacing w:val="1"/>
          <w:sz w:val="21"/>
          <w:szCs w:val="21"/>
        </w:rPr>
        <w:t>等</w:t>
      </w:r>
      <w:r>
        <w:rPr>
          <w:rFonts w:ascii="宋体" w:hAnsi="宋体" w:eastAsia="宋体" w:cs="宋体"/>
          <w:spacing w:val="-24"/>
          <w:sz w:val="21"/>
          <w:szCs w:val="21"/>
        </w:rPr>
        <w:t xml:space="preserve"> </w:t>
      </w:r>
      <w:r>
        <w:rPr>
          <w:rFonts w:ascii="宋体" w:hAnsi="宋体" w:eastAsia="宋体" w:cs="宋体"/>
          <w:spacing w:val="1"/>
          <w:sz w:val="21"/>
          <w:szCs w:val="21"/>
        </w:rPr>
        <w:t>，D、J</w:t>
      </w:r>
      <w:r>
        <w:rPr>
          <w:rFonts w:ascii="宋体" w:hAnsi="宋体" w:eastAsia="宋体" w:cs="宋体"/>
          <w:spacing w:val="-41"/>
          <w:sz w:val="21"/>
          <w:szCs w:val="21"/>
        </w:rPr>
        <w:t xml:space="preserve"> </w:t>
      </w:r>
      <w:r>
        <w:rPr>
          <w:rFonts w:ascii="宋体" w:hAnsi="宋体" w:eastAsia="宋体" w:cs="宋体"/>
          <w:spacing w:val="1"/>
          <w:sz w:val="21"/>
          <w:szCs w:val="21"/>
        </w:rPr>
        <w:t>分别为“大</w:t>
      </w:r>
      <w:r>
        <w:rPr>
          <w:rFonts w:ascii="宋体" w:hAnsi="宋体" w:eastAsia="宋体" w:cs="宋体"/>
          <w:sz w:val="21"/>
          <w:szCs w:val="21"/>
        </w:rPr>
        <w:t xml:space="preserve"> </w:t>
      </w:r>
      <w:r>
        <w:rPr>
          <w:rFonts w:ascii="宋体" w:hAnsi="宋体" w:eastAsia="宋体" w:cs="宋体"/>
          <w:spacing w:val="-3"/>
          <w:sz w:val="21"/>
          <w:szCs w:val="21"/>
        </w:rPr>
        <w:t>地测量”和“经纬仪”的汉语拼音的第一个字母，数字表示该仪器精度，如“05”表示</w:t>
      </w:r>
      <w:r>
        <w:rPr>
          <w:rFonts w:ascii="宋体" w:hAnsi="宋体" w:eastAsia="宋体" w:cs="宋体"/>
          <w:spacing w:val="14"/>
          <w:sz w:val="21"/>
          <w:szCs w:val="21"/>
        </w:rPr>
        <w:t xml:space="preserve"> </w:t>
      </w:r>
      <w:r>
        <w:rPr>
          <w:rFonts w:ascii="宋体" w:hAnsi="宋体" w:eastAsia="宋体" w:cs="宋体"/>
          <w:sz w:val="21"/>
          <w:szCs w:val="21"/>
        </w:rPr>
        <w:t>一测回方向观测中误差不超过±0.5”。根据度盘刻度和</w:t>
      </w:r>
      <w:r>
        <w:rPr>
          <w:rFonts w:ascii="宋体" w:hAnsi="宋体" w:eastAsia="宋体" w:cs="宋体"/>
          <w:spacing w:val="-1"/>
          <w:sz w:val="21"/>
          <w:szCs w:val="21"/>
        </w:rPr>
        <w:t>读数方式的不同，分为游标经</w:t>
      </w:r>
      <w:r>
        <w:rPr>
          <w:rFonts w:ascii="宋体" w:hAnsi="宋体" w:eastAsia="宋体" w:cs="宋体"/>
          <w:sz w:val="21"/>
          <w:szCs w:val="21"/>
        </w:rPr>
        <w:t xml:space="preserve"> </w:t>
      </w:r>
      <w:r>
        <w:rPr>
          <w:rFonts w:ascii="宋体" w:hAnsi="宋体" w:eastAsia="宋体" w:cs="宋体"/>
          <w:spacing w:val="-5"/>
          <w:sz w:val="21"/>
          <w:szCs w:val="21"/>
        </w:rPr>
        <w:t>纬仪、光学经纬仪和电子经纬仪。</w:t>
      </w:r>
    </w:p>
    <w:p w14:paraId="0D2EBA92">
      <w:pPr>
        <w:spacing w:before="25" w:line="274" w:lineRule="auto"/>
        <w:ind w:left="1486" w:right="928" w:firstLine="430"/>
        <w:rPr>
          <w:rFonts w:ascii="宋体" w:hAnsi="宋体" w:eastAsia="宋体" w:cs="宋体"/>
          <w:sz w:val="21"/>
          <w:szCs w:val="21"/>
        </w:rPr>
      </w:pPr>
      <w:r>
        <w:rPr>
          <w:rFonts w:ascii="宋体" w:hAnsi="宋体" w:eastAsia="宋体" w:cs="宋体"/>
          <w:spacing w:val="3"/>
          <w:sz w:val="21"/>
          <w:szCs w:val="21"/>
        </w:rPr>
        <w:t>经纬仪是进行角度测量的主要仪器，包括水平角测量和竖直角测量。另外，经纬</w:t>
      </w:r>
      <w:r>
        <w:rPr>
          <w:rFonts w:ascii="宋体" w:hAnsi="宋体" w:eastAsia="宋体" w:cs="宋体"/>
          <w:spacing w:val="1"/>
          <w:sz w:val="21"/>
          <w:szCs w:val="21"/>
        </w:rPr>
        <w:t xml:space="preserve"> </w:t>
      </w:r>
      <w:r>
        <w:rPr>
          <w:rFonts w:ascii="宋体" w:hAnsi="宋体" w:eastAsia="宋体" w:cs="宋体"/>
          <w:spacing w:val="-5"/>
          <w:sz w:val="21"/>
          <w:szCs w:val="21"/>
        </w:rPr>
        <w:t>仪也可用于低精度测量中的视距测量。</w:t>
      </w:r>
    </w:p>
    <w:p w14:paraId="1296BF12">
      <w:pPr>
        <w:spacing w:before="42" w:line="221" w:lineRule="auto"/>
        <w:ind w:left="1920"/>
        <w:rPr>
          <w:rFonts w:ascii="黑体" w:hAnsi="黑体" w:eastAsia="黑体" w:cs="黑体"/>
          <w:sz w:val="21"/>
          <w:szCs w:val="21"/>
        </w:rPr>
      </w:pPr>
      <w:r>
        <w:rPr>
          <w:rFonts w:ascii="黑体" w:hAnsi="黑体" w:eastAsia="黑体" w:cs="黑体"/>
          <w:b/>
          <w:bCs/>
          <w:color w:val="307090"/>
          <w:spacing w:val="8"/>
          <w:sz w:val="21"/>
          <w:szCs w:val="21"/>
        </w:rPr>
        <w:t>3)电磁波测距仪分类及作用</w:t>
      </w:r>
    </w:p>
    <w:p w14:paraId="1893035A">
      <w:pPr>
        <w:spacing w:before="34" w:line="265" w:lineRule="auto"/>
        <w:ind w:left="1486" w:right="935" w:firstLine="430"/>
        <w:jc w:val="both"/>
        <w:rPr>
          <w:rFonts w:ascii="宋体" w:hAnsi="宋体" w:eastAsia="宋体" w:cs="宋体"/>
          <w:sz w:val="21"/>
          <w:szCs w:val="21"/>
        </w:rPr>
      </w:pPr>
      <w:r>
        <w:rPr>
          <w:rFonts w:ascii="宋体" w:hAnsi="宋体" w:eastAsia="宋体" w:cs="宋体"/>
          <w:spacing w:val="2"/>
          <w:sz w:val="21"/>
          <w:szCs w:val="21"/>
        </w:rPr>
        <w:t>电磁波测距仪按其所采用的载波可分为：用微波段的无线电波作为载波的微波测</w:t>
      </w:r>
      <w:r>
        <w:rPr>
          <w:rFonts w:ascii="宋体" w:hAnsi="宋体" w:eastAsia="宋体" w:cs="宋体"/>
          <w:spacing w:val="15"/>
          <w:sz w:val="21"/>
          <w:szCs w:val="21"/>
        </w:rPr>
        <w:t xml:space="preserve"> </w:t>
      </w:r>
      <w:r>
        <w:rPr>
          <w:rFonts w:ascii="宋体" w:hAnsi="宋体" w:eastAsia="宋体" w:cs="宋体"/>
          <w:spacing w:val="-3"/>
          <w:sz w:val="21"/>
          <w:szCs w:val="21"/>
        </w:rPr>
        <w:t>距仪、用激光作为载波的激光测距仪、用红外光作为载波的红外测距仪。后两者又统称</w:t>
      </w:r>
      <w:r>
        <w:rPr>
          <w:rFonts w:ascii="宋体" w:hAnsi="宋体" w:eastAsia="宋体" w:cs="宋体"/>
          <w:spacing w:val="13"/>
          <w:sz w:val="21"/>
          <w:szCs w:val="21"/>
        </w:rPr>
        <w:t xml:space="preserve"> </w:t>
      </w:r>
      <w:r>
        <w:rPr>
          <w:rFonts w:ascii="宋体" w:hAnsi="宋体" w:eastAsia="宋体" w:cs="宋体"/>
          <w:spacing w:val="5"/>
          <w:sz w:val="21"/>
          <w:szCs w:val="21"/>
        </w:rPr>
        <w:t>为光电测距仪，精度分为四级，由高到低为</w:t>
      </w:r>
      <w:r>
        <w:rPr>
          <w:rFonts w:ascii="Times New Roman" w:hAnsi="Times New Roman" w:eastAsia="Times New Roman" w:cs="Times New Roman"/>
          <w:spacing w:val="5"/>
          <w:sz w:val="21"/>
          <w:szCs w:val="21"/>
        </w:rPr>
        <w:t>I</w:t>
      </w:r>
      <w:r>
        <w:rPr>
          <w:rFonts w:ascii="Times New Roman" w:hAnsi="Times New Roman" w:eastAsia="Times New Roman" w:cs="Times New Roman"/>
          <w:spacing w:val="-29"/>
          <w:sz w:val="21"/>
          <w:szCs w:val="21"/>
        </w:rPr>
        <w:t xml:space="preserve"> </w:t>
      </w:r>
      <w:r>
        <w:rPr>
          <w:rFonts w:ascii="宋体" w:hAnsi="宋体" w:eastAsia="宋体" w:cs="宋体"/>
          <w:spacing w:val="5"/>
          <w:sz w:val="21"/>
          <w:szCs w:val="21"/>
        </w:rPr>
        <w:t>、</w:t>
      </w:r>
      <w:r>
        <w:rPr>
          <w:rFonts w:ascii="Times New Roman" w:hAnsi="Times New Roman" w:eastAsia="Times New Roman" w:cs="Times New Roman"/>
          <w:spacing w:val="5"/>
          <w:sz w:val="21"/>
          <w:szCs w:val="21"/>
        </w:rPr>
        <w:t>Ⅱ</w:t>
      </w:r>
      <w:r>
        <w:rPr>
          <w:rFonts w:ascii="Times New Roman" w:hAnsi="Times New Roman" w:eastAsia="Times New Roman" w:cs="Times New Roman"/>
          <w:spacing w:val="-30"/>
          <w:sz w:val="21"/>
          <w:szCs w:val="21"/>
        </w:rPr>
        <w:t xml:space="preserve"> </w:t>
      </w:r>
      <w:r>
        <w:rPr>
          <w:rFonts w:ascii="宋体" w:hAnsi="宋体" w:eastAsia="宋体" w:cs="宋体"/>
          <w:spacing w:val="5"/>
          <w:sz w:val="21"/>
          <w:szCs w:val="21"/>
        </w:rPr>
        <w:t>、</w:t>
      </w:r>
      <w:r>
        <w:rPr>
          <w:rFonts w:ascii="Times New Roman" w:hAnsi="Times New Roman" w:eastAsia="Times New Roman" w:cs="Times New Roman"/>
          <w:spacing w:val="5"/>
          <w:sz w:val="21"/>
          <w:szCs w:val="21"/>
        </w:rPr>
        <w:t>Ⅲ</w:t>
      </w:r>
      <w:r>
        <w:rPr>
          <w:rFonts w:ascii="Times New Roman" w:hAnsi="Times New Roman" w:eastAsia="Times New Roman" w:cs="Times New Roman"/>
          <w:spacing w:val="-29"/>
          <w:sz w:val="21"/>
          <w:szCs w:val="21"/>
        </w:rPr>
        <w:t xml:space="preserve"> </w:t>
      </w:r>
      <w:r>
        <w:rPr>
          <w:rFonts w:ascii="宋体" w:hAnsi="宋体" w:eastAsia="宋体" w:cs="宋体"/>
          <w:spacing w:val="5"/>
          <w:sz w:val="21"/>
          <w:szCs w:val="21"/>
        </w:rPr>
        <w:t>、</w:t>
      </w:r>
      <w:r>
        <w:rPr>
          <w:rFonts w:ascii="Times New Roman" w:hAnsi="Times New Roman" w:eastAsia="Times New Roman" w:cs="Times New Roman"/>
          <w:sz w:val="21"/>
          <w:szCs w:val="21"/>
        </w:rPr>
        <w:t>IV</w:t>
      </w:r>
      <w:r>
        <w:rPr>
          <w:rFonts w:ascii="Times New Roman" w:hAnsi="Times New Roman" w:eastAsia="Times New Roman" w:cs="Times New Roman"/>
          <w:spacing w:val="-24"/>
          <w:sz w:val="21"/>
          <w:szCs w:val="21"/>
        </w:rPr>
        <w:t xml:space="preserve"> </w:t>
      </w:r>
      <w:r>
        <w:rPr>
          <w:rFonts w:ascii="宋体" w:hAnsi="宋体" w:eastAsia="宋体" w:cs="宋体"/>
          <w:spacing w:val="5"/>
          <w:sz w:val="21"/>
          <w:szCs w:val="21"/>
        </w:rPr>
        <w:t>。</w:t>
      </w:r>
      <w:r>
        <w:rPr>
          <w:rFonts w:ascii="宋体" w:hAnsi="宋体" w:eastAsia="宋体" w:cs="宋体"/>
          <w:spacing w:val="42"/>
          <w:sz w:val="21"/>
          <w:szCs w:val="21"/>
        </w:rPr>
        <w:t xml:space="preserve"> </w:t>
      </w:r>
      <w:r>
        <w:rPr>
          <w:rFonts w:ascii="宋体" w:hAnsi="宋体" w:eastAsia="宋体" w:cs="宋体"/>
          <w:spacing w:val="5"/>
          <w:sz w:val="21"/>
          <w:szCs w:val="21"/>
        </w:rPr>
        <w:t>测距仪分为短程(测距</w:t>
      </w:r>
      <w:r>
        <w:rPr>
          <w:rFonts w:ascii="宋体" w:hAnsi="宋体" w:eastAsia="宋体" w:cs="宋体"/>
          <w:sz w:val="21"/>
          <w:szCs w:val="21"/>
        </w:rPr>
        <w:t xml:space="preserve"> </w:t>
      </w:r>
      <w:r>
        <w:rPr>
          <w:rFonts w:ascii="Times New Roman" w:hAnsi="Times New Roman" w:eastAsia="Times New Roman" w:cs="Times New Roman"/>
          <w:spacing w:val="4"/>
          <w:sz w:val="21"/>
          <w:szCs w:val="21"/>
        </w:rPr>
        <w:t>L≤3</w:t>
      </w:r>
      <w:r>
        <w:rPr>
          <w:rFonts w:ascii="Times New Roman" w:hAnsi="Times New Roman" w:eastAsia="Times New Roman" w:cs="Times New Roman"/>
          <w:sz w:val="21"/>
          <w:szCs w:val="21"/>
        </w:rPr>
        <w:t>km</w:t>
      </w:r>
      <w:r>
        <w:rPr>
          <w:rFonts w:ascii="Times New Roman" w:hAnsi="Times New Roman" w:eastAsia="Times New Roman" w:cs="Times New Roman"/>
          <w:spacing w:val="4"/>
          <w:sz w:val="21"/>
          <w:szCs w:val="21"/>
        </w:rPr>
        <w:t>)</w:t>
      </w:r>
      <w:r>
        <w:rPr>
          <w:rFonts w:ascii="Times New Roman" w:hAnsi="Times New Roman" w:eastAsia="Times New Roman" w:cs="Times New Roman"/>
          <w:spacing w:val="-29"/>
          <w:sz w:val="21"/>
          <w:szCs w:val="21"/>
        </w:rPr>
        <w:t xml:space="preserve"> </w:t>
      </w:r>
      <w:r>
        <w:rPr>
          <w:rFonts w:ascii="宋体" w:hAnsi="宋体" w:eastAsia="宋体" w:cs="宋体"/>
          <w:spacing w:val="4"/>
          <w:sz w:val="21"/>
          <w:szCs w:val="21"/>
        </w:rPr>
        <w:t>、  中程(3</w:t>
      </w:r>
      <w:r>
        <w:rPr>
          <w:rFonts w:ascii="Times New Roman" w:hAnsi="Times New Roman" w:eastAsia="Times New Roman" w:cs="Times New Roman"/>
          <w:sz w:val="21"/>
          <w:szCs w:val="21"/>
        </w:rPr>
        <w:t>km</w:t>
      </w:r>
      <w:r>
        <w:rPr>
          <w:rFonts w:ascii="Times New Roman" w:hAnsi="Times New Roman" w:eastAsia="Times New Roman" w:cs="Times New Roman"/>
          <w:spacing w:val="4"/>
          <w:sz w:val="21"/>
          <w:szCs w:val="21"/>
        </w:rPr>
        <w:t>&lt;L≤15</w:t>
      </w:r>
      <w:r>
        <w:rPr>
          <w:rFonts w:ascii="Times New Roman" w:hAnsi="Times New Roman" w:eastAsia="Times New Roman" w:cs="Times New Roman"/>
          <w:sz w:val="21"/>
          <w:szCs w:val="21"/>
        </w:rPr>
        <w:t>km</w:t>
      </w:r>
      <w:r>
        <w:rPr>
          <w:rFonts w:ascii="Times New Roman" w:hAnsi="Times New Roman" w:eastAsia="Times New Roman" w:cs="Times New Roman"/>
          <w:spacing w:val="4"/>
          <w:sz w:val="21"/>
          <w:szCs w:val="21"/>
        </w:rPr>
        <w:t>)</w:t>
      </w:r>
      <w:r>
        <w:rPr>
          <w:rFonts w:ascii="Times New Roman" w:hAnsi="Times New Roman" w:eastAsia="Times New Roman" w:cs="Times New Roman"/>
          <w:spacing w:val="-30"/>
          <w:sz w:val="21"/>
          <w:szCs w:val="21"/>
        </w:rPr>
        <w:t xml:space="preserve"> </w:t>
      </w:r>
      <w:r>
        <w:rPr>
          <w:rFonts w:ascii="宋体" w:hAnsi="宋体" w:eastAsia="宋体" w:cs="宋体"/>
          <w:spacing w:val="4"/>
          <w:sz w:val="21"/>
          <w:szCs w:val="21"/>
        </w:rPr>
        <w:t>、</w:t>
      </w:r>
      <w:r>
        <w:rPr>
          <w:rFonts w:ascii="宋体" w:hAnsi="宋体" w:eastAsia="宋体" w:cs="宋体"/>
          <w:spacing w:val="19"/>
          <w:sz w:val="21"/>
          <w:szCs w:val="21"/>
        </w:rPr>
        <w:t xml:space="preserve">   </w:t>
      </w:r>
      <w:r>
        <w:rPr>
          <w:rFonts w:ascii="宋体" w:hAnsi="宋体" w:eastAsia="宋体" w:cs="宋体"/>
          <w:spacing w:val="4"/>
          <w:sz w:val="21"/>
          <w:szCs w:val="21"/>
        </w:rPr>
        <w:t>远程</w:t>
      </w:r>
      <w:r>
        <w:rPr>
          <w:rFonts w:ascii="宋体" w:hAnsi="宋体" w:eastAsia="宋体" w:cs="宋体"/>
          <w:spacing w:val="-60"/>
          <w:sz w:val="21"/>
          <w:szCs w:val="21"/>
        </w:rPr>
        <w:t xml:space="preserve"> </w:t>
      </w:r>
      <w:r>
        <w:rPr>
          <w:rFonts w:ascii="Times New Roman" w:hAnsi="Times New Roman" w:eastAsia="Times New Roman" w:cs="Times New Roman"/>
          <w:spacing w:val="3"/>
          <w:sz w:val="21"/>
          <w:szCs w:val="21"/>
        </w:rPr>
        <w:t>(L&gt;15</w:t>
      </w:r>
      <w:r>
        <w:rPr>
          <w:rFonts w:ascii="Times New Roman" w:hAnsi="Times New Roman" w:eastAsia="Times New Roman" w:cs="Times New Roman"/>
          <w:sz w:val="21"/>
          <w:szCs w:val="21"/>
        </w:rPr>
        <w:t>km</w:t>
      </w:r>
      <w:r>
        <w:rPr>
          <w:rFonts w:ascii="Times New Roman" w:hAnsi="Times New Roman" w:eastAsia="Times New Roman" w:cs="Times New Roman"/>
          <w:spacing w:val="3"/>
          <w:sz w:val="21"/>
          <w:szCs w:val="21"/>
        </w:rPr>
        <w:t>)</w:t>
      </w:r>
      <w:r>
        <w:rPr>
          <w:rFonts w:ascii="宋体" w:hAnsi="宋体" w:eastAsia="宋体" w:cs="宋体"/>
          <w:spacing w:val="3"/>
          <w:sz w:val="21"/>
          <w:szCs w:val="21"/>
        </w:rPr>
        <w:t>。</w:t>
      </w:r>
    </w:p>
    <w:p w14:paraId="5E302700">
      <w:pPr>
        <w:spacing w:before="62" w:line="292" w:lineRule="auto"/>
        <w:ind w:left="1486" w:right="936" w:firstLine="430"/>
        <w:rPr>
          <w:rFonts w:ascii="宋体" w:hAnsi="宋体" w:eastAsia="宋体" w:cs="宋体"/>
          <w:sz w:val="21"/>
          <w:szCs w:val="21"/>
        </w:rPr>
      </w:pPr>
      <w:r>
        <w:rPr>
          <w:rFonts w:ascii="宋体" w:hAnsi="宋体" w:eastAsia="宋体" w:cs="宋体"/>
          <w:spacing w:val="3"/>
          <w:sz w:val="21"/>
          <w:szCs w:val="21"/>
        </w:rPr>
        <w:t>电磁波测距仪是用电磁波(光波或微波)作为载波传输测距</w:t>
      </w:r>
      <w:r>
        <w:rPr>
          <w:rFonts w:ascii="宋体" w:hAnsi="宋体" w:eastAsia="宋体" w:cs="宋体"/>
          <w:spacing w:val="2"/>
          <w:sz w:val="21"/>
          <w:szCs w:val="21"/>
        </w:rPr>
        <w:t>信号，以测量两点间距</w:t>
      </w:r>
      <w:r>
        <w:rPr>
          <w:rFonts w:ascii="宋体" w:hAnsi="宋体" w:eastAsia="宋体" w:cs="宋体"/>
          <w:sz w:val="21"/>
          <w:szCs w:val="21"/>
        </w:rPr>
        <w:t xml:space="preserve"> </w:t>
      </w:r>
      <w:r>
        <w:rPr>
          <w:rFonts w:ascii="宋体" w:hAnsi="宋体" w:eastAsia="宋体" w:cs="宋体"/>
          <w:spacing w:val="-5"/>
          <w:sz w:val="21"/>
          <w:szCs w:val="21"/>
        </w:rPr>
        <w:t>离的，一般用于小地区控制测量、地形测量、地籍测量和工程测量等。</w:t>
      </w:r>
    </w:p>
    <w:p w14:paraId="7F1E26C6">
      <w:pPr>
        <w:pStyle w:val="2"/>
        <w:spacing w:line="350" w:lineRule="auto"/>
      </w:pPr>
    </w:p>
    <w:p w14:paraId="6A495429">
      <w:pPr>
        <w:spacing w:line="189" w:lineRule="auto"/>
        <w:rPr>
          <w:rFonts w:ascii="宋体" w:hAnsi="宋体" w:eastAsia="宋体" w:cs="宋体"/>
          <w:sz w:val="21"/>
          <w:szCs w:val="21"/>
        </w:rPr>
        <w:sectPr>
          <w:pgSz w:w="10320" w:h="14590"/>
          <w:pgMar w:top="54" w:right="13" w:bottom="10" w:left="3" w:header="0" w:footer="0" w:gutter="0"/>
          <w:cols w:space="720" w:num="1"/>
        </w:sectPr>
      </w:pPr>
    </w:p>
    <w:p w14:paraId="4CE0543F">
      <w:pPr>
        <w:pStyle w:val="2"/>
        <w:spacing w:line="409" w:lineRule="auto"/>
      </w:pPr>
    </w:p>
    <w:p w14:paraId="3353A71A">
      <w:pPr>
        <w:spacing w:before="55" w:line="222" w:lineRule="auto"/>
        <w:ind w:left="949"/>
        <w:rPr>
          <w:rFonts w:ascii="黑体" w:hAnsi="黑体" w:eastAsia="黑体" w:cs="黑体"/>
          <w:sz w:val="17"/>
          <w:szCs w:val="17"/>
        </w:rPr>
      </w:pPr>
      <w:r>
        <w:rPr>
          <w:rFonts w:ascii="黑体" w:hAnsi="黑体" w:eastAsia="黑体" w:cs="黑体"/>
          <w:spacing w:val="-6"/>
          <w:sz w:val="17"/>
          <w:szCs w:val="17"/>
          <w:u w:val="single" w:color="auto"/>
        </w:rPr>
        <w:t>2</w:t>
      </w:r>
      <w:r>
        <w:rPr>
          <w:rFonts w:ascii="黑体" w:hAnsi="黑体" w:eastAsia="黑体" w:cs="黑体"/>
          <w:spacing w:val="7"/>
          <w:sz w:val="17"/>
          <w:szCs w:val="17"/>
          <w:u w:val="single" w:color="auto"/>
        </w:rPr>
        <w:t xml:space="preserve">      </w:t>
      </w:r>
      <w:r>
        <w:rPr>
          <w:rFonts w:ascii="黑体" w:hAnsi="黑体" w:eastAsia="黑体" w:cs="黑体"/>
          <w:spacing w:val="-6"/>
          <w:sz w:val="17"/>
          <w:szCs w:val="17"/>
          <w:u w:val="single" w:color="auto"/>
        </w:rPr>
        <w:t>第 1 篇   水 利 水 电 工 程</w:t>
      </w:r>
      <w:r>
        <w:rPr>
          <w:rFonts w:ascii="黑体" w:hAnsi="黑体" w:eastAsia="黑体" w:cs="黑体"/>
          <w:spacing w:val="-7"/>
          <w:sz w:val="17"/>
          <w:szCs w:val="17"/>
          <w:u w:val="single" w:color="auto"/>
        </w:rPr>
        <w:t xml:space="preserve"> 技 术</w:t>
      </w:r>
      <w:r>
        <w:rPr>
          <w:rFonts w:ascii="黑体" w:hAnsi="黑体" w:eastAsia="黑体" w:cs="黑体"/>
          <w:sz w:val="17"/>
          <w:szCs w:val="17"/>
          <w:u w:val="single" w:color="auto"/>
        </w:rPr>
        <w:t xml:space="preserve">                                                      </w:t>
      </w:r>
    </w:p>
    <w:p w14:paraId="49AC2097">
      <w:pPr>
        <w:spacing w:before="264" w:line="220" w:lineRule="auto"/>
        <w:ind w:left="1362"/>
        <w:rPr>
          <w:rFonts w:ascii="黑体" w:hAnsi="黑体" w:eastAsia="黑体" w:cs="黑体"/>
          <w:sz w:val="21"/>
          <w:szCs w:val="21"/>
        </w:rPr>
      </w:pPr>
      <w:r>
        <w:rPr>
          <w:rFonts w:ascii="黑体" w:hAnsi="黑体" w:eastAsia="黑体" w:cs="黑体"/>
          <w:b/>
          <w:bCs/>
          <w:color w:val="208090"/>
          <w:spacing w:val="12"/>
          <w:sz w:val="21"/>
          <w:szCs w:val="21"/>
        </w:rPr>
        <w:t>4)全站仪及其作用</w:t>
      </w:r>
    </w:p>
    <w:p w14:paraId="580CBE3A">
      <w:pPr>
        <w:spacing w:before="1" w:line="287" w:lineRule="auto"/>
        <w:ind w:left="949" w:right="1507" w:firstLine="410"/>
        <w:jc w:val="both"/>
        <w:rPr>
          <w:rFonts w:ascii="宋体" w:hAnsi="宋体" w:eastAsia="宋体" w:cs="宋体"/>
          <w:sz w:val="21"/>
          <w:szCs w:val="21"/>
        </w:rPr>
      </w:pPr>
      <w:r>
        <w:rPr>
          <w:rFonts w:ascii="宋体" w:hAnsi="宋体" w:eastAsia="宋体" w:cs="宋体"/>
          <w:spacing w:val="1"/>
          <w:sz w:val="21"/>
          <w:szCs w:val="21"/>
        </w:rPr>
        <w:t>全站仪</w:t>
      </w:r>
      <w:r>
        <w:rPr>
          <w:rFonts w:ascii="Times New Roman" w:hAnsi="Times New Roman" w:eastAsia="Times New Roman" w:cs="Times New Roman"/>
          <w:spacing w:val="1"/>
          <w:sz w:val="21"/>
          <w:szCs w:val="21"/>
        </w:rPr>
        <w:t>(</w:t>
      </w:r>
      <w:r>
        <w:rPr>
          <w:rFonts w:ascii="Times New Roman" w:hAnsi="Times New Roman" w:eastAsia="Times New Roman" w:cs="Times New Roman"/>
          <w:sz w:val="21"/>
          <w:szCs w:val="21"/>
        </w:rPr>
        <w:t>Electronic</w:t>
      </w:r>
      <w:r>
        <w:rPr>
          <w:rFonts w:ascii="Times New Roman" w:hAnsi="Times New Roman" w:eastAsia="Times New Roman" w:cs="Times New Roman"/>
          <w:spacing w:val="32"/>
          <w:w w:val="101"/>
          <w:sz w:val="21"/>
          <w:szCs w:val="21"/>
        </w:rPr>
        <w:t xml:space="preserve">  </w:t>
      </w:r>
      <w:r>
        <w:rPr>
          <w:rFonts w:ascii="Times New Roman" w:hAnsi="Times New Roman" w:eastAsia="Times New Roman" w:cs="Times New Roman"/>
          <w:sz w:val="21"/>
          <w:szCs w:val="21"/>
        </w:rPr>
        <w:t>Total</w:t>
      </w:r>
      <w:r>
        <w:rPr>
          <w:rFonts w:ascii="Times New Roman" w:hAnsi="Times New Roman" w:eastAsia="Times New Roman" w:cs="Times New Roman"/>
          <w:spacing w:val="1"/>
          <w:sz w:val="21"/>
          <w:szCs w:val="21"/>
        </w:rPr>
        <w:t xml:space="preserve">   </w:t>
      </w:r>
      <w:r>
        <w:rPr>
          <w:rFonts w:ascii="Times New Roman" w:hAnsi="Times New Roman" w:eastAsia="Times New Roman" w:cs="Times New Roman"/>
          <w:sz w:val="21"/>
          <w:szCs w:val="21"/>
        </w:rPr>
        <w:t>Station</w:t>
      </w:r>
      <w:r>
        <w:rPr>
          <w:rFonts w:ascii="Times New Roman" w:hAnsi="Times New Roman" w:eastAsia="Times New Roman" w:cs="Times New Roman"/>
          <w:spacing w:val="1"/>
          <w:sz w:val="21"/>
          <w:szCs w:val="21"/>
        </w:rPr>
        <w:t>)</w:t>
      </w:r>
      <w:r>
        <w:rPr>
          <w:rFonts w:ascii="宋体" w:hAnsi="宋体" w:eastAsia="宋体" w:cs="宋体"/>
          <w:spacing w:val="1"/>
          <w:sz w:val="21"/>
          <w:szCs w:val="21"/>
        </w:rPr>
        <w:t>是全站型电子速测仪的简称，是电子经纬仪、光</w:t>
      </w:r>
      <w:r>
        <w:rPr>
          <w:rFonts w:ascii="宋体" w:hAnsi="宋体" w:eastAsia="宋体" w:cs="宋体"/>
          <w:sz w:val="21"/>
          <w:szCs w:val="21"/>
        </w:rPr>
        <w:t xml:space="preserve"> </w:t>
      </w:r>
      <w:r>
        <w:rPr>
          <w:rFonts w:ascii="宋体" w:hAnsi="宋体" w:eastAsia="宋体" w:cs="宋体"/>
          <w:spacing w:val="-4"/>
          <w:sz w:val="21"/>
          <w:szCs w:val="21"/>
        </w:rPr>
        <w:t>电测距仪及微处理器相结合的光电仪器，是一种集自动测距、测角、计算和数据自动记</w:t>
      </w:r>
      <w:r>
        <w:rPr>
          <w:rFonts w:ascii="宋体" w:hAnsi="宋体" w:eastAsia="宋体" w:cs="宋体"/>
          <w:sz w:val="21"/>
          <w:szCs w:val="21"/>
        </w:rPr>
        <w:t xml:space="preserve"> </w:t>
      </w:r>
      <w:r>
        <w:rPr>
          <w:rFonts w:ascii="宋体" w:hAnsi="宋体" w:eastAsia="宋体" w:cs="宋体"/>
          <w:spacing w:val="-4"/>
          <w:sz w:val="21"/>
          <w:szCs w:val="21"/>
        </w:rPr>
        <w:t>录及传输功能于一体的自动化、数字化及智能化的三维坐标测量与定位系统。</w:t>
      </w:r>
    </w:p>
    <w:p w14:paraId="38081B7B">
      <w:pPr>
        <w:spacing w:line="284" w:lineRule="auto"/>
        <w:ind w:left="949" w:right="1527" w:firstLine="410"/>
        <w:jc w:val="both"/>
        <w:rPr>
          <w:rFonts w:ascii="宋体" w:hAnsi="宋体" w:eastAsia="宋体" w:cs="宋体"/>
          <w:sz w:val="21"/>
          <w:szCs w:val="21"/>
        </w:rPr>
      </w:pPr>
      <w:r>
        <w:rPr>
          <w:rFonts w:ascii="宋体" w:hAnsi="宋体" w:eastAsia="宋体" w:cs="宋体"/>
          <w:spacing w:val="11"/>
          <w:sz w:val="21"/>
          <w:szCs w:val="21"/>
        </w:rPr>
        <w:t>全站仪的功能是测量水平角、天顶距(竖直角)和</w:t>
      </w:r>
      <w:r>
        <w:rPr>
          <w:rFonts w:ascii="宋体" w:hAnsi="宋体" w:eastAsia="宋体" w:cs="宋体"/>
          <w:spacing w:val="10"/>
          <w:sz w:val="21"/>
          <w:szCs w:val="21"/>
        </w:rPr>
        <w:t>距离(斜距、平距),借助于机</w:t>
      </w:r>
      <w:r>
        <w:rPr>
          <w:rFonts w:ascii="宋体" w:hAnsi="宋体" w:eastAsia="宋体" w:cs="宋体"/>
          <w:sz w:val="21"/>
          <w:szCs w:val="21"/>
        </w:rPr>
        <w:t xml:space="preserve"> </w:t>
      </w:r>
      <w:r>
        <w:rPr>
          <w:rFonts w:ascii="宋体" w:hAnsi="宋体" w:eastAsia="宋体" w:cs="宋体"/>
          <w:spacing w:val="-4"/>
          <w:sz w:val="21"/>
          <w:szCs w:val="21"/>
        </w:rPr>
        <w:t>内固化的软件，可以组成多种测量功能，如可以计算并显示平距、高差以及镜站点的三</w:t>
      </w:r>
      <w:r>
        <w:rPr>
          <w:rFonts w:ascii="宋体" w:hAnsi="宋体" w:eastAsia="宋体" w:cs="宋体"/>
          <w:sz w:val="21"/>
          <w:szCs w:val="21"/>
        </w:rPr>
        <w:t xml:space="preserve"> </w:t>
      </w:r>
      <w:r>
        <w:rPr>
          <w:rFonts w:ascii="宋体" w:hAnsi="宋体" w:eastAsia="宋体" w:cs="宋体"/>
          <w:spacing w:val="-4"/>
          <w:sz w:val="21"/>
          <w:szCs w:val="21"/>
        </w:rPr>
        <w:t>维坐标，进行偏心测量、悬高测量、对边测量、面积</w:t>
      </w:r>
      <w:r>
        <w:rPr>
          <w:rFonts w:ascii="宋体" w:hAnsi="宋体" w:eastAsia="宋体" w:cs="宋体"/>
          <w:spacing w:val="-5"/>
          <w:sz w:val="21"/>
          <w:szCs w:val="21"/>
        </w:rPr>
        <w:t>计算等。</w:t>
      </w:r>
    </w:p>
    <w:p w14:paraId="13B895C2">
      <w:pPr>
        <w:spacing w:before="28" w:line="221" w:lineRule="auto"/>
        <w:ind w:left="1362"/>
        <w:rPr>
          <w:rFonts w:ascii="黑体" w:hAnsi="黑体" w:eastAsia="黑体" w:cs="黑体"/>
          <w:sz w:val="21"/>
          <w:szCs w:val="21"/>
        </w:rPr>
      </w:pPr>
      <w:r>
        <w:rPr>
          <w:rFonts w:ascii="黑体" w:hAnsi="黑体" w:eastAsia="黑体" w:cs="黑体"/>
          <w:b/>
          <w:bCs/>
          <w:color w:val="208090"/>
          <w:spacing w:val="14"/>
          <w:sz w:val="21"/>
          <w:szCs w:val="21"/>
        </w:rPr>
        <w:t>5)卫星定位系统</w:t>
      </w:r>
    </w:p>
    <w:p w14:paraId="6179BA21">
      <w:pPr>
        <w:spacing w:before="32" w:line="274" w:lineRule="auto"/>
        <w:ind w:left="949" w:right="1522" w:firstLine="410"/>
        <w:jc w:val="both"/>
        <w:rPr>
          <w:rFonts w:ascii="宋体" w:hAnsi="宋体" w:eastAsia="宋体" w:cs="宋体"/>
          <w:sz w:val="21"/>
          <w:szCs w:val="21"/>
        </w:rPr>
      </w:pPr>
      <w:r>
        <w:rPr>
          <w:rFonts w:ascii="宋体" w:hAnsi="宋体" w:eastAsia="宋体" w:cs="宋体"/>
          <w:spacing w:val="2"/>
          <w:sz w:val="21"/>
          <w:szCs w:val="21"/>
        </w:rPr>
        <w:t>卫星定位系统是具有在海、陆、空全方位实时三维导航与定位能力的系统。</w:t>
      </w:r>
      <w:r>
        <w:rPr>
          <w:rFonts w:ascii="宋体" w:hAnsi="宋体" w:eastAsia="宋体" w:cs="宋体"/>
          <w:spacing w:val="1"/>
          <w:sz w:val="21"/>
          <w:szCs w:val="21"/>
        </w:rPr>
        <w:t>以全</w:t>
      </w:r>
      <w:r>
        <w:rPr>
          <w:rFonts w:ascii="宋体" w:hAnsi="宋体" w:eastAsia="宋体" w:cs="宋体"/>
          <w:sz w:val="21"/>
          <w:szCs w:val="21"/>
        </w:rPr>
        <w:t xml:space="preserve"> </w:t>
      </w:r>
      <w:r>
        <w:rPr>
          <w:rFonts w:ascii="宋体" w:hAnsi="宋体" w:eastAsia="宋体" w:cs="宋体"/>
          <w:spacing w:val="2"/>
          <w:sz w:val="21"/>
          <w:szCs w:val="21"/>
        </w:rPr>
        <w:t>天候、高精度、自动化、高效益等显著特点，</w:t>
      </w:r>
      <w:r>
        <w:rPr>
          <w:rFonts w:ascii="宋体" w:hAnsi="宋体" w:eastAsia="宋体" w:cs="宋体"/>
          <w:spacing w:val="1"/>
          <w:sz w:val="21"/>
          <w:szCs w:val="21"/>
        </w:rPr>
        <w:t>在大地测量、建筑物变形测量、水下地</w:t>
      </w:r>
      <w:r>
        <w:rPr>
          <w:rFonts w:ascii="宋体" w:hAnsi="宋体" w:eastAsia="宋体" w:cs="宋体"/>
          <w:sz w:val="21"/>
          <w:szCs w:val="21"/>
        </w:rPr>
        <w:t xml:space="preserve"> </w:t>
      </w:r>
      <w:r>
        <w:rPr>
          <w:rFonts w:ascii="宋体" w:hAnsi="宋体" w:eastAsia="宋体" w:cs="宋体"/>
          <w:spacing w:val="5"/>
          <w:sz w:val="21"/>
          <w:szCs w:val="21"/>
        </w:rPr>
        <w:t>形测量等方面得到广泛的应用。目前，投入使用的有</w:t>
      </w:r>
      <w:r>
        <w:rPr>
          <w:rFonts w:ascii="宋体" w:hAnsi="宋体" w:eastAsia="宋体" w:cs="宋体"/>
          <w:spacing w:val="4"/>
          <w:sz w:val="21"/>
          <w:szCs w:val="21"/>
        </w:rPr>
        <w:t>中国北斗卫星导航系统</w:t>
      </w:r>
      <w:r>
        <w:rPr>
          <w:rFonts w:ascii="Times New Roman" w:hAnsi="Times New Roman" w:eastAsia="Times New Roman" w:cs="Times New Roman"/>
          <w:spacing w:val="4"/>
          <w:sz w:val="21"/>
          <w:szCs w:val="21"/>
        </w:rPr>
        <w:t>(</w:t>
      </w:r>
      <w:r>
        <w:rPr>
          <w:rFonts w:ascii="Times New Roman" w:hAnsi="Times New Roman" w:eastAsia="Times New Roman" w:cs="Times New Roman"/>
          <w:sz w:val="21"/>
          <w:szCs w:val="21"/>
        </w:rPr>
        <w:t xml:space="preserve">Beidou  </w:t>
      </w:r>
      <w:r>
        <w:rPr>
          <w:rFonts w:ascii="Times New Roman" w:hAnsi="Times New Roman" w:eastAsia="Times New Roman" w:cs="Times New Roman"/>
          <w:spacing w:val="-2"/>
          <w:sz w:val="21"/>
          <w:szCs w:val="21"/>
        </w:rPr>
        <w:t>Navigation   Satell</w:t>
      </w:r>
      <w:r>
        <w:rPr>
          <w:rFonts w:ascii="Times New Roman" w:hAnsi="Times New Roman" w:eastAsia="Times New Roman" w:cs="Times New Roman"/>
          <w:spacing w:val="-3"/>
          <w:sz w:val="21"/>
          <w:szCs w:val="21"/>
        </w:rPr>
        <w:t>ite   System,BDS)</w:t>
      </w:r>
      <w:r>
        <w:rPr>
          <w:rFonts w:ascii="宋体" w:hAnsi="宋体" w:eastAsia="宋体" w:cs="宋体"/>
          <w:spacing w:val="-3"/>
          <w:sz w:val="21"/>
          <w:szCs w:val="21"/>
        </w:rPr>
        <w:t>、美国全球定位系统</w:t>
      </w:r>
      <w:r>
        <w:rPr>
          <w:rFonts w:ascii="宋体" w:hAnsi="宋体" w:eastAsia="宋体" w:cs="宋体"/>
          <w:spacing w:val="-44"/>
          <w:sz w:val="21"/>
          <w:szCs w:val="21"/>
        </w:rPr>
        <w:t xml:space="preserve"> </w:t>
      </w:r>
      <w:r>
        <w:rPr>
          <w:rFonts w:ascii="Times New Roman" w:hAnsi="Times New Roman" w:eastAsia="Times New Roman" w:cs="Times New Roman"/>
          <w:spacing w:val="-3"/>
          <w:sz w:val="21"/>
          <w:szCs w:val="21"/>
        </w:rPr>
        <w:t>(GPS)</w:t>
      </w:r>
      <w:r>
        <w:rPr>
          <w:rFonts w:ascii="Times New Roman" w:hAnsi="Times New Roman" w:eastAsia="Times New Roman" w:cs="Times New Roman"/>
          <w:spacing w:val="-30"/>
          <w:sz w:val="21"/>
          <w:szCs w:val="21"/>
        </w:rPr>
        <w:t xml:space="preserve"> </w:t>
      </w:r>
      <w:r>
        <w:rPr>
          <w:rFonts w:ascii="宋体" w:hAnsi="宋体" w:eastAsia="宋体" w:cs="宋体"/>
          <w:spacing w:val="-3"/>
          <w:sz w:val="21"/>
          <w:szCs w:val="21"/>
        </w:rPr>
        <w:t>、 俄罗斯格洛纳斯卫星导</w:t>
      </w:r>
      <w:r>
        <w:rPr>
          <w:rFonts w:ascii="宋体" w:hAnsi="宋体" w:eastAsia="宋体" w:cs="宋体"/>
          <w:sz w:val="21"/>
          <w:szCs w:val="21"/>
        </w:rPr>
        <w:t xml:space="preserve"> </w:t>
      </w:r>
      <w:r>
        <w:rPr>
          <w:rFonts w:ascii="宋体" w:hAnsi="宋体" w:eastAsia="宋体" w:cs="宋体"/>
          <w:spacing w:val="-2"/>
          <w:sz w:val="21"/>
          <w:szCs w:val="21"/>
        </w:rPr>
        <w:t>航系统</w:t>
      </w:r>
      <w:r>
        <w:rPr>
          <w:rFonts w:ascii="宋体" w:hAnsi="宋体" w:eastAsia="宋体" w:cs="宋体"/>
          <w:spacing w:val="-47"/>
          <w:sz w:val="21"/>
          <w:szCs w:val="21"/>
        </w:rPr>
        <w:t xml:space="preserve"> </w:t>
      </w:r>
      <w:r>
        <w:rPr>
          <w:rFonts w:ascii="Times New Roman" w:hAnsi="Times New Roman" w:eastAsia="Times New Roman" w:cs="Times New Roman"/>
          <w:spacing w:val="-2"/>
          <w:sz w:val="21"/>
          <w:szCs w:val="21"/>
        </w:rPr>
        <w:t>(GLONASS)</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w:t>
      </w:r>
      <w:r>
        <w:rPr>
          <w:rFonts w:ascii="宋体" w:hAnsi="宋体" w:eastAsia="宋体" w:cs="宋体"/>
          <w:spacing w:val="-44"/>
          <w:sz w:val="21"/>
          <w:szCs w:val="21"/>
        </w:rPr>
        <w:t xml:space="preserve"> </w:t>
      </w:r>
      <w:r>
        <w:rPr>
          <w:rFonts w:ascii="宋体" w:hAnsi="宋体" w:eastAsia="宋体" w:cs="宋体"/>
          <w:spacing w:val="-2"/>
          <w:sz w:val="21"/>
          <w:szCs w:val="21"/>
        </w:rPr>
        <w:t>欧盟伽利略定位系统</w:t>
      </w:r>
      <w:r>
        <w:rPr>
          <w:rFonts w:ascii="宋体" w:hAnsi="宋体" w:eastAsia="宋体" w:cs="宋体"/>
          <w:spacing w:val="-60"/>
          <w:sz w:val="21"/>
          <w:szCs w:val="21"/>
        </w:rPr>
        <w:t xml:space="preserve"> </w:t>
      </w:r>
      <w:r>
        <w:rPr>
          <w:rFonts w:ascii="Times New Roman" w:hAnsi="Times New Roman" w:eastAsia="Times New Roman" w:cs="Times New Roman"/>
          <w:spacing w:val="-2"/>
          <w:sz w:val="21"/>
          <w:szCs w:val="21"/>
        </w:rPr>
        <w:t>(GALILEO</w:t>
      </w:r>
      <w:r>
        <w:rPr>
          <w:rFonts w:ascii="Times New Roman" w:hAnsi="Times New Roman" w:eastAsia="Times New Roman" w:cs="Times New Roman"/>
          <w:spacing w:val="-3"/>
          <w:sz w:val="21"/>
          <w:szCs w:val="21"/>
        </w:rPr>
        <w:t>)</w:t>
      </w:r>
      <w:r>
        <w:rPr>
          <w:rFonts w:ascii="宋体" w:hAnsi="宋体" w:eastAsia="宋体" w:cs="宋体"/>
          <w:spacing w:val="-3"/>
          <w:sz w:val="21"/>
          <w:szCs w:val="21"/>
        </w:rPr>
        <w:t>。</w:t>
      </w:r>
    </w:p>
    <w:p w14:paraId="1D271238">
      <w:pPr>
        <w:spacing w:before="68" w:line="221" w:lineRule="auto"/>
        <w:ind w:left="1362"/>
        <w:rPr>
          <w:rFonts w:ascii="黑体" w:hAnsi="黑体" w:eastAsia="黑体" w:cs="黑体"/>
          <w:sz w:val="21"/>
          <w:szCs w:val="21"/>
        </w:rPr>
      </w:pPr>
      <w:r>
        <w:rPr>
          <w:rFonts w:ascii="黑体" w:hAnsi="黑体" w:eastAsia="黑体" w:cs="黑体"/>
          <w:b/>
          <w:bCs/>
          <w:color w:val="207080"/>
          <w:spacing w:val="24"/>
          <w:sz w:val="21"/>
          <w:szCs w:val="21"/>
        </w:rPr>
        <w:t>6)水准尺</w:t>
      </w:r>
    </w:p>
    <w:p w14:paraId="2D3FB709">
      <w:pPr>
        <w:spacing w:before="25" w:line="278" w:lineRule="auto"/>
        <w:ind w:left="949" w:right="1517" w:firstLine="410"/>
        <w:rPr>
          <w:rFonts w:ascii="Times New Roman" w:hAnsi="Times New Roman" w:eastAsia="Times New Roman" w:cs="Times New Roman"/>
          <w:sz w:val="21"/>
          <w:szCs w:val="21"/>
        </w:rPr>
      </w:pPr>
      <w:r>
        <w:rPr>
          <w:rFonts w:ascii="宋体" w:hAnsi="宋体" w:eastAsia="宋体" w:cs="宋体"/>
          <w:spacing w:val="2"/>
          <w:sz w:val="21"/>
          <w:szCs w:val="21"/>
        </w:rPr>
        <w:t>水准尺是水准测量使用的标尺。二等水准测量使用铟瓦水准尺。三、四等水准测</w:t>
      </w:r>
      <w:r>
        <w:rPr>
          <w:rFonts w:ascii="宋体" w:hAnsi="宋体" w:eastAsia="宋体" w:cs="宋体"/>
          <w:spacing w:val="6"/>
          <w:sz w:val="21"/>
          <w:szCs w:val="21"/>
        </w:rPr>
        <w:t xml:space="preserve"> </w:t>
      </w:r>
      <w:r>
        <w:rPr>
          <w:rFonts w:ascii="宋体" w:hAnsi="宋体" w:eastAsia="宋体" w:cs="宋体"/>
          <w:spacing w:val="2"/>
          <w:sz w:val="21"/>
          <w:szCs w:val="21"/>
        </w:rPr>
        <w:t>量或其他普通水准测量使用的水准尺是用干燥木料、铝合金或者玻璃</w:t>
      </w:r>
      <w:r>
        <w:rPr>
          <w:rFonts w:ascii="宋体" w:hAnsi="宋体" w:eastAsia="宋体" w:cs="宋体"/>
          <w:spacing w:val="1"/>
          <w:sz w:val="21"/>
          <w:szCs w:val="21"/>
        </w:rPr>
        <w:t>纤维合成材料制</w:t>
      </w:r>
      <w:r>
        <w:rPr>
          <w:rFonts w:ascii="宋体" w:hAnsi="宋体" w:eastAsia="宋体" w:cs="宋体"/>
          <w:sz w:val="21"/>
          <w:szCs w:val="21"/>
        </w:rPr>
        <w:t xml:space="preserve"> </w:t>
      </w:r>
      <w:r>
        <w:rPr>
          <w:rFonts w:ascii="宋体" w:hAnsi="宋体" w:eastAsia="宋体" w:cs="宋体"/>
          <w:spacing w:val="-4"/>
          <w:sz w:val="21"/>
          <w:szCs w:val="21"/>
        </w:rPr>
        <w:t>成，按其构造分为折尺、塔尺、直尺等数种，其横剖面成丁字形、槽形、工字形等。双</w:t>
      </w:r>
      <w:r>
        <w:rPr>
          <w:rFonts w:ascii="宋体" w:hAnsi="宋体" w:eastAsia="宋体" w:cs="宋体"/>
          <w:spacing w:val="3"/>
          <w:sz w:val="21"/>
          <w:szCs w:val="21"/>
        </w:rPr>
        <w:t xml:space="preserve"> </w:t>
      </w:r>
      <w:r>
        <w:rPr>
          <w:rFonts w:ascii="宋体" w:hAnsi="宋体" w:eastAsia="宋体" w:cs="宋体"/>
          <w:spacing w:val="1"/>
          <w:sz w:val="21"/>
          <w:szCs w:val="21"/>
        </w:rPr>
        <w:t>面水准尺，尺长为3</w:t>
      </w:r>
      <w:r>
        <w:rPr>
          <w:rFonts w:ascii="Times New Roman" w:hAnsi="Times New Roman" w:eastAsia="Times New Roman" w:cs="Times New Roman"/>
          <w:spacing w:val="1"/>
          <w:sz w:val="21"/>
          <w:szCs w:val="21"/>
        </w:rPr>
        <w:t xml:space="preserve">m,  </w:t>
      </w:r>
      <w:r>
        <w:rPr>
          <w:rFonts w:ascii="宋体" w:hAnsi="宋体" w:eastAsia="宋体" w:cs="宋体"/>
          <w:spacing w:val="1"/>
          <w:sz w:val="21"/>
          <w:szCs w:val="21"/>
        </w:rPr>
        <w:t>是以厘米为分划单位的区格式水准尺。一面分划黑白相间称为</w:t>
      </w:r>
      <w:r>
        <w:rPr>
          <w:rFonts w:ascii="宋体" w:hAnsi="宋体" w:eastAsia="宋体" w:cs="宋体"/>
          <w:spacing w:val="11"/>
          <w:sz w:val="21"/>
          <w:szCs w:val="21"/>
        </w:rPr>
        <w:t xml:space="preserve"> </w:t>
      </w:r>
      <w:r>
        <w:rPr>
          <w:rFonts w:ascii="宋体" w:hAnsi="宋体" w:eastAsia="宋体" w:cs="宋体"/>
          <w:spacing w:val="4"/>
          <w:sz w:val="21"/>
          <w:szCs w:val="21"/>
        </w:rPr>
        <w:t>黑面尺(也叫主尺),另一面分划红白相间称为红面尺(也叫辅尺)。测量中，两根为一</w:t>
      </w:r>
      <w:r>
        <w:rPr>
          <w:rFonts w:ascii="宋体" w:hAnsi="宋体" w:eastAsia="宋体" w:cs="宋体"/>
          <w:spacing w:val="9"/>
          <w:sz w:val="21"/>
          <w:szCs w:val="21"/>
        </w:rPr>
        <w:t xml:space="preserve"> </w:t>
      </w:r>
      <w:r>
        <w:rPr>
          <w:rFonts w:ascii="宋体" w:hAnsi="宋体" w:eastAsia="宋体" w:cs="宋体"/>
          <w:spacing w:val="1"/>
          <w:sz w:val="21"/>
          <w:szCs w:val="21"/>
        </w:rPr>
        <w:t>副，黑面分划的起始数字为“0”,而红面底部起始数</w:t>
      </w:r>
      <w:r>
        <w:rPr>
          <w:rFonts w:ascii="宋体" w:hAnsi="宋体" w:eastAsia="宋体" w:cs="宋体"/>
          <w:sz w:val="21"/>
          <w:szCs w:val="21"/>
        </w:rPr>
        <w:t>字不是“0”,一根</w:t>
      </w:r>
      <w:r>
        <w:rPr>
          <w:rFonts w:ascii="Times New Roman" w:hAnsi="Times New Roman" w:eastAsia="Times New Roman" w:cs="Times New Roman"/>
          <w:sz w:val="21"/>
          <w:szCs w:val="21"/>
        </w:rPr>
        <w:t>K=4687mm,</w:t>
      </w:r>
    </w:p>
    <w:p w14:paraId="5A3A7C8E">
      <w:pPr>
        <w:spacing w:before="8" w:line="287" w:lineRule="auto"/>
        <w:ind w:left="949" w:right="1526"/>
        <w:rPr>
          <w:rFonts w:ascii="宋体" w:hAnsi="宋体" w:eastAsia="宋体" w:cs="宋体"/>
          <w:sz w:val="21"/>
          <w:szCs w:val="21"/>
        </w:rPr>
      </w:pPr>
      <w:r>
        <w:rPr>
          <w:rFonts w:ascii="宋体" w:hAnsi="宋体" w:eastAsia="宋体" w:cs="宋体"/>
          <w:sz w:val="21"/>
          <w:szCs w:val="21"/>
        </w:rPr>
        <w:t>另一根</w:t>
      </w:r>
      <w:r>
        <w:rPr>
          <w:rFonts w:ascii="Times New Roman" w:hAnsi="Times New Roman" w:eastAsia="Times New Roman" w:cs="Times New Roman"/>
          <w:sz w:val="21"/>
          <w:szCs w:val="21"/>
        </w:rPr>
        <w:t xml:space="preserve">K=4787mm,K      </w:t>
      </w:r>
      <w:r>
        <w:rPr>
          <w:rFonts w:ascii="宋体" w:hAnsi="宋体" w:eastAsia="宋体" w:cs="宋体"/>
          <w:sz w:val="21"/>
          <w:szCs w:val="21"/>
        </w:rPr>
        <w:t>称为尺常数，以此可以验核读数是否正确。尺面每隔1</w:t>
      </w:r>
      <w:r>
        <w:rPr>
          <w:rFonts w:ascii="Times New Roman" w:hAnsi="Times New Roman" w:eastAsia="Times New Roman" w:cs="Times New Roman"/>
          <w:sz w:val="21"/>
          <w:szCs w:val="21"/>
        </w:rPr>
        <w:t xml:space="preserve">cm </w:t>
      </w:r>
      <w:r>
        <w:rPr>
          <w:rFonts w:ascii="宋体" w:hAnsi="宋体" w:eastAsia="宋体" w:cs="宋体"/>
          <w:spacing w:val="-1"/>
          <w:sz w:val="21"/>
          <w:szCs w:val="21"/>
        </w:rPr>
        <w:t>涂有</w:t>
      </w:r>
      <w:r>
        <w:rPr>
          <w:rFonts w:ascii="宋体" w:hAnsi="宋体" w:eastAsia="宋体" w:cs="宋体"/>
          <w:sz w:val="21"/>
          <w:szCs w:val="21"/>
        </w:rPr>
        <w:t xml:space="preserve"> </w:t>
      </w:r>
      <w:r>
        <w:rPr>
          <w:rFonts w:ascii="宋体" w:hAnsi="宋体" w:eastAsia="宋体" w:cs="宋体"/>
          <w:spacing w:val="-4"/>
          <w:sz w:val="21"/>
          <w:szCs w:val="21"/>
        </w:rPr>
        <w:t>黑白或红白相间的分格，每分米有数字注记。为倒像望远镜观测方便，注字常倒写。水</w:t>
      </w:r>
      <w:r>
        <w:rPr>
          <w:rFonts w:ascii="宋体" w:hAnsi="宋体" w:eastAsia="宋体" w:cs="宋体"/>
          <w:sz w:val="21"/>
          <w:szCs w:val="21"/>
        </w:rPr>
        <w:t xml:space="preserve"> </w:t>
      </w:r>
      <w:r>
        <w:rPr>
          <w:rFonts w:ascii="宋体" w:hAnsi="宋体" w:eastAsia="宋体" w:cs="宋体"/>
          <w:spacing w:val="-3"/>
          <w:sz w:val="21"/>
          <w:szCs w:val="21"/>
        </w:rPr>
        <w:t>准尺侧面一般装有圆水准器。</w:t>
      </w:r>
    </w:p>
    <w:p w14:paraId="351A7597">
      <w:pPr>
        <w:spacing w:before="19" w:line="222" w:lineRule="auto"/>
        <w:ind w:left="1362"/>
        <w:rPr>
          <w:rFonts w:ascii="黑体" w:hAnsi="黑体" w:eastAsia="黑体" w:cs="黑体"/>
          <w:sz w:val="21"/>
          <w:szCs w:val="21"/>
        </w:rPr>
      </w:pPr>
      <w:r>
        <w:rPr>
          <w:rFonts w:ascii="宋体" w:hAnsi="宋体" w:eastAsia="宋体" w:cs="宋体"/>
          <w:b/>
          <w:bCs/>
          <w:color w:val="208090"/>
          <w:spacing w:val="6"/>
          <w:sz w:val="21"/>
          <w:szCs w:val="21"/>
        </w:rPr>
        <w:t>2.</w:t>
      </w:r>
      <w:r>
        <w:rPr>
          <w:rFonts w:ascii="宋体" w:hAnsi="宋体" w:eastAsia="宋体" w:cs="宋体"/>
          <w:color w:val="208090"/>
          <w:spacing w:val="-43"/>
          <w:sz w:val="21"/>
          <w:szCs w:val="21"/>
        </w:rPr>
        <w:t xml:space="preserve"> </w:t>
      </w:r>
      <w:r>
        <w:rPr>
          <w:rFonts w:ascii="黑体" w:hAnsi="黑体" w:eastAsia="黑体" w:cs="黑体"/>
          <w:b/>
          <w:bCs/>
          <w:color w:val="208090"/>
          <w:spacing w:val="6"/>
          <w:sz w:val="21"/>
          <w:szCs w:val="21"/>
        </w:rPr>
        <w:t>常用测量仪器的使用</w:t>
      </w:r>
    </w:p>
    <w:p w14:paraId="734301D7">
      <w:pPr>
        <w:spacing w:before="58" w:line="222" w:lineRule="auto"/>
        <w:ind w:left="1362"/>
        <w:rPr>
          <w:rFonts w:ascii="黑体" w:hAnsi="黑体" w:eastAsia="黑体" w:cs="黑体"/>
          <w:sz w:val="21"/>
          <w:szCs w:val="21"/>
        </w:rPr>
      </w:pPr>
      <w:r>
        <w:rPr>
          <w:rFonts w:ascii="黑体" w:hAnsi="黑体" w:eastAsia="黑体" w:cs="黑体"/>
          <w:b/>
          <w:bCs/>
          <w:color w:val="208090"/>
          <w:spacing w:val="12"/>
          <w:sz w:val="21"/>
          <w:szCs w:val="21"/>
        </w:rPr>
        <w:t>1)水准仪的使用</w:t>
      </w:r>
    </w:p>
    <w:p w14:paraId="6090B97F">
      <w:pPr>
        <w:spacing w:before="31" w:line="263" w:lineRule="auto"/>
        <w:ind w:left="949" w:right="1431" w:firstLine="410"/>
        <w:rPr>
          <w:rFonts w:ascii="宋体" w:hAnsi="宋体" w:eastAsia="宋体" w:cs="宋体"/>
          <w:sz w:val="21"/>
          <w:szCs w:val="21"/>
        </w:rPr>
      </w:pPr>
      <w:r>
        <w:rPr>
          <w:rFonts w:ascii="宋体" w:hAnsi="宋体" w:eastAsia="宋体" w:cs="宋体"/>
          <w:spacing w:val="7"/>
          <w:sz w:val="21"/>
          <w:szCs w:val="21"/>
        </w:rPr>
        <w:t>(1)微倾水准仪的使用步骤包括安置仪器和粗略整平(简称粗平)、调焦和照准、</w:t>
      </w:r>
      <w:r>
        <w:rPr>
          <w:rFonts w:ascii="宋体" w:hAnsi="宋体" w:eastAsia="宋体" w:cs="宋体"/>
          <w:spacing w:val="9"/>
          <w:sz w:val="21"/>
          <w:szCs w:val="21"/>
        </w:rPr>
        <w:t xml:space="preserve"> </w:t>
      </w:r>
      <w:r>
        <w:rPr>
          <w:rFonts w:ascii="宋体" w:hAnsi="宋体" w:eastAsia="宋体" w:cs="宋体"/>
          <w:spacing w:val="10"/>
          <w:sz w:val="21"/>
          <w:szCs w:val="21"/>
        </w:rPr>
        <w:t>精确整平(简称精平)和读数。</w:t>
      </w:r>
    </w:p>
    <w:p w14:paraId="449B41B5">
      <w:pPr>
        <w:spacing w:before="39" w:line="267" w:lineRule="auto"/>
        <w:ind w:left="949" w:right="1524" w:firstLine="410"/>
        <w:rPr>
          <w:rFonts w:ascii="宋体" w:hAnsi="宋体" w:eastAsia="宋体" w:cs="宋体"/>
          <w:sz w:val="21"/>
          <w:szCs w:val="21"/>
        </w:rPr>
      </w:pPr>
      <w:r>
        <w:rPr>
          <w:rFonts w:ascii="宋体" w:hAnsi="宋体" w:eastAsia="宋体" w:cs="宋体"/>
          <w:spacing w:val="2"/>
          <w:sz w:val="21"/>
          <w:szCs w:val="21"/>
        </w:rPr>
        <w:t>①安置水准仪和粗平。先选好平坦、坚固的地面作为水准仪的安置点，然</w:t>
      </w:r>
      <w:r>
        <w:rPr>
          <w:rFonts w:ascii="宋体" w:hAnsi="宋体" w:eastAsia="宋体" w:cs="宋体"/>
          <w:spacing w:val="1"/>
          <w:sz w:val="21"/>
          <w:szCs w:val="21"/>
        </w:rPr>
        <w:t>后张开</w:t>
      </w:r>
      <w:r>
        <w:rPr>
          <w:rFonts w:ascii="宋体" w:hAnsi="宋体" w:eastAsia="宋体" w:cs="宋体"/>
          <w:sz w:val="21"/>
          <w:szCs w:val="21"/>
        </w:rPr>
        <w:t xml:space="preserve"> </w:t>
      </w:r>
      <w:r>
        <w:rPr>
          <w:rFonts w:ascii="宋体" w:hAnsi="宋体" w:eastAsia="宋体" w:cs="宋体"/>
          <w:spacing w:val="-4"/>
          <w:sz w:val="21"/>
          <w:szCs w:val="21"/>
        </w:rPr>
        <w:t>三脚架使之高度适中，架头大致水平，再用连接螺旋将水准仪固定在三脚架头上，将架</w:t>
      </w:r>
      <w:r>
        <w:rPr>
          <w:rFonts w:ascii="宋体" w:hAnsi="宋体" w:eastAsia="宋体" w:cs="宋体"/>
          <w:spacing w:val="2"/>
          <w:sz w:val="21"/>
          <w:szCs w:val="21"/>
        </w:rPr>
        <w:t xml:space="preserve"> </w:t>
      </w:r>
      <w:r>
        <w:rPr>
          <w:rFonts w:ascii="宋体" w:hAnsi="宋体" w:eastAsia="宋体" w:cs="宋体"/>
          <w:spacing w:val="-4"/>
          <w:sz w:val="21"/>
          <w:szCs w:val="21"/>
        </w:rPr>
        <w:t>腿的脚尖踩实。调整三个脚螺旋，使圆水准气泡居中称为粗平。</w:t>
      </w:r>
    </w:p>
    <w:p w14:paraId="002EAB42">
      <w:pPr>
        <w:spacing w:before="28" w:line="274" w:lineRule="auto"/>
        <w:ind w:left="949" w:right="1431" w:firstLine="410"/>
        <w:rPr>
          <w:rFonts w:ascii="宋体" w:hAnsi="宋体" w:eastAsia="宋体" w:cs="宋体"/>
          <w:sz w:val="21"/>
          <w:szCs w:val="21"/>
        </w:rPr>
      </w:pPr>
      <w:r>
        <w:rPr>
          <w:rFonts w:ascii="宋体" w:hAnsi="宋体" w:eastAsia="宋体" w:cs="宋体"/>
          <w:spacing w:val="4"/>
          <w:sz w:val="21"/>
          <w:szCs w:val="21"/>
        </w:rPr>
        <w:t xml:space="preserve">②调焦和照准。水准仪整平后，将望远镜对着明亮的背景，转动目镜调焦螺旋， </w:t>
      </w:r>
      <w:r>
        <w:rPr>
          <w:rFonts w:ascii="宋体" w:hAnsi="宋体" w:eastAsia="宋体" w:cs="宋体"/>
          <w:spacing w:val="-4"/>
          <w:sz w:val="21"/>
          <w:szCs w:val="21"/>
        </w:rPr>
        <w:t>使十字丝清晰。用望远镜的准星和照门瞄准水准尺，然后旋紧制动螺旋固定望远镜，转</w:t>
      </w:r>
      <w:r>
        <w:rPr>
          <w:rFonts w:ascii="宋体" w:hAnsi="宋体" w:eastAsia="宋体" w:cs="宋体"/>
          <w:sz w:val="21"/>
          <w:szCs w:val="21"/>
        </w:rPr>
        <w:t xml:space="preserve">  </w:t>
      </w:r>
      <w:r>
        <w:rPr>
          <w:rFonts w:ascii="宋体" w:hAnsi="宋体" w:eastAsia="宋体" w:cs="宋体"/>
          <w:spacing w:val="-4"/>
          <w:sz w:val="21"/>
          <w:szCs w:val="21"/>
        </w:rPr>
        <w:t>动物镜调焦螺旋，待水准尺成像清晰后，再转动水平微动螺旋，使十字丝竖丝照准水准</w:t>
      </w:r>
      <w:r>
        <w:rPr>
          <w:rFonts w:ascii="宋体" w:hAnsi="宋体" w:eastAsia="宋体" w:cs="宋体"/>
          <w:sz w:val="21"/>
          <w:szCs w:val="21"/>
        </w:rPr>
        <w:t xml:space="preserve">  </w:t>
      </w:r>
      <w:r>
        <w:rPr>
          <w:rFonts w:ascii="宋体" w:hAnsi="宋体" w:eastAsia="宋体" w:cs="宋体"/>
          <w:spacing w:val="-1"/>
          <w:sz w:val="21"/>
          <w:szCs w:val="21"/>
        </w:rPr>
        <w:t>尺。瞄准目标后，眼睛可在目镜处做上下移</w:t>
      </w:r>
      <w:r>
        <w:rPr>
          <w:rFonts w:ascii="宋体" w:hAnsi="宋体" w:eastAsia="宋体" w:cs="宋体"/>
          <w:spacing w:val="-2"/>
          <w:sz w:val="21"/>
          <w:szCs w:val="21"/>
        </w:rPr>
        <w:t>动，如发现十字丝与目标影像有相对移动，</w:t>
      </w:r>
      <w:r>
        <w:rPr>
          <w:rFonts w:ascii="宋体" w:hAnsi="宋体" w:eastAsia="宋体" w:cs="宋体"/>
          <w:sz w:val="21"/>
          <w:szCs w:val="21"/>
        </w:rPr>
        <w:t xml:space="preserve"> </w:t>
      </w:r>
      <w:r>
        <w:rPr>
          <w:rFonts w:ascii="宋体" w:hAnsi="宋体" w:eastAsia="宋体" w:cs="宋体"/>
          <w:spacing w:val="-4"/>
          <w:sz w:val="21"/>
          <w:szCs w:val="21"/>
        </w:rPr>
        <w:t>读数随眼睛的移动而改变，说明有视差。产生视差的原因是目标影像与十字丝分划板不</w:t>
      </w:r>
      <w:r>
        <w:rPr>
          <w:rFonts w:ascii="宋体" w:hAnsi="宋体" w:eastAsia="宋体" w:cs="宋体"/>
          <w:spacing w:val="1"/>
          <w:sz w:val="21"/>
          <w:szCs w:val="21"/>
        </w:rPr>
        <w:t xml:space="preserve">  </w:t>
      </w:r>
      <w:r>
        <w:rPr>
          <w:rFonts w:ascii="宋体" w:hAnsi="宋体" w:eastAsia="宋体" w:cs="宋体"/>
          <w:spacing w:val="-1"/>
          <w:sz w:val="21"/>
          <w:szCs w:val="21"/>
        </w:rPr>
        <w:t>重合，它将影响读数的正确性。必须消除视</w:t>
      </w:r>
      <w:r>
        <w:rPr>
          <w:rFonts w:ascii="宋体" w:hAnsi="宋体" w:eastAsia="宋体" w:cs="宋体"/>
          <w:spacing w:val="-2"/>
          <w:sz w:val="21"/>
          <w:szCs w:val="21"/>
        </w:rPr>
        <w:t>差，办法是先调目镜调焦螺旋看清十字丝，</w:t>
      </w:r>
      <w:r>
        <w:rPr>
          <w:rFonts w:ascii="宋体" w:hAnsi="宋体" w:eastAsia="宋体" w:cs="宋体"/>
          <w:sz w:val="21"/>
          <w:szCs w:val="21"/>
        </w:rPr>
        <w:t xml:space="preserve"> </w:t>
      </w:r>
      <w:r>
        <w:rPr>
          <w:rFonts w:ascii="宋体" w:hAnsi="宋体" w:eastAsia="宋体" w:cs="宋体"/>
          <w:spacing w:val="-4"/>
          <w:sz w:val="21"/>
          <w:szCs w:val="21"/>
        </w:rPr>
        <w:t>再继续仔细地转动物镜调焦螺旋，直至尺像与十字丝平面重合。</w:t>
      </w:r>
    </w:p>
    <w:p w14:paraId="2D749122">
      <w:pPr>
        <w:spacing w:before="60" w:line="255" w:lineRule="auto"/>
        <w:ind w:left="949" w:right="1522" w:firstLine="410"/>
        <w:rPr>
          <w:rFonts w:ascii="宋体" w:hAnsi="宋体" w:eastAsia="宋体" w:cs="宋体"/>
          <w:sz w:val="21"/>
          <w:szCs w:val="21"/>
        </w:rPr>
      </w:pPr>
      <w:r>
        <w:rPr>
          <w:rFonts w:ascii="宋体" w:hAnsi="宋体" w:eastAsia="宋体" w:cs="宋体"/>
          <w:spacing w:val="2"/>
          <w:sz w:val="21"/>
          <w:szCs w:val="21"/>
        </w:rPr>
        <w:t xml:space="preserve">③精平。转动微倾螺旋，同时察看水准管气泡观察窗，当符合水准管气泡成像吻 </w:t>
      </w:r>
      <w:r>
        <w:rPr>
          <w:rFonts w:ascii="宋体" w:hAnsi="宋体" w:eastAsia="宋体" w:cs="宋体"/>
          <w:spacing w:val="-6"/>
          <w:sz w:val="21"/>
          <w:szCs w:val="21"/>
        </w:rPr>
        <w:t>合时，表明已精确整平。</w:t>
      </w:r>
    </w:p>
    <w:p w14:paraId="5167D01C">
      <w:pPr>
        <w:pStyle w:val="2"/>
        <w:spacing w:line="357" w:lineRule="auto"/>
      </w:pPr>
    </w:p>
    <w:p w14:paraId="65255F34">
      <w:pPr>
        <w:pStyle w:val="2"/>
        <w:spacing w:line="358" w:lineRule="auto"/>
      </w:pPr>
    </w:p>
    <w:p w14:paraId="771AEE40">
      <w:pPr>
        <w:spacing w:line="189" w:lineRule="auto"/>
        <w:rPr>
          <w:rFonts w:ascii="宋体" w:hAnsi="宋体" w:eastAsia="宋体" w:cs="宋体"/>
          <w:sz w:val="21"/>
          <w:szCs w:val="21"/>
        </w:rPr>
        <w:sectPr>
          <w:headerReference r:id="rId9" w:type="default"/>
          <w:pgSz w:w="10320" w:h="14590"/>
          <w:pgMar w:top="318" w:right="13" w:bottom="10" w:left="0" w:header="0" w:footer="0" w:gutter="0"/>
          <w:cols w:space="720" w:num="1"/>
        </w:sectPr>
      </w:pPr>
    </w:p>
    <w:p w14:paraId="4BBF2C8D">
      <w:pPr>
        <w:spacing w:line="212" w:lineRule="auto"/>
        <w:ind w:left="290"/>
        <w:rPr>
          <w:rFonts w:ascii="宋体" w:hAnsi="宋体" w:eastAsia="宋体" w:cs="宋体"/>
          <w:sz w:val="24"/>
          <w:szCs w:val="24"/>
        </w:rPr>
      </w:pPr>
      <w:r>
        <w:rPr>
          <w:rFonts w:hint="eastAsia" w:ascii="宋体" w:hAnsi="宋体" w:eastAsia="宋体" w:cs="宋体"/>
          <w:b/>
          <w:bCs/>
          <w:spacing w:val="2"/>
          <w:sz w:val="24"/>
          <w:szCs w:val="24"/>
          <w:lang w:eastAsia="zh-CN"/>
        </w:rPr>
        <w:t>大鱼社区</w:t>
      </w:r>
      <w:r>
        <w:rPr>
          <w:rFonts w:ascii="宋体" w:hAnsi="宋体" w:eastAsia="宋体" w:cs="宋体"/>
          <w:b/>
          <w:bCs/>
          <w:spacing w:val="2"/>
          <w:sz w:val="24"/>
          <w:szCs w:val="24"/>
        </w:rPr>
        <w:t>助你备考：少走弯路，快速通关!认准</w:t>
      </w:r>
      <w:r>
        <w:rPr>
          <w:rFonts w:ascii="Times New Roman" w:hAnsi="Times New Roman" w:eastAsia="Times New Roman" w:cs="Times New Roman"/>
          <w:b/>
          <w:bCs/>
          <w:sz w:val="24"/>
          <w:szCs w:val="24"/>
        </w:rPr>
        <w:t>VX</w:t>
      </w:r>
      <w:r>
        <w:rPr>
          <w:rFonts w:ascii="Times New Roman" w:hAnsi="Times New Roman" w:eastAsia="Times New Roman" w:cs="Times New Roman"/>
          <w:b/>
          <w:bCs/>
          <w:spacing w:val="2"/>
          <w:sz w:val="24"/>
          <w:szCs w:val="24"/>
        </w:rPr>
        <w:t>:</w:t>
      </w:r>
      <w:r>
        <w:rPr>
          <w:rFonts w:hint="eastAsia" w:ascii="Times New Roman" w:hAnsi="Times New Roman" w:eastAsia="宋体" w:cs="Times New Roman"/>
          <w:b/>
          <w:bCs/>
          <w:sz w:val="24"/>
          <w:szCs w:val="24"/>
          <w:lang w:eastAsia="zh-CN"/>
        </w:rPr>
        <w:t>dayu_nm_cn</w:t>
      </w:r>
      <w:r>
        <w:rPr>
          <w:rFonts w:ascii="Times New Roman" w:hAnsi="Times New Roman" w:eastAsia="Times New Roman" w:cs="Times New Roman"/>
          <w:b/>
          <w:bCs/>
          <w:spacing w:val="2"/>
          <w:sz w:val="24"/>
          <w:szCs w:val="24"/>
        </w:rPr>
        <w:t xml:space="preserve">  </w:t>
      </w:r>
      <w:r>
        <w:rPr>
          <w:rFonts w:ascii="宋体" w:hAnsi="宋体" w:eastAsia="宋体" w:cs="宋体"/>
          <w:b/>
          <w:bCs/>
          <w:spacing w:val="2"/>
          <w:sz w:val="24"/>
          <w:szCs w:val="24"/>
        </w:rPr>
        <w:t>(天道酬勤，白嫖勿扰</w:t>
      </w:r>
      <w:r>
        <w:rPr>
          <w:rFonts w:ascii="宋体" w:hAnsi="宋体" w:eastAsia="宋体" w:cs="宋体"/>
          <w:spacing w:val="2"/>
          <w:sz w:val="24"/>
          <w:szCs w:val="24"/>
        </w:rPr>
        <w:t>)</w:t>
      </w:r>
    </w:p>
    <w:p w14:paraId="5BB29E13">
      <w:pPr>
        <w:pStyle w:val="2"/>
        <w:spacing w:line="341" w:lineRule="auto"/>
      </w:pPr>
    </w:p>
    <w:p w14:paraId="571DF41B">
      <w:pPr>
        <w:tabs>
          <w:tab w:val="left" w:pos="6577"/>
        </w:tabs>
        <w:spacing w:before="65" w:line="222" w:lineRule="auto"/>
        <w:ind w:left="1587"/>
        <w:rPr>
          <w:rFonts w:ascii="宋体" w:hAnsi="宋体" w:eastAsia="宋体" w:cs="宋体"/>
          <w:sz w:val="20"/>
          <w:szCs w:val="20"/>
        </w:rPr>
      </w:pPr>
      <w:r>
        <w:rPr>
          <w:rFonts w:ascii="黑体" w:hAnsi="黑体" w:eastAsia="黑体" w:cs="黑体"/>
          <w:sz w:val="20"/>
          <w:szCs w:val="20"/>
          <w:u w:val="single" w:color="auto"/>
        </w:rPr>
        <w:tab/>
      </w:r>
      <w:r>
        <w:rPr>
          <w:rFonts w:ascii="黑体" w:hAnsi="黑体" w:eastAsia="黑体" w:cs="黑体"/>
          <w:spacing w:val="-21"/>
          <w:sz w:val="20"/>
          <w:szCs w:val="20"/>
          <w:u w:val="single" w:color="auto"/>
        </w:rPr>
        <w:t>第1章 水利水电工程勘测与设计</w:t>
      </w:r>
      <w:r>
        <w:rPr>
          <w:rFonts w:ascii="黑体" w:hAnsi="黑体" w:eastAsia="黑体" w:cs="黑体"/>
          <w:spacing w:val="11"/>
          <w:sz w:val="20"/>
          <w:szCs w:val="20"/>
          <w:u w:val="single" w:color="auto"/>
        </w:rPr>
        <w:t xml:space="preserve">   </w:t>
      </w:r>
      <w:r>
        <w:rPr>
          <w:rFonts w:ascii="宋体" w:hAnsi="宋体" w:eastAsia="宋体" w:cs="宋体"/>
          <w:spacing w:val="-21"/>
          <w:sz w:val="20"/>
          <w:szCs w:val="20"/>
          <w:u w:val="single" w:color="auto"/>
        </w:rPr>
        <w:t>3</w:t>
      </w:r>
    </w:p>
    <w:p w14:paraId="3AE1928B">
      <w:pPr>
        <w:spacing w:before="249" w:line="258" w:lineRule="auto"/>
        <w:ind w:left="1527" w:right="864" w:firstLine="409"/>
        <w:rPr>
          <w:rFonts w:ascii="宋体" w:hAnsi="宋体" w:eastAsia="宋体" w:cs="宋体"/>
          <w:sz w:val="20"/>
          <w:szCs w:val="20"/>
        </w:rPr>
      </w:pPr>
      <w:r>
        <w:rPr>
          <w:rFonts w:ascii="宋体" w:hAnsi="宋体" w:eastAsia="宋体" w:cs="宋体"/>
          <w:spacing w:val="14"/>
          <w:sz w:val="20"/>
          <w:szCs w:val="20"/>
        </w:rPr>
        <w:t>④读数。当符合水准管气泡居中时，立即根据十字丝</w:t>
      </w:r>
      <w:r>
        <w:rPr>
          <w:rFonts w:ascii="宋体" w:hAnsi="宋体" w:eastAsia="宋体" w:cs="宋体"/>
          <w:spacing w:val="13"/>
          <w:sz w:val="20"/>
          <w:szCs w:val="20"/>
        </w:rPr>
        <w:t>中丝在水准尺上读数。不论</w:t>
      </w:r>
      <w:r>
        <w:rPr>
          <w:rFonts w:ascii="宋体" w:hAnsi="宋体" w:eastAsia="宋体" w:cs="宋体"/>
          <w:sz w:val="20"/>
          <w:szCs w:val="20"/>
        </w:rPr>
        <w:t xml:space="preserve"> </w:t>
      </w:r>
      <w:r>
        <w:rPr>
          <w:rFonts w:ascii="宋体" w:hAnsi="宋体" w:eastAsia="宋体" w:cs="宋体"/>
          <w:spacing w:val="8"/>
          <w:sz w:val="20"/>
          <w:szCs w:val="20"/>
        </w:rPr>
        <w:t>使用的水准仪是正像或是倒像，读数总是由注记小的一端向大的一端读出。通常读数保</w:t>
      </w:r>
      <w:r>
        <w:rPr>
          <w:rFonts w:ascii="宋体" w:hAnsi="宋体" w:eastAsia="宋体" w:cs="宋体"/>
          <w:spacing w:val="1"/>
          <w:sz w:val="20"/>
          <w:szCs w:val="20"/>
        </w:rPr>
        <w:t xml:space="preserve"> </w:t>
      </w:r>
      <w:r>
        <w:rPr>
          <w:rFonts w:ascii="宋体" w:hAnsi="宋体" w:eastAsia="宋体" w:cs="宋体"/>
          <w:spacing w:val="-2"/>
          <w:sz w:val="20"/>
          <w:szCs w:val="20"/>
        </w:rPr>
        <w:t>留四位数。</w:t>
      </w:r>
    </w:p>
    <w:p w14:paraId="2418AAD7">
      <w:pPr>
        <w:spacing w:before="113" w:line="269" w:lineRule="auto"/>
        <w:ind w:left="1527" w:right="861" w:firstLine="409"/>
        <w:rPr>
          <w:rFonts w:ascii="宋体" w:hAnsi="宋体" w:eastAsia="宋体" w:cs="宋体"/>
          <w:sz w:val="20"/>
          <w:szCs w:val="20"/>
        </w:rPr>
      </w:pPr>
      <w:r>
        <w:rPr>
          <w:rFonts w:ascii="宋体" w:hAnsi="宋体" w:eastAsia="宋体" w:cs="宋体"/>
          <w:spacing w:val="17"/>
          <w:sz w:val="20"/>
          <w:szCs w:val="20"/>
        </w:rPr>
        <w:t>(2)精密水准仪的操作程序。与一般</w:t>
      </w:r>
      <w:r>
        <w:rPr>
          <w:rFonts w:ascii="宋体" w:hAnsi="宋体" w:eastAsia="宋体" w:cs="宋体"/>
          <w:sz w:val="20"/>
          <w:szCs w:val="20"/>
        </w:rPr>
        <w:t>DS</w:t>
      </w:r>
      <w:r>
        <w:rPr>
          <w:rFonts w:ascii="宋体" w:hAnsi="宋体" w:eastAsia="宋体" w:cs="宋体"/>
          <w:spacing w:val="17"/>
          <w:sz w:val="20"/>
          <w:szCs w:val="20"/>
        </w:rPr>
        <w:t>3 水准仪</w:t>
      </w:r>
      <w:r>
        <w:rPr>
          <w:rFonts w:ascii="宋体" w:hAnsi="宋体" w:eastAsia="宋体" w:cs="宋体"/>
          <w:spacing w:val="16"/>
          <w:sz w:val="20"/>
          <w:szCs w:val="20"/>
        </w:rPr>
        <w:t>基本相同，不同之处是精密水准</w:t>
      </w:r>
      <w:r>
        <w:rPr>
          <w:rFonts w:ascii="宋体" w:hAnsi="宋体" w:eastAsia="宋体" w:cs="宋体"/>
          <w:sz w:val="20"/>
          <w:szCs w:val="20"/>
        </w:rPr>
        <w:t xml:space="preserve"> </w:t>
      </w:r>
      <w:r>
        <w:rPr>
          <w:rFonts w:ascii="宋体" w:hAnsi="宋体" w:eastAsia="宋体" w:cs="宋体"/>
          <w:spacing w:val="8"/>
          <w:sz w:val="20"/>
          <w:szCs w:val="20"/>
        </w:rPr>
        <w:t>仪是采用光学测微器测出不足一个分格的数值</w:t>
      </w:r>
      <w:r>
        <w:rPr>
          <w:rFonts w:ascii="宋体" w:hAnsi="宋体" w:eastAsia="宋体" w:cs="宋体"/>
          <w:spacing w:val="7"/>
          <w:sz w:val="20"/>
          <w:szCs w:val="20"/>
        </w:rPr>
        <w:t>。作业时，先转动微倾螺旋，使望远镜视</w:t>
      </w:r>
      <w:r>
        <w:rPr>
          <w:rFonts w:ascii="宋体" w:hAnsi="宋体" w:eastAsia="宋体" w:cs="宋体"/>
          <w:sz w:val="20"/>
          <w:szCs w:val="20"/>
        </w:rPr>
        <w:t xml:space="preserve"> </w:t>
      </w:r>
      <w:r>
        <w:rPr>
          <w:rFonts w:ascii="宋体" w:hAnsi="宋体" w:eastAsia="宋体" w:cs="宋体"/>
          <w:spacing w:val="8"/>
          <w:sz w:val="20"/>
          <w:szCs w:val="20"/>
        </w:rPr>
        <w:t>场左侧的符合水准管气泡两端的影像符合，保证</w:t>
      </w:r>
      <w:r>
        <w:rPr>
          <w:rFonts w:ascii="宋体" w:hAnsi="宋体" w:eastAsia="宋体" w:cs="宋体"/>
          <w:spacing w:val="7"/>
          <w:sz w:val="20"/>
          <w:szCs w:val="20"/>
        </w:rPr>
        <w:t>视线水平，再转动测微轮，使十字丝上</w:t>
      </w:r>
      <w:r>
        <w:rPr>
          <w:rFonts w:ascii="宋体" w:hAnsi="宋体" w:eastAsia="宋体" w:cs="宋体"/>
          <w:sz w:val="20"/>
          <w:szCs w:val="20"/>
        </w:rPr>
        <w:t xml:space="preserve"> </w:t>
      </w:r>
      <w:r>
        <w:rPr>
          <w:rFonts w:ascii="宋体" w:hAnsi="宋体" w:eastAsia="宋体" w:cs="宋体"/>
          <w:spacing w:val="5"/>
          <w:sz w:val="20"/>
          <w:szCs w:val="20"/>
        </w:rPr>
        <w:t>楔形丝精确地夹住整分划，读取该分划线读数。</w:t>
      </w:r>
    </w:p>
    <w:p w14:paraId="2A0AFC6C">
      <w:pPr>
        <w:spacing w:before="104" w:line="219" w:lineRule="auto"/>
        <w:ind w:left="1937"/>
        <w:rPr>
          <w:rFonts w:ascii="宋体" w:hAnsi="宋体" w:eastAsia="宋体" w:cs="宋体"/>
          <w:sz w:val="20"/>
          <w:szCs w:val="20"/>
        </w:rPr>
      </w:pPr>
      <w:r>
        <w:rPr>
          <w:rFonts w:ascii="宋体" w:hAnsi="宋体" w:eastAsia="宋体" w:cs="宋体"/>
          <w:spacing w:val="11"/>
          <w:sz w:val="20"/>
          <w:szCs w:val="20"/>
        </w:rPr>
        <w:t>(3)自动安平水准仪操作程序：粗平一照准一读数。</w:t>
      </w:r>
    </w:p>
    <w:p w14:paraId="5973CE7D">
      <w:pPr>
        <w:spacing w:before="91" w:line="253" w:lineRule="auto"/>
        <w:ind w:left="1527" w:right="876" w:firstLine="409"/>
        <w:rPr>
          <w:rFonts w:ascii="宋体" w:hAnsi="宋体" w:eastAsia="宋体" w:cs="宋体"/>
          <w:sz w:val="20"/>
          <w:szCs w:val="20"/>
        </w:rPr>
      </w:pPr>
      <w:r>
        <w:rPr>
          <w:rFonts w:ascii="宋体" w:hAnsi="宋体" w:eastAsia="宋体" w:cs="宋体"/>
          <w:spacing w:val="16"/>
          <w:sz w:val="20"/>
          <w:szCs w:val="20"/>
        </w:rPr>
        <w:t>(4)数字水准仪操作程序，与自动安平水准仪基本一样，但数字式水准仪能自动</w:t>
      </w:r>
      <w:r>
        <w:rPr>
          <w:rFonts w:ascii="宋体" w:hAnsi="宋体" w:eastAsia="宋体" w:cs="宋体"/>
          <w:spacing w:val="7"/>
          <w:sz w:val="20"/>
          <w:szCs w:val="20"/>
        </w:rPr>
        <w:t xml:space="preserve"> </w:t>
      </w:r>
      <w:r>
        <w:rPr>
          <w:rFonts w:ascii="宋体" w:hAnsi="宋体" w:eastAsia="宋体" w:cs="宋体"/>
          <w:spacing w:val="5"/>
          <w:sz w:val="20"/>
          <w:szCs w:val="20"/>
        </w:rPr>
        <w:t>观测和记录，并将测量结果以数字的形式显示出来。</w:t>
      </w:r>
    </w:p>
    <w:p w14:paraId="3A08A32A">
      <w:pPr>
        <w:spacing w:before="79" w:line="222" w:lineRule="auto"/>
        <w:ind w:left="1939"/>
        <w:rPr>
          <w:rFonts w:ascii="黑体" w:hAnsi="黑体" w:eastAsia="黑体" w:cs="黑体"/>
          <w:sz w:val="20"/>
          <w:szCs w:val="20"/>
        </w:rPr>
      </w:pPr>
      <w:r>
        <w:rPr>
          <w:rFonts w:ascii="黑体" w:hAnsi="黑体" w:eastAsia="黑体" w:cs="黑体"/>
          <w:b/>
          <w:bCs/>
          <w:color w:val="4080A0"/>
          <w:spacing w:val="23"/>
          <w:sz w:val="20"/>
          <w:szCs w:val="20"/>
        </w:rPr>
        <w:t>2)经纬仪的使用</w:t>
      </w:r>
    </w:p>
    <w:p w14:paraId="2B9B2A92">
      <w:pPr>
        <w:spacing w:before="73" w:line="219" w:lineRule="auto"/>
        <w:ind w:left="1937"/>
        <w:rPr>
          <w:rFonts w:ascii="宋体" w:hAnsi="宋体" w:eastAsia="宋体" w:cs="宋体"/>
          <w:sz w:val="20"/>
          <w:szCs w:val="20"/>
        </w:rPr>
      </w:pPr>
      <w:r>
        <w:rPr>
          <w:rFonts w:ascii="宋体" w:hAnsi="宋体" w:eastAsia="宋体" w:cs="宋体"/>
          <w:spacing w:val="6"/>
          <w:sz w:val="20"/>
          <w:szCs w:val="20"/>
        </w:rPr>
        <w:t>经纬仪的使用包括对中、整平、照准和读数四个操作步骤。</w:t>
      </w:r>
    </w:p>
    <w:p w14:paraId="0B385EF2">
      <w:pPr>
        <w:spacing w:before="74" w:line="220" w:lineRule="auto"/>
        <w:ind w:left="1937"/>
        <w:rPr>
          <w:rFonts w:ascii="宋体" w:hAnsi="宋体" w:eastAsia="宋体" w:cs="宋体"/>
          <w:sz w:val="20"/>
          <w:szCs w:val="20"/>
        </w:rPr>
      </w:pPr>
      <w:r>
        <w:rPr>
          <w:rFonts w:ascii="宋体" w:hAnsi="宋体" w:eastAsia="宋体" w:cs="宋体"/>
          <w:spacing w:val="19"/>
          <w:sz w:val="20"/>
          <w:szCs w:val="20"/>
        </w:rPr>
        <w:t>(1)对中和整平</w:t>
      </w:r>
    </w:p>
    <w:p w14:paraId="76F32C13">
      <w:pPr>
        <w:spacing w:before="111" w:line="219" w:lineRule="auto"/>
        <w:ind w:left="1937"/>
        <w:rPr>
          <w:rFonts w:ascii="宋体" w:hAnsi="宋体" w:eastAsia="宋体" w:cs="宋体"/>
          <w:sz w:val="20"/>
          <w:szCs w:val="20"/>
        </w:rPr>
      </w:pPr>
      <w:r>
        <w:rPr>
          <w:rFonts w:ascii="宋体" w:hAnsi="宋体" w:eastAsia="宋体" w:cs="宋体"/>
          <w:spacing w:val="7"/>
          <w:sz w:val="20"/>
          <w:szCs w:val="20"/>
        </w:rPr>
        <w:t>分为用垂球对中及经纬仪整平的方法、用光学对中器对中及经纬仪整平的方法。</w:t>
      </w:r>
    </w:p>
    <w:p w14:paraId="78840176">
      <w:pPr>
        <w:spacing w:before="50" w:line="217" w:lineRule="auto"/>
        <w:ind w:left="1937"/>
        <w:rPr>
          <w:rFonts w:ascii="宋体" w:hAnsi="宋体" w:eastAsia="宋体" w:cs="宋体"/>
          <w:sz w:val="20"/>
          <w:szCs w:val="20"/>
        </w:rPr>
      </w:pPr>
      <w:r>
        <w:rPr>
          <w:rFonts w:ascii="宋体" w:hAnsi="宋体" w:eastAsia="宋体" w:cs="宋体"/>
          <w:spacing w:val="10"/>
          <w:sz w:val="20"/>
          <w:szCs w:val="20"/>
        </w:rPr>
        <w:t>①用垂球对中及经纬仪整平的方法</w:t>
      </w:r>
    </w:p>
    <w:p w14:paraId="2950D6C4">
      <w:pPr>
        <w:spacing w:before="106" w:line="273" w:lineRule="auto"/>
        <w:ind w:left="1527" w:right="882" w:firstLine="409"/>
        <w:rPr>
          <w:rFonts w:ascii="宋体" w:hAnsi="宋体" w:eastAsia="宋体" w:cs="宋体"/>
          <w:sz w:val="20"/>
          <w:szCs w:val="20"/>
        </w:rPr>
      </w:pPr>
      <w:r>
        <w:rPr>
          <w:rFonts w:ascii="Times New Roman" w:hAnsi="Times New Roman" w:eastAsia="Times New Roman" w:cs="Times New Roman"/>
          <w:spacing w:val="12"/>
          <w:sz w:val="20"/>
          <w:szCs w:val="20"/>
        </w:rPr>
        <w:t>A.</w:t>
      </w:r>
      <w:r>
        <w:rPr>
          <w:rFonts w:ascii="Times New Roman" w:hAnsi="Times New Roman" w:eastAsia="Times New Roman" w:cs="Times New Roman"/>
          <w:spacing w:val="-13"/>
          <w:sz w:val="20"/>
          <w:szCs w:val="20"/>
        </w:rPr>
        <w:t xml:space="preserve"> </w:t>
      </w:r>
      <w:r>
        <w:rPr>
          <w:rFonts w:ascii="宋体" w:hAnsi="宋体" w:eastAsia="宋体" w:cs="宋体"/>
          <w:spacing w:val="12"/>
          <w:sz w:val="20"/>
          <w:szCs w:val="20"/>
        </w:rPr>
        <w:t>垂球对中。先打开三脚架放在测站上，脚架长度要适当，以便于观测</w:t>
      </w:r>
      <w:r>
        <w:rPr>
          <w:rFonts w:ascii="宋体" w:hAnsi="宋体" w:eastAsia="宋体" w:cs="宋体"/>
          <w:spacing w:val="11"/>
          <w:sz w:val="20"/>
          <w:szCs w:val="20"/>
        </w:rPr>
        <w:t>。三脚架</w:t>
      </w:r>
      <w:r>
        <w:rPr>
          <w:rFonts w:ascii="宋体" w:hAnsi="宋体" w:eastAsia="宋体" w:cs="宋体"/>
          <w:sz w:val="20"/>
          <w:szCs w:val="20"/>
        </w:rPr>
        <w:t xml:space="preserve"> </w:t>
      </w:r>
      <w:r>
        <w:rPr>
          <w:rFonts w:ascii="宋体" w:hAnsi="宋体" w:eastAsia="宋体" w:cs="宋体"/>
          <w:spacing w:val="8"/>
          <w:sz w:val="20"/>
          <w:szCs w:val="20"/>
        </w:rPr>
        <w:t>架头应大致水平。把脚架上的连接螺旋放在架头</w:t>
      </w:r>
      <w:r>
        <w:rPr>
          <w:rFonts w:ascii="宋体" w:hAnsi="宋体" w:eastAsia="宋体" w:cs="宋体"/>
          <w:spacing w:val="7"/>
          <w:sz w:val="20"/>
          <w:szCs w:val="20"/>
        </w:rPr>
        <w:t>中心位置，挂上垂球，移动脚架使垂球</w:t>
      </w:r>
      <w:r>
        <w:rPr>
          <w:rFonts w:ascii="宋体" w:hAnsi="宋体" w:eastAsia="宋体" w:cs="宋体"/>
          <w:sz w:val="20"/>
          <w:szCs w:val="20"/>
        </w:rPr>
        <w:t xml:space="preserve"> </w:t>
      </w:r>
      <w:r>
        <w:rPr>
          <w:rFonts w:ascii="宋体" w:hAnsi="宋体" w:eastAsia="宋体" w:cs="宋体"/>
          <w:spacing w:val="8"/>
          <w:sz w:val="20"/>
          <w:szCs w:val="20"/>
        </w:rPr>
        <w:t>尖概略对准测站点，同时保持脚架头大致水平</w:t>
      </w:r>
      <w:r>
        <w:rPr>
          <w:rFonts w:ascii="宋体" w:hAnsi="宋体" w:eastAsia="宋体" w:cs="宋体"/>
          <w:spacing w:val="7"/>
          <w:sz w:val="20"/>
          <w:szCs w:val="20"/>
        </w:rPr>
        <w:t>。从箱中取出仪器放到三脚架上，旋紧连</w:t>
      </w:r>
      <w:r>
        <w:rPr>
          <w:rFonts w:ascii="宋体" w:hAnsi="宋体" w:eastAsia="宋体" w:cs="宋体"/>
          <w:sz w:val="20"/>
          <w:szCs w:val="20"/>
        </w:rPr>
        <w:t xml:space="preserve"> </w:t>
      </w:r>
      <w:r>
        <w:rPr>
          <w:rFonts w:ascii="宋体" w:hAnsi="宋体" w:eastAsia="宋体" w:cs="宋体"/>
          <w:spacing w:val="7"/>
          <w:sz w:val="20"/>
          <w:szCs w:val="20"/>
        </w:rPr>
        <w:t>接螺旋使仪器与脚架连接。此时再细心观察垂球是否偏离标志中心，如偏离可略放松连</w:t>
      </w:r>
      <w:r>
        <w:rPr>
          <w:rFonts w:ascii="宋体" w:hAnsi="宋体" w:eastAsia="宋体" w:cs="宋体"/>
          <w:sz w:val="20"/>
          <w:szCs w:val="20"/>
        </w:rPr>
        <w:t xml:space="preserve"> </w:t>
      </w:r>
      <w:r>
        <w:rPr>
          <w:rFonts w:ascii="宋体" w:hAnsi="宋体" w:eastAsia="宋体" w:cs="宋体"/>
          <w:spacing w:val="6"/>
          <w:sz w:val="20"/>
          <w:szCs w:val="20"/>
        </w:rPr>
        <w:t>接螺旋，在架头上平移仪器，使垂球尖准确对准测站点，再旋紧连接螺旋。</w:t>
      </w:r>
    </w:p>
    <w:p w14:paraId="10297240">
      <w:pPr>
        <w:spacing w:before="111" w:line="264" w:lineRule="auto"/>
        <w:ind w:left="1527" w:right="879" w:firstLine="409"/>
        <w:rPr>
          <w:rFonts w:ascii="宋体" w:hAnsi="宋体" w:eastAsia="宋体" w:cs="宋体"/>
          <w:sz w:val="20"/>
          <w:szCs w:val="20"/>
        </w:rPr>
      </w:pPr>
      <w:r>
        <w:rPr>
          <w:rFonts w:ascii="Times New Roman" w:hAnsi="Times New Roman" w:eastAsia="Times New Roman" w:cs="Times New Roman"/>
          <w:spacing w:val="12"/>
          <w:sz w:val="20"/>
          <w:szCs w:val="20"/>
        </w:rPr>
        <w:t xml:space="preserve">B. </w:t>
      </w:r>
      <w:r>
        <w:rPr>
          <w:rFonts w:ascii="宋体" w:hAnsi="宋体" w:eastAsia="宋体" w:cs="宋体"/>
          <w:spacing w:val="12"/>
          <w:sz w:val="20"/>
          <w:szCs w:val="20"/>
        </w:rPr>
        <w:t>整平。先转动仪器照准部，使水准管平行于任意两个脚螺旋连线，转动这两个</w:t>
      </w:r>
      <w:r>
        <w:rPr>
          <w:rFonts w:ascii="宋体" w:hAnsi="宋体" w:eastAsia="宋体" w:cs="宋体"/>
          <w:sz w:val="20"/>
          <w:szCs w:val="20"/>
        </w:rPr>
        <w:t xml:space="preserve"> </w:t>
      </w:r>
      <w:r>
        <w:rPr>
          <w:rFonts w:ascii="宋体" w:hAnsi="宋体" w:eastAsia="宋体" w:cs="宋体"/>
          <w:spacing w:val="10"/>
          <w:sz w:val="20"/>
          <w:szCs w:val="20"/>
        </w:rPr>
        <w:t>脚螺旋使气泡居中，然后将仪器照准部旋转90°,旋转第三个脚螺旋，使气泡居中。按</w:t>
      </w:r>
      <w:r>
        <w:rPr>
          <w:rFonts w:ascii="宋体" w:hAnsi="宋体" w:eastAsia="宋体" w:cs="宋体"/>
          <w:sz w:val="20"/>
          <w:szCs w:val="20"/>
        </w:rPr>
        <w:t xml:space="preserve"> </w:t>
      </w:r>
      <w:r>
        <w:rPr>
          <w:rFonts w:ascii="宋体" w:hAnsi="宋体" w:eastAsia="宋体" w:cs="宋体"/>
          <w:spacing w:val="5"/>
          <w:sz w:val="20"/>
          <w:szCs w:val="20"/>
        </w:rPr>
        <w:t>上述方法反复进行几次，直到仪器转到任何位置时，气泡都居中为止。</w:t>
      </w:r>
    </w:p>
    <w:p w14:paraId="5734E095">
      <w:pPr>
        <w:spacing w:before="71" w:line="217" w:lineRule="auto"/>
        <w:ind w:left="1937"/>
        <w:rPr>
          <w:rFonts w:ascii="宋体" w:hAnsi="宋体" w:eastAsia="宋体" w:cs="宋体"/>
          <w:sz w:val="20"/>
          <w:szCs w:val="20"/>
        </w:rPr>
      </w:pPr>
      <w:r>
        <w:rPr>
          <w:rFonts w:ascii="宋体" w:hAnsi="宋体" w:eastAsia="宋体" w:cs="宋体"/>
          <w:spacing w:val="9"/>
          <w:sz w:val="20"/>
          <w:szCs w:val="20"/>
        </w:rPr>
        <w:t>②用光学对中器对中及经纬仪整平的方法</w:t>
      </w:r>
    </w:p>
    <w:p w14:paraId="736F48AA">
      <w:pPr>
        <w:spacing w:before="86" w:line="218" w:lineRule="auto"/>
        <w:ind w:left="1937"/>
        <w:rPr>
          <w:rFonts w:ascii="宋体" w:hAnsi="宋体" w:eastAsia="宋体" w:cs="宋体"/>
          <w:sz w:val="20"/>
          <w:szCs w:val="20"/>
        </w:rPr>
      </w:pPr>
      <w:r>
        <w:rPr>
          <w:rFonts w:ascii="宋体" w:hAnsi="宋体" w:eastAsia="宋体" w:cs="宋体"/>
          <w:spacing w:val="4"/>
          <w:sz w:val="20"/>
          <w:szCs w:val="20"/>
        </w:rPr>
        <w:t>A.</w:t>
      </w:r>
      <w:r>
        <w:rPr>
          <w:rFonts w:ascii="宋体" w:hAnsi="宋体" w:eastAsia="宋体" w:cs="宋体"/>
          <w:spacing w:val="-46"/>
          <w:sz w:val="20"/>
          <w:szCs w:val="20"/>
        </w:rPr>
        <w:t xml:space="preserve"> </w:t>
      </w:r>
      <w:r>
        <w:rPr>
          <w:rFonts w:ascii="宋体" w:hAnsi="宋体" w:eastAsia="宋体" w:cs="宋体"/>
          <w:spacing w:val="4"/>
          <w:sz w:val="20"/>
          <w:szCs w:val="20"/>
        </w:rPr>
        <w:t>目估初步对中，并使三脚架架头大致水平。</w:t>
      </w:r>
    </w:p>
    <w:p w14:paraId="7360633E">
      <w:pPr>
        <w:spacing w:before="94" w:line="244" w:lineRule="auto"/>
        <w:ind w:left="1527" w:right="879" w:firstLine="409"/>
        <w:rPr>
          <w:rFonts w:ascii="宋体" w:hAnsi="宋体" w:eastAsia="宋体" w:cs="宋体"/>
          <w:sz w:val="20"/>
          <w:szCs w:val="20"/>
        </w:rPr>
      </w:pPr>
      <w:r>
        <w:rPr>
          <w:rFonts w:ascii="Times New Roman" w:hAnsi="Times New Roman" w:eastAsia="Times New Roman" w:cs="Times New Roman"/>
          <w:spacing w:val="13"/>
          <w:sz w:val="20"/>
          <w:szCs w:val="20"/>
        </w:rPr>
        <w:t>B.</w:t>
      </w:r>
      <w:r>
        <w:rPr>
          <w:rFonts w:ascii="Times New Roman" w:hAnsi="Times New Roman" w:eastAsia="Times New Roman" w:cs="Times New Roman"/>
          <w:spacing w:val="-10"/>
          <w:sz w:val="20"/>
          <w:szCs w:val="20"/>
        </w:rPr>
        <w:t xml:space="preserve"> </w:t>
      </w:r>
      <w:r>
        <w:rPr>
          <w:rFonts w:ascii="宋体" w:hAnsi="宋体" w:eastAsia="宋体" w:cs="宋体"/>
          <w:spacing w:val="13"/>
          <w:sz w:val="20"/>
          <w:szCs w:val="20"/>
        </w:rPr>
        <w:t>转动和推拉对中器目镜调焦，使地面标志点成像清晰</w:t>
      </w:r>
      <w:r>
        <w:rPr>
          <w:rFonts w:ascii="宋体" w:hAnsi="宋体" w:eastAsia="宋体" w:cs="宋体"/>
          <w:spacing w:val="12"/>
          <w:sz w:val="20"/>
          <w:szCs w:val="20"/>
        </w:rPr>
        <w:t>，且分划板上中心圆圈也</w:t>
      </w:r>
      <w:r>
        <w:rPr>
          <w:rFonts w:ascii="宋体" w:hAnsi="宋体" w:eastAsia="宋体" w:cs="宋体"/>
          <w:sz w:val="20"/>
          <w:szCs w:val="20"/>
        </w:rPr>
        <w:t xml:space="preserve"> </w:t>
      </w:r>
      <w:r>
        <w:rPr>
          <w:rFonts w:ascii="宋体" w:hAnsi="宋体" w:eastAsia="宋体" w:cs="宋体"/>
          <w:spacing w:val="3"/>
          <w:sz w:val="20"/>
          <w:szCs w:val="20"/>
        </w:rPr>
        <w:t>清晰可见。</w:t>
      </w:r>
    </w:p>
    <w:p w14:paraId="7985DE8A">
      <w:pPr>
        <w:spacing w:before="101" w:line="219" w:lineRule="auto"/>
        <w:ind w:left="1937"/>
        <w:rPr>
          <w:rFonts w:ascii="宋体" w:hAnsi="宋体" w:eastAsia="宋体" w:cs="宋体"/>
          <w:sz w:val="20"/>
          <w:szCs w:val="20"/>
        </w:rPr>
      </w:pPr>
      <w:r>
        <w:rPr>
          <w:rFonts w:ascii="Times New Roman" w:hAnsi="Times New Roman" w:eastAsia="Times New Roman" w:cs="Times New Roman"/>
          <w:spacing w:val="5"/>
          <w:sz w:val="20"/>
          <w:szCs w:val="20"/>
        </w:rPr>
        <w:t xml:space="preserve">C. </w:t>
      </w:r>
      <w:r>
        <w:rPr>
          <w:rFonts w:ascii="宋体" w:hAnsi="宋体" w:eastAsia="宋体" w:cs="宋体"/>
          <w:spacing w:val="5"/>
          <w:sz w:val="20"/>
          <w:szCs w:val="20"/>
        </w:rPr>
        <w:t>转动仪器脚螺旋，使地面标志点影像位于</w:t>
      </w:r>
      <w:r>
        <w:rPr>
          <w:rFonts w:ascii="宋体" w:hAnsi="宋体" w:eastAsia="宋体" w:cs="宋体"/>
          <w:spacing w:val="4"/>
          <w:sz w:val="20"/>
          <w:szCs w:val="20"/>
        </w:rPr>
        <w:t>圆圈中心。</w:t>
      </w:r>
    </w:p>
    <w:p w14:paraId="79816876">
      <w:pPr>
        <w:spacing w:before="83" w:line="219" w:lineRule="auto"/>
        <w:ind w:left="1937"/>
        <w:rPr>
          <w:rFonts w:ascii="宋体" w:hAnsi="宋体" w:eastAsia="宋体" w:cs="宋体"/>
          <w:sz w:val="20"/>
          <w:szCs w:val="20"/>
        </w:rPr>
      </w:pPr>
      <w:r>
        <w:rPr>
          <w:rFonts w:ascii="Times New Roman" w:hAnsi="Times New Roman" w:eastAsia="Times New Roman" w:cs="Times New Roman"/>
          <w:spacing w:val="4"/>
          <w:sz w:val="20"/>
          <w:szCs w:val="20"/>
        </w:rPr>
        <w:t xml:space="preserve">D. </w:t>
      </w:r>
      <w:r>
        <w:rPr>
          <w:rFonts w:ascii="宋体" w:hAnsi="宋体" w:eastAsia="宋体" w:cs="宋体"/>
          <w:spacing w:val="4"/>
          <w:sz w:val="20"/>
          <w:szCs w:val="20"/>
        </w:rPr>
        <w:t>伸缩调节三脚架架腿，使圆水准器气泡居中。</w:t>
      </w:r>
    </w:p>
    <w:p w14:paraId="56F33F1D">
      <w:pPr>
        <w:spacing w:before="83" w:line="219" w:lineRule="auto"/>
        <w:ind w:left="1937"/>
        <w:rPr>
          <w:rFonts w:ascii="宋体" w:hAnsi="宋体" w:eastAsia="宋体" w:cs="宋体"/>
          <w:sz w:val="20"/>
          <w:szCs w:val="20"/>
        </w:rPr>
      </w:pPr>
      <w:r>
        <w:rPr>
          <w:rFonts w:ascii="Times New Roman" w:hAnsi="Times New Roman" w:eastAsia="Times New Roman" w:cs="Times New Roman"/>
          <w:spacing w:val="4"/>
          <w:sz w:val="20"/>
          <w:szCs w:val="20"/>
        </w:rPr>
        <w:t>E.</w:t>
      </w:r>
      <w:r>
        <w:rPr>
          <w:rFonts w:ascii="Times New Roman" w:hAnsi="Times New Roman" w:eastAsia="Times New Roman" w:cs="Times New Roman"/>
          <w:spacing w:val="39"/>
          <w:sz w:val="20"/>
          <w:szCs w:val="20"/>
        </w:rPr>
        <w:t xml:space="preserve"> </w:t>
      </w:r>
      <w:r>
        <w:rPr>
          <w:rFonts w:ascii="宋体" w:hAnsi="宋体" w:eastAsia="宋体" w:cs="宋体"/>
          <w:spacing w:val="4"/>
          <w:sz w:val="20"/>
          <w:szCs w:val="20"/>
        </w:rPr>
        <w:t>按用垂球安置仪器的整平方法进行精确整平。</w:t>
      </w:r>
    </w:p>
    <w:p w14:paraId="6AF43637">
      <w:pPr>
        <w:spacing w:before="85" w:line="264" w:lineRule="auto"/>
        <w:ind w:left="1527" w:right="811" w:firstLine="409"/>
        <w:rPr>
          <w:rFonts w:ascii="宋体" w:hAnsi="宋体" w:eastAsia="宋体" w:cs="宋体"/>
          <w:sz w:val="20"/>
          <w:szCs w:val="20"/>
        </w:rPr>
      </w:pPr>
      <w:r>
        <w:rPr>
          <w:rFonts w:ascii="Times New Roman" w:hAnsi="Times New Roman" w:eastAsia="Times New Roman" w:cs="Times New Roman"/>
          <w:spacing w:val="9"/>
          <w:sz w:val="20"/>
          <w:szCs w:val="20"/>
        </w:rPr>
        <w:t xml:space="preserve">F. </w:t>
      </w:r>
      <w:r>
        <w:rPr>
          <w:rFonts w:ascii="宋体" w:hAnsi="宋体" w:eastAsia="宋体" w:cs="宋体"/>
          <w:spacing w:val="9"/>
          <w:sz w:val="20"/>
          <w:szCs w:val="20"/>
        </w:rPr>
        <w:t>检查光学对中器，此时若标志点位于圆圈中心则对中、整平完成，若</w:t>
      </w:r>
      <w:r>
        <w:rPr>
          <w:rFonts w:ascii="宋体" w:hAnsi="宋体" w:eastAsia="宋体" w:cs="宋体"/>
          <w:spacing w:val="8"/>
          <w:sz w:val="20"/>
          <w:szCs w:val="20"/>
        </w:rPr>
        <w:t>仍有偏差，</w:t>
      </w:r>
      <w:r>
        <w:rPr>
          <w:rFonts w:ascii="宋体" w:hAnsi="宋体" w:eastAsia="宋体" w:cs="宋体"/>
          <w:sz w:val="20"/>
          <w:szCs w:val="20"/>
        </w:rPr>
        <w:t xml:space="preserve"> </w:t>
      </w:r>
      <w:r>
        <w:rPr>
          <w:rFonts w:ascii="宋体" w:hAnsi="宋体" w:eastAsia="宋体" w:cs="宋体"/>
          <w:spacing w:val="8"/>
          <w:sz w:val="20"/>
          <w:szCs w:val="20"/>
        </w:rPr>
        <w:t>可稍松动连接螺旋，在架头上移动仪器，使其准确对中，然</w:t>
      </w:r>
      <w:r>
        <w:rPr>
          <w:rFonts w:ascii="宋体" w:hAnsi="宋体" w:eastAsia="宋体" w:cs="宋体"/>
          <w:spacing w:val="7"/>
          <w:sz w:val="20"/>
          <w:szCs w:val="20"/>
        </w:rPr>
        <w:t>后重新进行精确整平，直到</w:t>
      </w:r>
      <w:r>
        <w:rPr>
          <w:rFonts w:ascii="宋体" w:hAnsi="宋体" w:eastAsia="宋体" w:cs="宋体"/>
          <w:sz w:val="20"/>
          <w:szCs w:val="20"/>
        </w:rPr>
        <w:t xml:space="preserve"> </w:t>
      </w:r>
      <w:r>
        <w:rPr>
          <w:rFonts w:ascii="宋体" w:hAnsi="宋体" w:eastAsia="宋体" w:cs="宋体"/>
          <w:spacing w:val="6"/>
          <w:sz w:val="20"/>
          <w:szCs w:val="20"/>
        </w:rPr>
        <w:t>对中和整平均达到要求为止。</w:t>
      </w:r>
    </w:p>
    <w:p w14:paraId="220DE5E8">
      <w:pPr>
        <w:spacing w:before="72" w:line="221" w:lineRule="auto"/>
        <w:ind w:left="1937"/>
        <w:rPr>
          <w:rFonts w:ascii="宋体" w:hAnsi="宋体" w:eastAsia="宋体" w:cs="宋体"/>
          <w:sz w:val="20"/>
          <w:szCs w:val="20"/>
        </w:rPr>
      </w:pPr>
      <w:r>
        <w:rPr>
          <w:rFonts w:ascii="宋体" w:hAnsi="宋体" w:eastAsia="宋体" w:cs="宋体"/>
          <w:spacing w:val="-16"/>
          <w:sz w:val="20"/>
          <w:szCs w:val="20"/>
        </w:rPr>
        <w:t>(</w:t>
      </w:r>
      <w:r>
        <w:rPr>
          <w:rFonts w:ascii="宋体" w:hAnsi="宋体" w:eastAsia="宋体" w:cs="宋体"/>
          <w:spacing w:val="-36"/>
          <w:sz w:val="20"/>
          <w:szCs w:val="20"/>
        </w:rPr>
        <w:t xml:space="preserve"> </w:t>
      </w:r>
      <w:r>
        <w:rPr>
          <w:rFonts w:ascii="宋体" w:hAnsi="宋体" w:eastAsia="宋体" w:cs="宋体"/>
          <w:spacing w:val="-16"/>
          <w:sz w:val="20"/>
          <w:szCs w:val="20"/>
        </w:rPr>
        <w:t>2</w:t>
      </w:r>
      <w:r>
        <w:rPr>
          <w:rFonts w:ascii="宋体" w:hAnsi="宋体" w:eastAsia="宋体" w:cs="宋体"/>
          <w:spacing w:val="-41"/>
          <w:sz w:val="20"/>
          <w:szCs w:val="20"/>
        </w:rPr>
        <w:t xml:space="preserve"> </w:t>
      </w:r>
      <w:r>
        <w:rPr>
          <w:rFonts w:ascii="宋体" w:hAnsi="宋体" w:eastAsia="宋体" w:cs="宋体"/>
          <w:spacing w:val="-16"/>
          <w:sz w:val="20"/>
          <w:szCs w:val="20"/>
        </w:rPr>
        <w:t>)</w:t>
      </w:r>
      <w:r>
        <w:rPr>
          <w:rFonts w:ascii="宋体" w:hAnsi="宋体" w:eastAsia="宋体" w:cs="宋体"/>
          <w:spacing w:val="-36"/>
          <w:sz w:val="20"/>
          <w:szCs w:val="20"/>
        </w:rPr>
        <w:t xml:space="preserve"> </w:t>
      </w:r>
      <w:r>
        <w:rPr>
          <w:rFonts w:ascii="宋体" w:hAnsi="宋体" w:eastAsia="宋体" w:cs="宋体"/>
          <w:spacing w:val="-16"/>
          <w:sz w:val="20"/>
          <w:szCs w:val="20"/>
        </w:rPr>
        <w:t>照</w:t>
      </w:r>
      <w:r>
        <w:rPr>
          <w:rFonts w:ascii="宋体" w:hAnsi="宋体" w:eastAsia="宋体" w:cs="宋体"/>
          <w:spacing w:val="-40"/>
          <w:sz w:val="20"/>
          <w:szCs w:val="20"/>
        </w:rPr>
        <w:t xml:space="preserve"> </w:t>
      </w:r>
      <w:r>
        <w:rPr>
          <w:rFonts w:ascii="宋体" w:hAnsi="宋体" w:eastAsia="宋体" w:cs="宋体"/>
          <w:spacing w:val="-16"/>
          <w:sz w:val="20"/>
          <w:szCs w:val="20"/>
        </w:rPr>
        <w:t>准</w:t>
      </w:r>
    </w:p>
    <w:p w14:paraId="6C0808EB">
      <w:pPr>
        <w:spacing w:before="97" w:line="217" w:lineRule="auto"/>
        <w:ind w:left="1937"/>
        <w:rPr>
          <w:rFonts w:ascii="宋体" w:hAnsi="宋体" w:eastAsia="宋体" w:cs="宋体"/>
          <w:sz w:val="20"/>
          <w:szCs w:val="20"/>
        </w:rPr>
      </w:pPr>
      <w:r>
        <w:rPr>
          <w:rFonts w:ascii="宋体" w:hAnsi="宋体" w:eastAsia="宋体" w:cs="宋体"/>
          <w:spacing w:val="8"/>
          <w:sz w:val="20"/>
          <w:szCs w:val="20"/>
        </w:rPr>
        <w:t>①目镜调焦：将望远镜对向明亮的背景，转动目镜调焦螺旋，使十字丝清晰。</w:t>
      </w:r>
    </w:p>
    <w:p w14:paraId="6D8063AA">
      <w:pPr>
        <w:spacing w:before="65" w:line="249" w:lineRule="auto"/>
        <w:ind w:left="1527" w:right="831" w:firstLine="409"/>
        <w:rPr>
          <w:rFonts w:ascii="宋体" w:hAnsi="宋体" w:eastAsia="宋体" w:cs="宋体"/>
          <w:sz w:val="20"/>
          <w:szCs w:val="20"/>
        </w:rPr>
      </w:pPr>
      <w:r>
        <w:rPr>
          <w:rFonts w:ascii="宋体" w:hAnsi="宋体" w:eastAsia="宋体" w:cs="宋体"/>
          <w:spacing w:val="9"/>
          <w:sz w:val="20"/>
          <w:szCs w:val="20"/>
        </w:rPr>
        <w:t>②粗瞄目标：松开望远镜水平、竖直制动螺旋，通过望远镜上的粗瞄器对准目标，</w:t>
      </w:r>
      <w:r>
        <w:rPr>
          <w:rFonts w:ascii="宋体" w:hAnsi="宋体" w:eastAsia="宋体" w:cs="宋体"/>
          <w:spacing w:val="5"/>
          <w:sz w:val="20"/>
          <w:szCs w:val="20"/>
        </w:rPr>
        <w:t xml:space="preserve"> </w:t>
      </w:r>
      <w:r>
        <w:rPr>
          <w:rFonts w:ascii="宋体" w:hAnsi="宋体" w:eastAsia="宋体" w:cs="宋体"/>
          <w:spacing w:val="3"/>
          <w:sz w:val="20"/>
          <w:szCs w:val="20"/>
        </w:rPr>
        <w:t>然后拧紧制动螺旋。</w:t>
      </w:r>
    </w:p>
    <w:p w14:paraId="7787A300">
      <w:pPr>
        <w:spacing w:before="111" w:line="217" w:lineRule="auto"/>
        <w:ind w:left="1937"/>
        <w:rPr>
          <w:rFonts w:ascii="宋体" w:hAnsi="宋体" w:eastAsia="宋体" w:cs="宋体"/>
          <w:sz w:val="20"/>
          <w:szCs w:val="20"/>
        </w:rPr>
      </w:pPr>
      <w:r>
        <w:rPr>
          <w:rFonts w:ascii="宋体" w:hAnsi="宋体" w:eastAsia="宋体" w:cs="宋体"/>
          <w:spacing w:val="8"/>
          <w:sz w:val="20"/>
          <w:szCs w:val="20"/>
        </w:rPr>
        <w:t>③物镜调焦：转动望远镜物镜调焦螺旋，使目标成像清晰。注意消除视差现象。</w:t>
      </w:r>
    </w:p>
    <w:p w14:paraId="31588E4C">
      <w:pPr>
        <w:spacing w:before="85" w:line="217" w:lineRule="auto"/>
        <w:ind w:left="1937"/>
        <w:rPr>
          <w:rFonts w:ascii="宋体" w:hAnsi="宋体" w:eastAsia="宋体" w:cs="宋体"/>
          <w:sz w:val="20"/>
          <w:szCs w:val="20"/>
        </w:rPr>
      </w:pPr>
      <w:r>
        <w:rPr>
          <w:rFonts w:ascii="宋体" w:hAnsi="宋体" w:eastAsia="宋体" w:cs="宋体"/>
          <w:spacing w:val="14"/>
          <w:sz w:val="20"/>
          <w:szCs w:val="20"/>
        </w:rPr>
        <w:t>④准确瞄准目标：转动水平微动及竖直微动螺旋，使十字丝竖丝</w:t>
      </w:r>
      <w:r>
        <w:rPr>
          <w:rFonts w:ascii="宋体" w:hAnsi="宋体" w:eastAsia="宋体" w:cs="宋体"/>
          <w:spacing w:val="13"/>
          <w:sz w:val="20"/>
          <w:szCs w:val="20"/>
        </w:rPr>
        <w:t>与目标成像单线</w:t>
      </w:r>
    </w:p>
    <w:p w14:paraId="4A8B4383">
      <w:pPr>
        <w:pStyle w:val="2"/>
        <w:spacing w:line="261" w:lineRule="auto"/>
      </w:pPr>
    </w:p>
    <w:p w14:paraId="1A8881CF">
      <w:pPr>
        <w:spacing w:before="65" w:line="189" w:lineRule="auto"/>
        <w:jc w:val="both"/>
        <w:rPr>
          <w:rFonts w:ascii="宋体" w:hAnsi="宋体" w:eastAsia="宋体" w:cs="宋体"/>
          <w:sz w:val="20"/>
          <w:szCs w:val="20"/>
        </w:rPr>
      </w:pPr>
    </w:p>
    <w:p w14:paraId="2CA3BA29">
      <w:pPr>
        <w:spacing w:line="189" w:lineRule="auto"/>
        <w:rPr>
          <w:rFonts w:ascii="宋体" w:hAnsi="宋体" w:eastAsia="宋体" w:cs="宋体"/>
          <w:sz w:val="20"/>
          <w:szCs w:val="20"/>
        </w:rPr>
        <w:sectPr>
          <w:pgSz w:w="10320" w:h="14590"/>
          <w:pgMar w:top="22" w:right="18" w:bottom="10" w:left="2" w:header="0" w:footer="0" w:gutter="0"/>
          <w:cols w:space="720" w:num="1"/>
        </w:sectPr>
      </w:pPr>
    </w:p>
    <w:p w14:paraId="0B9215AF">
      <w:pPr>
        <w:spacing w:line="213" w:lineRule="auto"/>
        <w:ind w:left="289"/>
        <w:rPr>
          <w:rFonts w:ascii="宋体" w:hAnsi="宋体" w:eastAsia="宋体" w:cs="宋体"/>
          <w:sz w:val="24"/>
          <w:szCs w:val="24"/>
        </w:rPr>
      </w:pPr>
      <w:bookmarkStart w:id="0" w:name="bookmark49"/>
      <w:bookmarkEnd w:id="0"/>
      <w:r>
        <w:rPr>
          <w:rFonts w:hint="eastAsia" w:ascii="宋体" w:hAnsi="宋体" w:eastAsia="宋体" w:cs="宋体"/>
          <w:spacing w:val="5"/>
          <w:sz w:val="24"/>
          <w:szCs w:val="24"/>
          <w:lang w:eastAsia="zh-CN"/>
        </w:rPr>
        <w:t>大鱼社区</w:t>
      </w:r>
      <w:r>
        <w:rPr>
          <w:rFonts w:ascii="宋体" w:hAnsi="宋体" w:eastAsia="宋体" w:cs="宋体"/>
          <w:spacing w:val="5"/>
          <w:sz w:val="24"/>
          <w:szCs w:val="24"/>
        </w:rPr>
        <w:t>助你备考：少走弯路，快速通关!认准</w:t>
      </w:r>
      <w:r>
        <w:rPr>
          <w:rFonts w:ascii="宋体" w:hAnsi="宋体" w:eastAsia="宋体" w:cs="宋体"/>
          <w:sz w:val="24"/>
          <w:szCs w:val="24"/>
        </w:rPr>
        <w:t>VX</w:t>
      </w:r>
      <w:r>
        <w:rPr>
          <w:rFonts w:ascii="宋体" w:hAnsi="宋体" w:eastAsia="宋体" w:cs="宋体"/>
          <w:spacing w:val="5"/>
          <w:sz w:val="24"/>
          <w:szCs w:val="24"/>
        </w:rPr>
        <w:t>:</w:t>
      </w:r>
      <w:r>
        <w:rPr>
          <w:rFonts w:hint="eastAsia" w:ascii="宋体" w:hAnsi="宋体" w:eastAsia="宋体" w:cs="宋体"/>
          <w:sz w:val="24"/>
          <w:szCs w:val="24"/>
          <w:lang w:eastAsia="zh-CN"/>
        </w:rPr>
        <w:t>dayu_nm_cn</w:t>
      </w:r>
      <w:r>
        <w:rPr>
          <w:rFonts w:ascii="宋体" w:hAnsi="宋体" w:eastAsia="宋体" w:cs="宋体"/>
          <w:spacing w:val="121"/>
          <w:sz w:val="24"/>
          <w:szCs w:val="24"/>
        </w:rPr>
        <w:t xml:space="preserve"> </w:t>
      </w:r>
      <w:r>
        <w:rPr>
          <w:rFonts w:ascii="宋体" w:hAnsi="宋体" w:eastAsia="宋体" w:cs="宋体"/>
          <w:spacing w:val="5"/>
          <w:sz w:val="24"/>
          <w:szCs w:val="24"/>
        </w:rPr>
        <w:t>(天道酬勤，白嫖勿扰)</w:t>
      </w:r>
    </w:p>
    <w:p w14:paraId="13E5694A">
      <w:pPr>
        <w:pStyle w:val="2"/>
        <w:spacing w:line="379" w:lineRule="auto"/>
      </w:pPr>
    </w:p>
    <w:p w14:paraId="717578FA">
      <w:pPr>
        <w:spacing w:before="65" w:line="222" w:lineRule="auto"/>
        <w:ind w:left="910"/>
        <w:rPr>
          <w:rFonts w:ascii="黑体" w:hAnsi="黑体" w:eastAsia="黑体" w:cs="黑体"/>
          <w:sz w:val="20"/>
          <w:szCs w:val="20"/>
        </w:rPr>
      </w:pPr>
      <w:r>
        <w:rPr>
          <w:rFonts w:ascii="黑体" w:hAnsi="黑体" w:eastAsia="黑体" w:cs="黑体"/>
          <w:spacing w:val="-6"/>
          <w:sz w:val="20"/>
          <w:szCs w:val="20"/>
          <w:u w:val="single" w:color="auto"/>
        </w:rPr>
        <w:t>4</w:t>
      </w:r>
      <w:r>
        <w:rPr>
          <w:rFonts w:ascii="黑体" w:hAnsi="黑体" w:eastAsia="黑体" w:cs="黑体"/>
          <w:spacing w:val="5"/>
          <w:sz w:val="20"/>
          <w:szCs w:val="20"/>
          <w:u w:val="single" w:color="auto"/>
        </w:rPr>
        <w:t xml:space="preserve">     </w:t>
      </w:r>
      <w:r>
        <w:rPr>
          <w:rFonts w:ascii="黑体" w:hAnsi="黑体" w:eastAsia="黑体" w:cs="黑体"/>
          <w:spacing w:val="-6"/>
          <w:sz w:val="20"/>
          <w:szCs w:val="20"/>
          <w:u w:val="single" w:color="auto"/>
        </w:rPr>
        <w:t>第</w:t>
      </w:r>
      <w:r>
        <w:rPr>
          <w:rFonts w:ascii="黑体" w:hAnsi="黑体" w:eastAsia="黑体" w:cs="黑体"/>
          <w:spacing w:val="-24"/>
          <w:sz w:val="20"/>
          <w:szCs w:val="20"/>
          <w:u w:val="single" w:color="auto"/>
        </w:rPr>
        <w:t xml:space="preserve"> </w:t>
      </w:r>
      <w:r>
        <w:rPr>
          <w:rFonts w:ascii="黑体" w:hAnsi="黑体" w:eastAsia="黑体" w:cs="黑体"/>
          <w:spacing w:val="-6"/>
          <w:sz w:val="20"/>
          <w:szCs w:val="20"/>
          <w:u w:val="single" w:color="auto"/>
        </w:rPr>
        <w:t>1</w:t>
      </w:r>
      <w:r>
        <w:rPr>
          <w:rFonts w:ascii="黑体" w:hAnsi="黑体" w:eastAsia="黑体" w:cs="黑体"/>
          <w:spacing w:val="-38"/>
          <w:sz w:val="20"/>
          <w:szCs w:val="20"/>
          <w:u w:val="single" w:color="auto"/>
        </w:rPr>
        <w:t xml:space="preserve"> </w:t>
      </w:r>
      <w:r>
        <w:rPr>
          <w:rFonts w:ascii="黑体" w:hAnsi="黑体" w:eastAsia="黑体" w:cs="黑体"/>
          <w:spacing w:val="-6"/>
          <w:sz w:val="20"/>
          <w:szCs w:val="20"/>
          <w:u w:val="single" w:color="auto"/>
        </w:rPr>
        <w:t>篇</w:t>
      </w:r>
      <w:r>
        <w:rPr>
          <w:rFonts w:ascii="黑体" w:hAnsi="黑体" w:eastAsia="黑体" w:cs="黑体"/>
          <w:spacing w:val="7"/>
          <w:sz w:val="20"/>
          <w:szCs w:val="20"/>
          <w:u w:val="single" w:color="auto"/>
        </w:rPr>
        <w:t xml:space="preserve">  </w:t>
      </w:r>
      <w:r>
        <w:rPr>
          <w:rFonts w:ascii="黑体" w:hAnsi="黑体" w:eastAsia="黑体" w:cs="黑体"/>
          <w:spacing w:val="-6"/>
          <w:sz w:val="20"/>
          <w:szCs w:val="20"/>
          <w:u w:val="single" w:color="auto"/>
        </w:rPr>
        <w:t>水</w:t>
      </w:r>
      <w:r>
        <w:rPr>
          <w:rFonts w:ascii="黑体" w:hAnsi="黑体" w:eastAsia="黑体" w:cs="黑体"/>
          <w:spacing w:val="-36"/>
          <w:sz w:val="20"/>
          <w:szCs w:val="20"/>
          <w:u w:val="single" w:color="auto"/>
        </w:rPr>
        <w:t xml:space="preserve"> </w:t>
      </w:r>
      <w:r>
        <w:rPr>
          <w:rFonts w:ascii="黑体" w:hAnsi="黑体" w:eastAsia="黑体" w:cs="黑体"/>
          <w:spacing w:val="-6"/>
          <w:sz w:val="20"/>
          <w:szCs w:val="20"/>
          <w:u w:val="single" w:color="auto"/>
        </w:rPr>
        <w:t>利</w:t>
      </w:r>
      <w:r>
        <w:rPr>
          <w:rFonts w:ascii="黑体" w:hAnsi="黑体" w:eastAsia="黑体" w:cs="黑体"/>
          <w:spacing w:val="-39"/>
          <w:sz w:val="20"/>
          <w:szCs w:val="20"/>
          <w:u w:val="single" w:color="auto"/>
        </w:rPr>
        <w:t xml:space="preserve"> </w:t>
      </w:r>
      <w:r>
        <w:rPr>
          <w:rFonts w:ascii="黑体" w:hAnsi="黑体" w:eastAsia="黑体" w:cs="黑体"/>
          <w:spacing w:val="-6"/>
          <w:sz w:val="20"/>
          <w:szCs w:val="20"/>
          <w:u w:val="single" w:color="auto"/>
        </w:rPr>
        <w:t>水</w:t>
      </w:r>
      <w:r>
        <w:rPr>
          <w:rFonts w:ascii="黑体" w:hAnsi="黑体" w:eastAsia="黑体" w:cs="黑体"/>
          <w:spacing w:val="-26"/>
          <w:sz w:val="20"/>
          <w:szCs w:val="20"/>
          <w:u w:val="single" w:color="auto"/>
        </w:rPr>
        <w:t xml:space="preserve"> </w:t>
      </w:r>
      <w:r>
        <w:rPr>
          <w:rFonts w:ascii="黑体" w:hAnsi="黑体" w:eastAsia="黑体" w:cs="黑体"/>
          <w:spacing w:val="-6"/>
          <w:sz w:val="20"/>
          <w:szCs w:val="20"/>
          <w:u w:val="single" w:color="auto"/>
        </w:rPr>
        <w:t>电</w:t>
      </w:r>
      <w:r>
        <w:rPr>
          <w:rFonts w:ascii="黑体" w:hAnsi="黑体" w:eastAsia="黑体" w:cs="黑体"/>
          <w:spacing w:val="-37"/>
          <w:sz w:val="20"/>
          <w:szCs w:val="20"/>
          <w:u w:val="single" w:color="auto"/>
        </w:rPr>
        <w:t xml:space="preserve"> </w:t>
      </w:r>
      <w:r>
        <w:rPr>
          <w:rFonts w:ascii="黑体" w:hAnsi="黑体" w:eastAsia="黑体" w:cs="黑体"/>
          <w:spacing w:val="-6"/>
          <w:sz w:val="20"/>
          <w:szCs w:val="20"/>
          <w:u w:val="single" w:color="auto"/>
        </w:rPr>
        <w:t>工</w:t>
      </w:r>
      <w:r>
        <w:rPr>
          <w:rFonts w:ascii="黑体" w:hAnsi="黑体" w:eastAsia="黑体" w:cs="黑体"/>
          <w:spacing w:val="-39"/>
          <w:sz w:val="20"/>
          <w:szCs w:val="20"/>
          <w:u w:val="single" w:color="auto"/>
        </w:rPr>
        <w:t xml:space="preserve"> </w:t>
      </w:r>
      <w:r>
        <w:rPr>
          <w:rFonts w:ascii="黑体" w:hAnsi="黑体" w:eastAsia="黑体" w:cs="黑体"/>
          <w:spacing w:val="-6"/>
          <w:sz w:val="20"/>
          <w:szCs w:val="20"/>
          <w:u w:val="single" w:color="auto"/>
        </w:rPr>
        <w:t>程</w:t>
      </w:r>
      <w:r>
        <w:rPr>
          <w:rFonts w:ascii="黑体" w:hAnsi="黑体" w:eastAsia="黑体" w:cs="黑体"/>
          <w:spacing w:val="-38"/>
          <w:sz w:val="20"/>
          <w:szCs w:val="20"/>
          <w:u w:val="single" w:color="auto"/>
        </w:rPr>
        <w:t xml:space="preserve"> </w:t>
      </w:r>
      <w:r>
        <w:rPr>
          <w:rFonts w:ascii="黑体" w:hAnsi="黑体" w:eastAsia="黑体" w:cs="黑体"/>
          <w:spacing w:val="-6"/>
          <w:sz w:val="20"/>
          <w:szCs w:val="20"/>
          <w:u w:val="single" w:color="auto"/>
        </w:rPr>
        <w:t>技</w:t>
      </w:r>
      <w:r>
        <w:rPr>
          <w:rFonts w:ascii="黑体" w:hAnsi="黑体" w:eastAsia="黑体" w:cs="黑体"/>
          <w:spacing w:val="-39"/>
          <w:sz w:val="20"/>
          <w:szCs w:val="20"/>
          <w:u w:val="single" w:color="auto"/>
        </w:rPr>
        <w:t xml:space="preserve"> </w:t>
      </w:r>
      <w:r>
        <w:rPr>
          <w:rFonts w:ascii="黑体" w:hAnsi="黑体" w:eastAsia="黑体" w:cs="黑体"/>
          <w:spacing w:val="-6"/>
          <w:sz w:val="20"/>
          <w:szCs w:val="20"/>
          <w:u w:val="single" w:color="auto"/>
        </w:rPr>
        <w:t xml:space="preserve">术                                               </w:t>
      </w:r>
    </w:p>
    <w:p w14:paraId="5E1C8AAE">
      <w:pPr>
        <w:spacing w:before="260" w:line="219" w:lineRule="auto"/>
        <w:ind w:left="910"/>
        <w:rPr>
          <w:rFonts w:ascii="宋体" w:hAnsi="宋体" w:eastAsia="宋体" w:cs="宋体"/>
          <w:sz w:val="20"/>
          <w:szCs w:val="20"/>
        </w:rPr>
      </w:pPr>
      <w:r>
        <w:rPr>
          <w:rFonts w:ascii="宋体" w:hAnsi="宋体" w:eastAsia="宋体" w:cs="宋体"/>
          <w:spacing w:val="5"/>
          <w:sz w:val="20"/>
          <w:szCs w:val="20"/>
        </w:rPr>
        <w:t>平分或双丝夹准，并且使十字丝交点部分对准目标的底部。</w:t>
      </w:r>
    </w:p>
    <w:p w14:paraId="1CC77699">
      <w:pPr>
        <w:spacing w:before="63" w:line="219" w:lineRule="auto"/>
        <w:ind w:left="1320"/>
        <w:rPr>
          <w:rFonts w:ascii="宋体" w:hAnsi="宋体" w:eastAsia="宋体" w:cs="宋体"/>
          <w:sz w:val="20"/>
          <w:szCs w:val="20"/>
        </w:rPr>
      </w:pPr>
      <w:r>
        <w:rPr>
          <w:rFonts w:ascii="宋体" w:hAnsi="宋体" w:eastAsia="宋体" w:cs="宋体"/>
          <w:spacing w:val="27"/>
          <w:sz w:val="20"/>
          <w:szCs w:val="20"/>
        </w:rPr>
        <w:t>(3)读数</w:t>
      </w:r>
    </w:p>
    <w:p w14:paraId="150906DA">
      <w:pPr>
        <w:spacing w:before="52" w:line="317" w:lineRule="auto"/>
        <w:ind w:left="910" w:right="1502" w:firstLine="410"/>
        <w:rPr>
          <w:rFonts w:ascii="宋体" w:hAnsi="宋体" w:eastAsia="宋体" w:cs="宋体"/>
          <w:sz w:val="20"/>
          <w:szCs w:val="20"/>
        </w:rPr>
      </w:pPr>
      <w:r>
        <w:rPr>
          <w:rFonts w:ascii="宋体" w:hAnsi="宋体" w:eastAsia="宋体" w:cs="宋体"/>
          <w:spacing w:val="8"/>
          <w:sz w:val="20"/>
          <w:szCs w:val="20"/>
        </w:rPr>
        <w:t>打开反光镜，调整其位置，使读数窗内进光明亮均匀，然后进行读数显微镜调焦，</w:t>
      </w:r>
      <w:r>
        <w:rPr>
          <w:rFonts w:ascii="宋体" w:hAnsi="宋体" w:eastAsia="宋体" w:cs="宋体"/>
          <w:spacing w:val="1"/>
          <w:sz w:val="20"/>
          <w:szCs w:val="20"/>
        </w:rPr>
        <w:t xml:space="preserve"> </w:t>
      </w:r>
      <w:r>
        <w:rPr>
          <w:rFonts w:ascii="宋体" w:hAnsi="宋体" w:eastAsia="宋体" w:cs="宋体"/>
          <w:spacing w:val="4"/>
          <w:sz w:val="20"/>
          <w:szCs w:val="20"/>
        </w:rPr>
        <w:t>使读数窗内分划清晰，进行读数。电子经纬仪可在屏幕上直接读数。</w:t>
      </w:r>
    </w:p>
    <w:p w14:paraId="5FA9B964">
      <w:pPr>
        <w:spacing w:line="221" w:lineRule="auto"/>
        <w:ind w:left="1322"/>
        <w:rPr>
          <w:rFonts w:ascii="黑体" w:hAnsi="黑体" w:eastAsia="黑体" w:cs="黑体"/>
          <w:sz w:val="20"/>
          <w:szCs w:val="20"/>
        </w:rPr>
      </w:pPr>
      <w:r>
        <w:rPr>
          <w:rFonts w:ascii="黑体" w:hAnsi="黑体" w:eastAsia="黑体" w:cs="黑体"/>
          <w:b/>
          <w:bCs/>
          <w:color w:val="208090"/>
          <w:spacing w:val="19"/>
          <w:sz w:val="20"/>
          <w:szCs w:val="20"/>
        </w:rPr>
        <w:t>3)电磁波测距仪的使用</w:t>
      </w:r>
    </w:p>
    <w:p w14:paraId="7F1C9126">
      <w:pPr>
        <w:spacing w:before="31" w:line="268" w:lineRule="auto"/>
        <w:ind w:left="910" w:right="1573" w:firstLine="410"/>
        <w:rPr>
          <w:rFonts w:ascii="宋体" w:hAnsi="宋体" w:eastAsia="宋体" w:cs="宋体"/>
          <w:sz w:val="20"/>
          <w:szCs w:val="20"/>
        </w:rPr>
      </w:pPr>
      <w:r>
        <w:rPr>
          <w:rFonts w:ascii="宋体" w:hAnsi="宋体" w:eastAsia="宋体" w:cs="宋体"/>
          <w:spacing w:val="10"/>
          <w:sz w:val="20"/>
          <w:szCs w:val="20"/>
        </w:rPr>
        <w:t>(1)为测量</w:t>
      </w:r>
      <w:r>
        <w:rPr>
          <w:rFonts w:ascii="Times New Roman" w:hAnsi="Times New Roman" w:eastAsia="Times New Roman" w:cs="Times New Roman"/>
          <w:spacing w:val="10"/>
          <w:sz w:val="20"/>
          <w:szCs w:val="20"/>
        </w:rPr>
        <w:t>A</w:t>
      </w:r>
      <w:r>
        <w:rPr>
          <w:rFonts w:ascii="Times New Roman" w:hAnsi="Times New Roman" w:eastAsia="Times New Roman" w:cs="Times New Roman"/>
          <w:spacing w:val="-19"/>
          <w:sz w:val="20"/>
          <w:szCs w:val="20"/>
        </w:rPr>
        <w:t xml:space="preserve"> </w:t>
      </w:r>
      <w:r>
        <w:rPr>
          <w:rFonts w:ascii="宋体" w:hAnsi="宋体" w:eastAsia="宋体" w:cs="宋体"/>
          <w:spacing w:val="10"/>
          <w:sz w:val="20"/>
          <w:szCs w:val="20"/>
        </w:rPr>
        <w:t>、</w:t>
      </w:r>
      <w:r>
        <w:rPr>
          <w:rFonts w:ascii="Times New Roman" w:hAnsi="Times New Roman" w:eastAsia="Times New Roman" w:cs="Times New Roman"/>
          <w:spacing w:val="10"/>
          <w:sz w:val="20"/>
          <w:szCs w:val="20"/>
        </w:rPr>
        <w:t xml:space="preserve">B </w:t>
      </w:r>
      <w:r>
        <w:rPr>
          <w:rFonts w:ascii="宋体" w:hAnsi="宋体" w:eastAsia="宋体" w:cs="宋体"/>
          <w:spacing w:val="10"/>
          <w:sz w:val="20"/>
          <w:szCs w:val="20"/>
        </w:rPr>
        <w:t>两点的距离</w:t>
      </w:r>
      <w:r>
        <w:rPr>
          <w:rFonts w:ascii="Times New Roman" w:hAnsi="Times New Roman" w:eastAsia="Times New Roman" w:cs="Times New Roman"/>
          <w:spacing w:val="10"/>
          <w:sz w:val="20"/>
          <w:szCs w:val="20"/>
        </w:rPr>
        <w:t xml:space="preserve">D,   </w:t>
      </w:r>
      <w:r>
        <w:rPr>
          <w:rFonts w:ascii="宋体" w:hAnsi="宋体" w:eastAsia="宋体" w:cs="宋体"/>
          <w:spacing w:val="10"/>
          <w:sz w:val="20"/>
          <w:szCs w:val="20"/>
        </w:rPr>
        <w:t>先</w:t>
      </w:r>
      <w:r>
        <w:rPr>
          <w:rFonts w:ascii="宋体" w:hAnsi="宋体" w:eastAsia="宋体" w:cs="宋体"/>
          <w:spacing w:val="-40"/>
          <w:sz w:val="20"/>
          <w:szCs w:val="20"/>
        </w:rPr>
        <w:t xml:space="preserve"> </w:t>
      </w:r>
      <w:r>
        <w:rPr>
          <w:rFonts w:ascii="宋体" w:hAnsi="宋体" w:eastAsia="宋体" w:cs="宋体"/>
          <w:spacing w:val="10"/>
          <w:sz w:val="20"/>
          <w:szCs w:val="20"/>
        </w:rPr>
        <w:t>在</w:t>
      </w:r>
      <w:r>
        <w:rPr>
          <w:rFonts w:ascii="Times New Roman" w:hAnsi="Times New Roman" w:eastAsia="Times New Roman" w:cs="Times New Roman"/>
          <w:spacing w:val="10"/>
          <w:sz w:val="20"/>
          <w:szCs w:val="20"/>
        </w:rPr>
        <w:t>A</w:t>
      </w:r>
      <w:r>
        <w:rPr>
          <w:rFonts w:ascii="宋体" w:hAnsi="宋体" w:eastAsia="宋体" w:cs="宋体"/>
          <w:spacing w:val="10"/>
          <w:sz w:val="20"/>
          <w:szCs w:val="20"/>
        </w:rPr>
        <w:t>点安置经纬仪，对中整平，然后将测距仪</w:t>
      </w:r>
      <w:r>
        <w:rPr>
          <w:rFonts w:ascii="宋体" w:hAnsi="宋体" w:eastAsia="宋体" w:cs="宋体"/>
          <w:sz w:val="20"/>
          <w:szCs w:val="20"/>
        </w:rPr>
        <w:t xml:space="preserve"> </w:t>
      </w:r>
      <w:r>
        <w:rPr>
          <w:rFonts w:ascii="宋体" w:hAnsi="宋体" w:eastAsia="宋体" w:cs="宋体"/>
          <w:spacing w:val="3"/>
          <w:sz w:val="20"/>
          <w:szCs w:val="20"/>
        </w:rPr>
        <w:t>安在经纬仪望远镜的上方。</w:t>
      </w:r>
    </w:p>
    <w:p w14:paraId="47D83A7C">
      <w:pPr>
        <w:spacing w:before="73" w:line="220" w:lineRule="auto"/>
        <w:ind w:left="1320"/>
        <w:rPr>
          <w:rFonts w:ascii="宋体" w:hAnsi="宋体" w:eastAsia="宋体" w:cs="宋体"/>
          <w:sz w:val="20"/>
          <w:szCs w:val="20"/>
        </w:rPr>
      </w:pPr>
      <w:r>
        <w:rPr>
          <w:rFonts w:ascii="宋体" w:hAnsi="宋体" w:eastAsia="宋体" w:cs="宋体"/>
          <w:spacing w:val="-1"/>
          <w:sz w:val="20"/>
          <w:szCs w:val="20"/>
        </w:rPr>
        <w:t>(</w:t>
      </w:r>
      <w:r>
        <w:rPr>
          <w:rFonts w:ascii="宋体" w:hAnsi="宋体" w:eastAsia="宋体" w:cs="宋体"/>
          <w:spacing w:val="-20"/>
          <w:sz w:val="20"/>
          <w:szCs w:val="20"/>
        </w:rPr>
        <w:t xml:space="preserve"> </w:t>
      </w:r>
      <w:r>
        <w:rPr>
          <w:rFonts w:ascii="宋体" w:hAnsi="宋体" w:eastAsia="宋体" w:cs="宋体"/>
          <w:spacing w:val="-1"/>
          <w:sz w:val="20"/>
          <w:szCs w:val="20"/>
        </w:rPr>
        <w:t>2</w:t>
      </w:r>
      <w:r>
        <w:rPr>
          <w:rFonts w:ascii="宋体" w:hAnsi="宋体" w:eastAsia="宋体" w:cs="宋体"/>
          <w:spacing w:val="-30"/>
          <w:sz w:val="20"/>
          <w:szCs w:val="20"/>
        </w:rPr>
        <w:t xml:space="preserve"> </w:t>
      </w:r>
      <w:r>
        <w:rPr>
          <w:rFonts w:ascii="宋体" w:hAnsi="宋体" w:eastAsia="宋体" w:cs="宋体"/>
          <w:spacing w:val="-1"/>
          <w:sz w:val="20"/>
          <w:szCs w:val="20"/>
        </w:rPr>
        <w:t>)</w:t>
      </w:r>
      <w:r>
        <w:rPr>
          <w:rFonts w:ascii="宋体" w:hAnsi="宋体" w:eastAsia="宋体" w:cs="宋体"/>
          <w:spacing w:val="-32"/>
          <w:sz w:val="20"/>
          <w:szCs w:val="20"/>
        </w:rPr>
        <w:t xml:space="preserve"> </w:t>
      </w:r>
      <w:r>
        <w:rPr>
          <w:rFonts w:ascii="宋体" w:hAnsi="宋体" w:eastAsia="宋体" w:cs="宋体"/>
          <w:spacing w:val="-1"/>
          <w:sz w:val="20"/>
          <w:szCs w:val="20"/>
        </w:rPr>
        <w:t>在</w:t>
      </w:r>
      <w:r>
        <w:rPr>
          <w:rFonts w:ascii="Times New Roman" w:hAnsi="Times New Roman" w:eastAsia="Times New Roman" w:cs="Times New Roman"/>
          <w:spacing w:val="-1"/>
          <w:sz w:val="20"/>
          <w:szCs w:val="20"/>
        </w:rPr>
        <w:t xml:space="preserve">B </w:t>
      </w:r>
      <w:r>
        <w:rPr>
          <w:rFonts w:ascii="宋体" w:hAnsi="宋体" w:eastAsia="宋体" w:cs="宋体"/>
          <w:spacing w:val="-1"/>
          <w:sz w:val="20"/>
          <w:szCs w:val="20"/>
        </w:rPr>
        <w:t>点安置反射器。</w:t>
      </w:r>
    </w:p>
    <w:p w14:paraId="3ADBDFCD">
      <w:pPr>
        <w:spacing w:before="92" w:line="220" w:lineRule="auto"/>
        <w:ind w:left="1320"/>
        <w:rPr>
          <w:rFonts w:ascii="宋体" w:hAnsi="宋体" w:eastAsia="宋体" w:cs="宋体"/>
          <w:sz w:val="20"/>
          <w:szCs w:val="20"/>
        </w:rPr>
      </w:pPr>
      <w:r>
        <w:rPr>
          <w:rFonts w:ascii="宋体" w:hAnsi="宋体" w:eastAsia="宋体" w:cs="宋体"/>
          <w:spacing w:val="16"/>
          <w:sz w:val="20"/>
          <w:szCs w:val="20"/>
        </w:rPr>
        <w:t>(3)瞄准反射器。</w:t>
      </w:r>
    </w:p>
    <w:p w14:paraId="53F10FA4">
      <w:pPr>
        <w:spacing w:before="81" w:line="219" w:lineRule="auto"/>
        <w:ind w:left="1320"/>
        <w:rPr>
          <w:rFonts w:ascii="宋体" w:hAnsi="宋体" w:eastAsia="宋体" w:cs="宋体"/>
          <w:sz w:val="20"/>
          <w:szCs w:val="20"/>
        </w:rPr>
      </w:pPr>
      <w:r>
        <w:rPr>
          <w:rFonts w:ascii="宋体" w:hAnsi="宋体" w:eastAsia="宋体" w:cs="宋体"/>
          <w:spacing w:val="9"/>
          <w:sz w:val="20"/>
          <w:szCs w:val="20"/>
        </w:rPr>
        <w:t>(4)设置单位、棱镜类型以及将比例改正开关放在需要的位置。</w:t>
      </w:r>
    </w:p>
    <w:p w14:paraId="6E321988">
      <w:pPr>
        <w:spacing w:before="73" w:line="220" w:lineRule="auto"/>
        <w:ind w:left="1320"/>
        <w:rPr>
          <w:rFonts w:ascii="宋体" w:hAnsi="宋体" w:eastAsia="宋体" w:cs="宋体"/>
          <w:sz w:val="20"/>
          <w:szCs w:val="20"/>
        </w:rPr>
      </w:pPr>
      <w:r>
        <w:rPr>
          <w:rFonts w:ascii="宋体" w:hAnsi="宋体" w:eastAsia="宋体" w:cs="宋体"/>
          <w:spacing w:val="17"/>
          <w:sz w:val="20"/>
          <w:szCs w:val="20"/>
        </w:rPr>
        <w:t>(5)距离测量。</w:t>
      </w:r>
    </w:p>
    <w:p w14:paraId="72C54354">
      <w:pPr>
        <w:spacing w:before="62" w:line="267" w:lineRule="auto"/>
        <w:ind w:left="910" w:right="1546" w:firstLine="410"/>
        <w:rPr>
          <w:rFonts w:ascii="宋体" w:hAnsi="宋体" w:eastAsia="宋体" w:cs="宋体"/>
          <w:sz w:val="20"/>
          <w:szCs w:val="20"/>
        </w:rPr>
      </w:pPr>
      <w:r>
        <w:rPr>
          <w:rFonts w:ascii="宋体" w:hAnsi="宋体" w:eastAsia="宋体" w:cs="宋体"/>
          <w:spacing w:val="15"/>
          <w:sz w:val="20"/>
          <w:szCs w:val="20"/>
        </w:rPr>
        <w:t>(6)运用键盘除可以实现上述测距外，还可通过输入有关数据计算平距、高差和</w:t>
      </w:r>
      <w:r>
        <w:rPr>
          <w:rFonts w:ascii="宋体" w:hAnsi="宋体" w:eastAsia="宋体" w:cs="宋体"/>
          <w:spacing w:val="5"/>
          <w:sz w:val="20"/>
          <w:szCs w:val="20"/>
        </w:rPr>
        <w:t xml:space="preserve"> </w:t>
      </w:r>
      <w:r>
        <w:rPr>
          <w:rFonts w:ascii="宋体" w:hAnsi="宋体" w:eastAsia="宋体" w:cs="宋体"/>
          <w:sz w:val="20"/>
          <w:szCs w:val="20"/>
        </w:rPr>
        <w:t>坐标增量。</w:t>
      </w:r>
    </w:p>
    <w:p w14:paraId="70508F7E">
      <w:pPr>
        <w:spacing w:before="89" w:line="222" w:lineRule="auto"/>
        <w:ind w:left="1320"/>
        <w:rPr>
          <w:rFonts w:ascii="黑体" w:hAnsi="黑体" w:eastAsia="黑体" w:cs="黑体"/>
          <w:sz w:val="20"/>
          <w:szCs w:val="20"/>
        </w:rPr>
      </w:pPr>
      <w:r>
        <w:rPr>
          <w:rFonts w:ascii="黑体" w:hAnsi="黑体" w:eastAsia="黑体" w:cs="黑体"/>
          <w:color w:val="208090"/>
          <w:spacing w:val="24"/>
          <w:sz w:val="20"/>
          <w:szCs w:val="20"/>
        </w:rPr>
        <w:t>4)全站仪的使用</w:t>
      </w:r>
    </w:p>
    <w:p w14:paraId="0428598C">
      <w:pPr>
        <w:spacing w:before="51" w:line="295" w:lineRule="auto"/>
        <w:ind w:left="910" w:right="1593" w:firstLine="410"/>
        <w:rPr>
          <w:rFonts w:ascii="宋体" w:hAnsi="宋体" w:eastAsia="宋体" w:cs="宋体"/>
          <w:sz w:val="20"/>
          <w:szCs w:val="20"/>
        </w:rPr>
      </w:pPr>
      <w:r>
        <w:rPr>
          <w:rFonts w:ascii="宋体" w:hAnsi="宋体" w:eastAsia="宋体" w:cs="宋体"/>
          <w:spacing w:val="11"/>
          <w:sz w:val="20"/>
          <w:szCs w:val="20"/>
        </w:rPr>
        <w:t>全站仪放样模式有两个功能，即测定放样点和利用内存中的已知坐标数据设置新</w:t>
      </w:r>
      <w:r>
        <w:rPr>
          <w:rFonts w:ascii="宋体" w:hAnsi="宋体" w:eastAsia="宋体" w:cs="宋体"/>
          <w:spacing w:val="12"/>
          <w:sz w:val="20"/>
          <w:szCs w:val="20"/>
        </w:rPr>
        <w:t xml:space="preserve"> </w:t>
      </w:r>
      <w:r>
        <w:rPr>
          <w:rFonts w:ascii="宋体" w:hAnsi="宋体" w:eastAsia="宋体" w:cs="宋体"/>
          <w:spacing w:val="4"/>
          <w:sz w:val="20"/>
          <w:szCs w:val="20"/>
        </w:rPr>
        <w:t>点，如果坐标数据未被存入内存，则也可从键盘输入坐标。放样步骤如下：</w:t>
      </w:r>
    </w:p>
    <w:p w14:paraId="37D208F8">
      <w:pPr>
        <w:spacing w:before="1" w:line="218" w:lineRule="auto"/>
        <w:ind w:left="1320"/>
        <w:rPr>
          <w:rFonts w:ascii="宋体" w:hAnsi="宋体" w:eastAsia="宋体" w:cs="宋体"/>
          <w:sz w:val="20"/>
          <w:szCs w:val="20"/>
        </w:rPr>
      </w:pPr>
      <w:r>
        <w:rPr>
          <w:rFonts w:ascii="宋体" w:hAnsi="宋体" w:eastAsia="宋体" w:cs="宋体"/>
          <w:spacing w:val="10"/>
          <w:sz w:val="20"/>
          <w:szCs w:val="20"/>
        </w:rPr>
        <w:t>(1)选择数据采集文件，使其所采集的数据存储在该文件中。</w:t>
      </w:r>
    </w:p>
    <w:p w14:paraId="1DB975F1">
      <w:pPr>
        <w:spacing w:before="94" w:line="219" w:lineRule="auto"/>
        <w:ind w:left="1320"/>
        <w:rPr>
          <w:rFonts w:ascii="宋体" w:hAnsi="宋体" w:eastAsia="宋体" w:cs="宋体"/>
          <w:sz w:val="20"/>
          <w:szCs w:val="20"/>
        </w:rPr>
      </w:pPr>
      <w:r>
        <w:rPr>
          <w:rFonts w:ascii="宋体" w:hAnsi="宋体" w:eastAsia="宋体" w:cs="宋体"/>
          <w:spacing w:val="9"/>
          <w:sz w:val="20"/>
          <w:szCs w:val="20"/>
        </w:rPr>
        <w:t>(2)选择坐标数据文件，可进行测站坐标数据及后视坐标数据的调用。</w:t>
      </w:r>
    </w:p>
    <w:p w14:paraId="139405F8">
      <w:pPr>
        <w:spacing w:before="61" w:line="267" w:lineRule="auto"/>
        <w:ind w:left="910" w:right="1593" w:firstLine="410"/>
        <w:rPr>
          <w:rFonts w:ascii="宋体" w:hAnsi="宋体" w:eastAsia="宋体" w:cs="宋体"/>
          <w:sz w:val="20"/>
          <w:szCs w:val="20"/>
        </w:rPr>
      </w:pPr>
      <w:r>
        <w:rPr>
          <w:rFonts w:ascii="宋体" w:hAnsi="宋体" w:eastAsia="宋体" w:cs="宋体"/>
          <w:spacing w:val="14"/>
          <w:sz w:val="20"/>
          <w:szCs w:val="20"/>
        </w:rPr>
        <w:t>(3)在测站点上架设全站仪，在后视点上架设棱镜，分别对中整</w:t>
      </w:r>
      <w:r>
        <w:rPr>
          <w:rFonts w:ascii="宋体" w:hAnsi="宋体" w:eastAsia="宋体" w:cs="宋体"/>
          <w:spacing w:val="13"/>
          <w:sz w:val="20"/>
          <w:szCs w:val="20"/>
        </w:rPr>
        <w:t>平，量取仪器高</w:t>
      </w:r>
      <w:r>
        <w:rPr>
          <w:rFonts w:ascii="宋体" w:hAnsi="宋体" w:eastAsia="宋体" w:cs="宋体"/>
          <w:sz w:val="20"/>
          <w:szCs w:val="20"/>
        </w:rPr>
        <w:t xml:space="preserve"> 与棱镜高。</w:t>
      </w:r>
    </w:p>
    <w:p w14:paraId="313B83AC">
      <w:pPr>
        <w:spacing w:before="32" w:line="276" w:lineRule="auto"/>
        <w:ind w:left="910" w:right="1566" w:firstLine="410"/>
        <w:rPr>
          <w:rFonts w:ascii="宋体" w:hAnsi="宋体" w:eastAsia="宋体" w:cs="宋体"/>
          <w:sz w:val="20"/>
          <w:szCs w:val="20"/>
        </w:rPr>
      </w:pPr>
      <w:r>
        <w:rPr>
          <w:rFonts w:ascii="宋体" w:hAnsi="宋体" w:eastAsia="宋体" w:cs="宋体"/>
          <w:spacing w:val="15"/>
          <w:sz w:val="20"/>
          <w:szCs w:val="20"/>
        </w:rPr>
        <w:t>(4)设置测站点与定向点，操作仪器瞄准棱镜</w:t>
      </w:r>
      <w:r>
        <w:rPr>
          <w:rFonts w:ascii="宋体" w:hAnsi="宋体" w:eastAsia="宋体" w:cs="宋体"/>
          <w:spacing w:val="14"/>
          <w:sz w:val="20"/>
          <w:szCs w:val="20"/>
        </w:rPr>
        <w:t>，进行仪器定向时需输入仪器高与</w:t>
      </w:r>
      <w:r>
        <w:rPr>
          <w:rFonts w:ascii="宋体" w:hAnsi="宋体" w:eastAsia="宋体" w:cs="宋体"/>
          <w:sz w:val="20"/>
          <w:szCs w:val="20"/>
        </w:rPr>
        <w:t xml:space="preserve"> </w:t>
      </w:r>
      <w:r>
        <w:rPr>
          <w:rFonts w:ascii="宋体" w:hAnsi="宋体" w:eastAsia="宋体" w:cs="宋体"/>
          <w:spacing w:val="5"/>
          <w:sz w:val="20"/>
          <w:szCs w:val="20"/>
        </w:rPr>
        <w:t>棱镜高，定向后应测量定向点坐标进行校核及避免误差。</w:t>
      </w:r>
    </w:p>
    <w:p w14:paraId="5D1939AD">
      <w:pPr>
        <w:spacing w:before="83" w:line="219" w:lineRule="auto"/>
        <w:ind w:left="1320"/>
        <w:rPr>
          <w:rFonts w:ascii="宋体" w:hAnsi="宋体" w:eastAsia="宋体" w:cs="宋体"/>
          <w:sz w:val="20"/>
          <w:szCs w:val="20"/>
        </w:rPr>
      </w:pPr>
      <w:r>
        <w:rPr>
          <w:rFonts w:ascii="宋体" w:hAnsi="宋体" w:eastAsia="宋体" w:cs="宋体"/>
          <w:spacing w:val="9"/>
          <w:sz w:val="20"/>
          <w:szCs w:val="20"/>
        </w:rPr>
        <w:t>(5)调用内存中放样坐标或手工输入放样坐标，开始放样。</w:t>
      </w:r>
    </w:p>
    <w:p w14:paraId="7B6E5A5D">
      <w:pPr>
        <w:spacing w:before="229" w:line="222" w:lineRule="auto"/>
        <w:ind w:left="913"/>
        <w:rPr>
          <w:rFonts w:ascii="黑体" w:hAnsi="黑体" w:eastAsia="黑体" w:cs="黑体"/>
          <w:sz w:val="24"/>
          <w:szCs w:val="24"/>
        </w:rPr>
      </w:pPr>
      <w:r>
        <w:rPr>
          <w:rFonts w:ascii="宋体" w:hAnsi="宋体" w:eastAsia="宋体" w:cs="宋体"/>
          <w:b/>
          <w:bCs/>
          <w:color w:val="2090A0"/>
          <w:spacing w:val="-5"/>
          <w:sz w:val="24"/>
          <w:szCs w:val="24"/>
        </w:rPr>
        <w:t>1.1.2</w:t>
      </w:r>
      <w:r>
        <w:rPr>
          <w:rFonts w:ascii="宋体" w:hAnsi="宋体" w:eastAsia="宋体" w:cs="宋体"/>
          <w:color w:val="2090A0"/>
          <w:spacing w:val="47"/>
          <w:sz w:val="24"/>
          <w:szCs w:val="24"/>
        </w:rPr>
        <w:t xml:space="preserve">  </w:t>
      </w:r>
      <w:r>
        <w:rPr>
          <w:rFonts w:ascii="黑体" w:hAnsi="黑体" w:eastAsia="黑体" w:cs="黑体"/>
          <w:b/>
          <w:bCs/>
          <w:color w:val="2090A0"/>
          <w:spacing w:val="-5"/>
          <w:sz w:val="24"/>
          <w:szCs w:val="24"/>
        </w:rPr>
        <w:t>水利水电工程施工测量的要求</w:t>
      </w:r>
    </w:p>
    <w:p w14:paraId="09F865BA">
      <w:pPr>
        <w:spacing w:before="220" w:line="221" w:lineRule="auto"/>
        <w:ind w:left="1322"/>
        <w:rPr>
          <w:rFonts w:ascii="黑体" w:hAnsi="黑体" w:eastAsia="黑体" w:cs="黑体"/>
          <w:sz w:val="20"/>
          <w:szCs w:val="20"/>
        </w:rPr>
      </w:pPr>
      <w:r>
        <w:rPr>
          <w:rFonts w:ascii="宋体" w:hAnsi="宋体" w:eastAsia="宋体" w:cs="宋体"/>
          <w:b/>
          <w:bCs/>
          <w:color w:val="208090"/>
          <w:spacing w:val="7"/>
          <w:sz w:val="20"/>
          <w:szCs w:val="20"/>
        </w:rPr>
        <w:t>1.</w:t>
      </w:r>
      <w:r>
        <w:rPr>
          <w:rFonts w:ascii="宋体" w:hAnsi="宋体" w:eastAsia="宋体" w:cs="宋体"/>
          <w:color w:val="208090"/>
          <w:spacing w:val="-53"/>
          <w:sz w:val="20"/>
          <w:szCs w:val="20"/>
        </w:rPr>
        <w:t xml:space="preserve"> </w:t>
      </w:r>
      <w:r>
        <w:rPr>
          <w:rFonts w:ascii="黑体" w:hAnsi="黑体" w:eastAsia="黑体" w:cs="黑体"/>
          <w:b/>
          <w:bCs/>
          <w:color w:val="208090"/>
          <w:spacing w:val="7"/>
          <w:sz w:val="20"/>
          <w:szCs w:val="20"/>
        </w:rPr>
        <w:t>基础知识</w:t>
      </w:r>
    </w:p>
    <w:p w14:paraId="1ABD05CE">
      <w:pPr>
        <w:spacing w:before="62" w:line="222" w:lineRule="auto"/>
        <w:ind w:left="1322"/>
        <w:rPr>
          <w:rFonts w:ascii="黑体" w:hAnsi="黑体" w:eastAsia="黑体" w:cs="黑体"/>
          <w:sz w:val="20"/>
          <w:szCs w:val="20"/>
        </w:rPr>
      </w:pPr>
      <w:r>
        <w:rPr>
          <w:rFonts w:ascii="黑体" w:hAnsi="黑体" w:eastAsia="黑体" w:cs="黑体"/>
          <w:b/>
          <w:bCs/>
          <w:color w:val="308090"/>
          <w:spacing w:val="-12"/>
          <w:sz w:val="20"/>
          <w:szCs w:val="20"/>
        </w:rPr>
        <w:t>1</w:t>
      </w:r>
      <w:r>
        <w:rPr>
          <w:rFonts w:ascii="黑体" w:hAnsi="黑体" w:eastAsia="黑体" w:cs="黑体"/>
          <w:color w:val="308090"/>
          <w:spacing w:val="-40"/>
          <w:sz w:val="20"/>
          <w:szCs w:val="20"/>
        </w:rPr>
        <w:t xml:space="preserve"> </w:t>
      </w:r>
      <w:r>
        <w:rPr>
          <w:rFonts w:ascii="黑体" w:hAnsi="黑体" w:eastAsia="黑体" w:cs="黑体"/>
          <w:b/>
          <w:bCs/>
          <w:color w:val="308090"/>
          <w:spacing w:val="-12"/>
          <w:sz w:val="20"/>
          <w:szCs w:val="20"/>
        </w:rPr>
        <w:t>)</w:t>
      </w:r>
      <w:r>
        <w:rPr>
          <w:rFonts w:ascii="黑体" w:hAnsi="黑体" w:eastAsia="黑体" w:cs="黑体"/>
          <w:color w:val="308090"/>
          <w:spacing w:val="-34"/>
          <w:sz w:val="20"/>
          <w:szCs w:val="20"/>
        </w:rPr>
        <w:t xml:space="preserve"> </w:t>
      </w:r>
      <w:r>
        <w:rPr>
          <w:rFonts w:ascii="黑体" w:hAnsi="黑体" w:eastAsia="黑体" w:cs="黑体"/>
          <w:b/>
          <w:bCs/>
          <w:color w:val="308090"/>
          <w:spacing w:val="-12"/>
          <w:sz w:val="20"/>
          <w:szCs w:val="20"/>
        </w:rPr>
        <w:t>高</w:t>
      </w:r>
      <w:r>
        <w:rPr>
          <w:rFonts w:ascii="黑体" w:hAnsi="黑体" w:eastAsia="黑体" w:cs="黑体"/>
          <w:color w:val="308090"/>
          <w:spacing w:val="-40"/>
          <w:sz w:val="20"/>
          <w:szCs w:val="20"/>
        </w:rPr>
        <w:t xml:space="preserve"> </w:t>
      </w:r>
      <w:r>
        <w:rPr>
          <w:rFonts w:ascii="黑体" w:hAnsi="黑体" w:eastAsia="黑体" w:cs="黑体"/>
          <w:b/>
          <w:bCs/>
          <w:color w:val="308090"/>
          <w:spacing w:val="-12"/>
          <w:sz w:val="20"/>
          <w:szCs w:val="20"/>
        </w:rPr>
        <w:t>程</w:t>
      </w:r>
    </w:p>
    <w:p w14:paraId="4EB9B4B0">
      <w:pPr>
        <w:spacing w:before="43" w:line="295" w:lineRule="auto"/>
        <w:ind w:left="910" w:right="1502" w:firstLine="410"/>
        <w:rPr>
          <w:rFonts w:ascii="宋体" w:hAnsi="宋体" w:eastAsia="宋体" w:cs="宋体"/>
          <w:sz w:val="20"/>
          <w:szCs w:val="20"/>
        </w:rPr>
      </w:pPr>
      <w:r>
        <w:rPr>
          <w:rFonts w:ascii="宋体" w:hAnsi="宋体" w:eastAsia="宋体" w:cs="宋体"/>
          <w:spacing w:val="11"/>
          <w:sz w:val="20"/>
          <w:szCs w:val="20"/>
        </w:rPr>
        <w:t>地面点到高度起算面的垂直距离称为高程。高度起算面又称高程基准面。某点沿</w:t>
      </w:r>
      <w:r>
        <w:rPr>
          <w:rFonts w:ascii="宋体" w:hAnsi="宋体" w:eastAsia="宋体" w:cs="宋体"/>
          <w:spacing w:val="6"/>
          <w:sz w:val="20"/>
          <w:szCs w:val="20"/>
        </w:rPr>
        <w:t xml:space="preserve">  </w:t>
      </w:r>
      <w:r>
        <w:rPr>
          <w:rFonts w:ascii="宋体" w:hAnsi="宋体" w:eastAsia="宋体" w:cs="宋体"/>
          <w:spacing w:val="7"/>
          <w:sz w:val="20"/>
          <w:szCs w:val="20"/>
        </w:rPr>
        <w:t>铅垂线方向到大地水准面的距离，称为该点的绝对高程或海拔，简称高程，用</w:t>
      </w:r>
      <w:r>
        <w:rPr>
          <w:rFonts w:ascii="Times New Roman" w:hAnsi="Times New Roman" w:eastAsia="Times New Roman" w:cs="Times New Roman"/>
          <w:spacing w:val="7"/>
          <w:sz w:val="20"/>
          <w:szCs w:val="20"/>
        </w:rPr>
        <w:t>H</w:t>
      </w:r>
      <w:r>
        <w:rPr>
          <w:rFonts w:ascii="Times New Roman" w:hAnsi="Times New Roman" w:eastAsia="Times New Roman" w:cs="Times New Roman"/>
          <w:spacing w:val="38"/>
          <w:w w:val="101"/>
          <w:sz w:val="20"/>
          <w:szCs w:val="20"/>
        </w:rPr>
        <w:t xml:space="preserve"> </w:t>
      </w:r>
      <w:r>
        <w:rPr>
          <w:rFonts w:ascii="宋体" w:hAnsi="宋体" w:eastAsia="宋体" w:cs="宋体"/>
          <w:spacing w:val="7"/>
          <w:sz w:val="20"/>
          <w:szCs w:val="20"/>
        </w:rPr>
        <w:t>表示。</w:t>
      </w:r>
    </w:p>
    <w:p w14:paraId="47A88941">
      <w:pPr>
        <w:spacing w:before="1" w:line="218" w:lineRule="auto"/>
        <w:ind w:left="910"/>
        <w:rPr>
          <w:rFonts w:ascii="宋体" w:hAnsi="宋体" w:eastAsia="宋体" w:cs="宋体"/>
          <w:sz w:val="20"/>
          <w:szCs w:val="20"/>
        </w:rPr>
      </w:pPr>
      <w:r>
        <w:rPr>
          <w:rFonts w:ascii="宋体" w:hAnsi="宋体" w:eastAsia="宋体" w:cs="宋体"/>
          <w:spacing w:val="11"/>
          <w:sz w:val="20"/>
          <w:szCs w:val="20"/>
        </w:rPr>
        <w:t>通常采用平均海平面代替大地水准面作为高程基准面。假定一个水准面作为高程基准</w:t>
      </w:r>
    </w:p>
    <w:p w14:paraId="7F8C4D80">
      <w:pPr>
        <w:spacing w:before="83" w:line="219" w:lineRule="auto"/>
        <w:ind w:left="910"/>
        <w:rPr>
          <w:rFonts w:ascii="宋体" w:hAnsi="宋体" w:eastAsia="宋体" w:cs="宋体"/>
          <w:sz w:val="20"/>
          <w:szCs w:val="20"/>
        </w:rPr>
      </w:pPr>
      <w:r>
        <w:rPr>
          <w:rFonts w:ascii="宋体" w:hAnsi="宋体" w:eastAsia="宋体" w:cs="宋体"/>
          <w:spacing w:val="11"/>
          <w:sz w:val="20"/>
          <w:szCs w:val="20"/>
        </w:rPr>
        <w:t>面，地面点至假定水准面的铅垂距离，称为相对高程或假定高程。两点高程之差称为</w:t>
      </w:r>
    </w:p>
    <w:p w14:paraId="3E29293C">
      <w:pPr>
        <w:spacing w:before="84" w:line="219" w:lineRule="auto"/>
        <w:ind w:left="910"/>
        <w:rPr>
          <w:rFonts w:ascii="宋体" w:hAnsi="宋体" w:eastAsia="宋体" w:cs="宋体"/>
          <w:sz w:val="20"/>
          <w:szCs w:val="20"/>
        </w:rPr>
      </w:pPr>
      <w:r>
        <w:rPr>
          <w:rFonts w:ascii="宋体" w:hAnsi="宋体" w:eastAsia="宋体" w:cs="宋体"/>
          <w:sz w:val="20"/>
          <w:szCs w:val="20"/>
        </w:rPr>
        <w:t>高差。</w:t>
      </w:r>
    </w:p>
    <w:p w14:paraId="0ADDAE6C">
      <w:pPr>
        <w:spacing w:before="82" w:line="295" w:lineRule="auto"/>
        <w:ind w:left="910" w:right="1482" w:firstLine="410"/>
        <w:rPr>
          <w:rFonts w:ascii="宋体" w:hAnsi="宋体" w:eastAsia="宋体" w:cs="宋体"/>
          <w:sz w:val="20"/>
          <w:szCs w:val="20"/>
        </w:rPr>
      </w:pPr>
      <w:r>
        <w:rPr>
          <w:rFonts w:ascii="宋体" w:hAnsi="宋体" w:eastAsia="宋体" w:cs="宋体"/>
          <w:spacing w:val="14"/>
          <w:sz w:val="20"/>
          <w:szCs w:val="20"/>
        </w:rPr>
        <w:t>我国自1959年开始，全国统一采用1956年黄海高程系。后来利用1952—1979年</w:t>
      </w:r>
      <w:r>
        <w:rPr>
          <w:rFonts w:ascii="宋体" w:hAnsi="宋体" w:eastAsia="宋体" w:cs="宋体"/>
          <w:spacing w:val="4"/>
          <w:sz w:val="20"/>
          <w:szCs w:val="20"/>
        </w:rPr>
        <w:t xml:space="preserve">  </w:t>
      </w:r>
      <w:r>
        <w:rPr>
          <w:rFonts w:ascii="宋体" w:hAnsi="宋体" w:eastAsia="宋体" w:cs="宋体"/>
          <w:spacing w:val="3"/>
          <w:sz w:val="20"/>
          <w:szCs w:val="20"/>
        </w:rPr>
        <w:t>期间青岛验潮站的验潮结果计算确定了新的黄海平均海面，称为“1985国家高程</w:t>
      </w:r>
      <w:r>
        <w:rPr>
          <w:rFonts w:ascii="宋体" w:hAnsi="宋体" w:eastAsia="宋体" w:cs="宋体"/>
          <w:spacing w:val="2"/>
          <w:sz w:val="20"/>
          <w:szCs w:val="20"/>
        </w:rPr>
        <w:t>基准”。</w:t>
      </w:r>
    </w:p>
    <w:p w14:paraId="75D10E7D">
      <w:pPr>
        <w:spacing w:before="1" w:line="218" w:lineRule="auto"/>
        <w:ind w:left="910"/>
        <w:rPr>
          <w:rFonts w:ascii="宋体" w:hAnsi="宋体" w:eastAsia="宋体" w:cs="宋体"/>
          <w:sz w:val="20"/>
          <w:szCs w:val="20"/>
        </w:rPr>
      </w:pPr>
      <w:r>
        <w:rPr>
          <w:rFonts w:ascii="宋体" w:hAnsi="宋体" w:eastAsia="宋体" w:cs="宋体"/>
          <w:spacing w:val="15"/>
          <w:sz w:val="20"/>
          <w:szCs w:val="20"/>
        </w:rPr>
        <w:t>我国自1988年1月1日起开始采用1985国家高程基准作为高程起算</w:t>
      </w:r>
      <w:r>
        <w:rPr>
          <w:rFonts w:ascii="宋体" w:hAnsi="宋体" w:eastAsia="宋体" w:cs="宋体"/>
          <w:spacing w:val="14"/>
          <w:sz w:val="20"/>
          <w:szCs w:val="20"/>
        </w:rPr>
        <w:t>的统一基准。</w:t>
      </w:r>
    </w:p>
    <w:p w14:paraId="642515F9">
      <w:pPr>
        <w:spacing w:before="109" w:line="221" w:lineRule="auto"/>
        <w:ind w:left="1322"/>
        <w:rPr>
          <w:rFonts w:ascii="黑体" w:hAnsi="黑体" w:eastAsia="黑体" w:cs="黑体"/>
          <w:sz w:val="20"/>
          <w:szCs w:val="20"/>
        </w:rPr>
      </w:pPr>
      <w:r>
        <w:rPr>
          <w:rFonts w:ascii="黑体" w:hAnsi="黑体" w:eastAsia="黑体" w:cs="黑体"/>
          <w:b/>
          <w:bCs/>
          <w:color w:val="2080A0"/>
          <w:spacing w:val="16"/>
          <w:sz w:val="20"/>
          <w:szCs w:val="20"/>
        </w:rPr>
        <w:t>2)地图的比例尺及比例尺精度</w:t>
      </w:r>
    </w:p>
    <w:p w14:paraId="46201629">
      <w:pPr>
        <w:spacing w:before="45" w:line="300" w:lineRule="auto"/>
        <w:ind w:left="910" w:right="1591" w:firstLine="410"/>
        <w:rPr>
          <w:rFonts w:ascii="宋体" w:hAnsi="宋体" w:eastAsia="宋体" w:cs="宋体"/>
          <w:sz w:val="20"/>
          <w:szCs w:val="20"/>
        </w:rPr>
      </w:pPr>
      <w:r>
        <w:rPr>
          <w:rFonts w:ascii="宋体" w:hAnsi="宋体" w:eastAsia="宋体" w:cs="宋体"/>
          <w:spacing w:val="11"/>
          <w:sz w:val="20"/>
          <w:szCs w:val="20"/>
        </w:rPr>
        <w:t>地图上任一线段的长度与地面上相应线段水平距离之比，称为地图的比例尺。常</w:t>
      </w:r>
      <w:r>
        <w:rPr>
          <w:rFonts w:ascii="宋体" w:hAnsi="宋体" w:eastAsia="宋体" w:cs="宋体"/>
          <w:spacing w:val="14"/>
          <w:sz w:val="20"/>
          <w:szCs w:val="20"/>
        </w:rPr>
        <w:t xml:space="preserve"> </w:t>
      </w:r>
      <w:r>
        <w:rPr>
          <w:rFonts w:ascii="宋体" w:hAnsi="宋体" w:eastAsia="宋体" w:cs="宋体"/>
          <w:spacing w:val="5"/>
          <w:sz w:val="20"/>
          <w:szCs w:val="20"/>
        </w:rPr>
        <w:t>见比例尺表示形式有两种：数字比例尺和图示比例尺。</w:t>
      </w:r>
    </w:p>
    <w:p w14:paraId="07A5E4C3">
      <w:pPr>
        <w:spacing w:before="1" w:line="218" w:lineRule="auto"/>
        <w:ind w:left="1320"/>
        <w:rPr>
          <w:rFonts w:ascii="宋体" w:hAnsi="宋体" w:eastAsia="宋体" w:cs="宋体"/>
          <w:sz w:val="20"/>
          <w:szCs w:val="20"/>
        </w:rPr>
      </w:pPr>
      <w:r>
        <w:rPr>
          <w:rFonts w:ascii="宋体" w:hAnsi="宋体" w:eastAsia="宋体" w:cs="宋体"/>
          <w:spacing w:val="19"/>
          <w:sz w:val="20"/>
          <w:szCs w:val="20"/>
        </w:rPr>
        <w:t>(1)数字比例尺</w:t>
      </w:r>
    </w:p>
    <w:p w14:paraId="447BCDCD">
      <w:pPr>
        <w:pStyle w:val="2"/>
        <w:spacing w:line="342" w:lineRule="auto"/>
      </w:pPr>
    </w:p>
    <w:p w14:paraId="646662C3">
      <w:pPr>
        <w:pStyle w:val="2"/>
        <w:spacing w:line="343" w:lineRule="auto"/>
      </w:pPr>
    </w:p>
    <w:p w14:paraId="4EA96700">
      <w:pPr>
        <w:spacing w:line="191" w:lineRule="auto"/>
        <w:rPr>
          <w:rFonts w:ascii="宋体" w:hAnsi="宋体" w:eastAsia="宋体" w:cs="宋体"/>
          <w:sz w:val="24"/>
          <w:szCs w:val="24"/>
        </w:rPr>
        <w:sectPr>
          <w:pgSz w:w="10320" w:h="14590"/>
          <w:pgMar w:top="32" w:right="7" w:bottom="10" w:left="0" w:header="0" w:footer="0" w:gutter="0"/>
          <w:cols w:space="720" w:num="1"/>
        </w:sectPr>
      </w:pPr>
    </w:p>
    <w:p w14:paraId="73504F43">
      <w:pPr>
        <w:pStyle w:val="2"/>
        <w:spacing w:line="334" w:lineRule="auto"/>
      </w:pPr>
    </w:p>
    <w:p w14:paraId="091112BD">
      <w:pPr>
        <w:tabs>
          <w:tab w:val="left" w:pos="6537"/>
        </w:tabs>
        <w:spacing w:before="65" w:line="222" w:lineRule="auto"/>
        <w:ind w:left="1547"/>
        <w:rPr>
          <w:rFonts w:ascii="宋体" w:hAnsi="宋体" w:eastAsia="宋体" w:cs="宋体"/>
          <w:sz w:val="20"/>
          <w:szCs w:val="20"/>
        </w:rPr>
      </w:pPr>
      <w:r>
        <w:rPr>
          <w:rFonts w:ascii="黑体" w:hAnsi="黑体" w:eastAsia="黑体" w:cs="黑体"/>
          <w:sz w:val="20"/>
          <w:szCs w:val="20"/>
          <w:u w:val="single" w:color="auto"/>
        </w:rPr>
        <w:tab/>
      </w:r>
      <w:r>
        <w:rPr>
          <w:rFonts w:ascii="黑体" w:hAnsi="黑体" w:eastAsia="黑体" w:cs="黑体"/>
          <w:spacing w:val="-20"/>
          <w:sz w:val="20"/>
          <w:szCs w:val="20"/>
          <w:u w:val="single" w:color="auto"/>
        </w:rPr>
        <w:t>第1章 水利水电工程勘测与设计</w:t>
      </w:r>
      <w:r>
        <w:rPr>
          <w:rFonts w:ascii="黑体" w:hAnsi="黑体" w:eastAsia="黑体" w:cs="黑体"/>
          <w:spacing w:val="13"/>
          <w:sz w:val="20"/>
          <w:szCs w:val="20"/>
          <w:u w:val="single" w:color="auto"/>
        </w:rPr>
        <w:t xml:space="preserve">   </w:t>
      </w:r>
      <w:r>
        <w:rPr>
          <w:rFonts w:ascii="宋体" w:hAnsi="宋体" w:eastAsia="宋体" w:cs="宋体"/>
          <w:spacing w:val="-20"/>
          <w:sz w:val="20"/>
          <w:szCs w:val="20"/>
          <w:u w:val="single" w:color="auto"/>
        </w:rPr>
        <w:t>5</w:t>
      </w:r>
    </w:p>
    <w:p w14:paraId="48995582">
      <w:pPr>
        <w:spacing w:before="236" w:line="273" w:lineRule="auto"/>
        <w:ind w:left="1537" w:right="921" w:firstLine="420"/>
        <w:rPr>
          <w:rFonts w:ascii="宋体" w:hAnsi="宋体" w:eastAsia="宋体" w:cs="宋体"/>
          <w:sz w:val="20"/>
          <w:szCs w:val="20"/>
        </w:rPr>
      </w:pPr>
      <w:r>
        <w:rPr>
          <w:rFonts w:ascii="宋体" w:hAnsi="宋体" w:eastAsia="宋体" w:cs="宋体"/>
          <w:spacing w:val="11"/>
          <w:sz w:val="20"/>
          <w:szCs w:val="20"/>
        </w:rPr>
        <w:t>以分子为1的分数形式表示的比例尺称为数字比例尺。设图上一条线段</w:t>
      </w:r>
      <w:r>
        <w:rPr>
          <w:rFonts w:ascii="宋体" w:hAnsi="宋体" w:eastAsia="宋体" w:cs="宋体"/>
          <w:spacing w:val="10"/>
          <w:sz w:val="20"/>
          <w:szCs w:val="20"/>
        </w:rPr>
        <w:t>长为</w:t>
      </w:r>
      <w:r>
        <w:rPr>
          <w:rFonts w:ascii="Times New Roman" w:hAnsi="Times New Roman" w:eastAsia="Times New Roman" w:cs="Times New Roman"/>
          <w:spacing w:val="10"/>
          <w:sz w:val="20"/>
          <w:szCs w:val="20"/>
        </w:rPr>
        <w:t xml:space="preserve">d,   </w:t>
      </w:r>
      <w:r>
        <w:rPr>
          <w:rFonts w:ascii="宋体" w:hAnsi="宋体" w:eastAsia="宋体" w:cs="宋体"/>
          <w:spacing w:val="10"/>
          <w:sz w:val="20"/>
          <w:szCs w:val="20"/>
        </w:rPr>
        <w:t>相</w:t>
      </w:r>
      <w:r>
        <w:rPr>
          <w:rFonts w:ascii="宋体" w:hAnsi="宋体" w:eastAsia="宋体" w:cs="宋体"/>
          <w:sz w:val="20"/>
          <w:szCs w:val="20"/>
        </w:rPr>
        <w:t xml:space="preserve"> </w:t>
      </w:r>
      <w:r>
        <w:rPr>
          <w:rFonts w:ascii="宋体" w:hAnsi="宋体" w:eastAsia="宋体" w:cs="宋体"/>
          <w:spacing w:val="6"/>
          <w:sz w:val="20"/>
          <w:szCs w:val="20"/>
        </w:rPr>
        <w:t>应的实地水平距离为</w:t>
      </w:r>
      <w:r>
        <w:rPr>
          <w:rFonts w:ascii="Times New Roman" w:hAnsi="Times New Roman" w:eastAsia="Times New Roman" w:cs="Times New Roman"/>
          <w:spacing w:val="6"/>
          <w:sz w:val="20"/>
          <w:szCs w:val="20"/>
        </w:rPr>
        <w:t xml:space="preserve">D,   </w:t>
      </w:r>
      <w:r>
        <w:rPr>
          <w:rFonts w:ascii="宋体" w:hAnsi="宋体" w:eastAsia="宋体" w:cs="宋体"/>
          <w:spacing w:val="6"/>
          <w:sz w:val="20"/>
          <w:szCs w:val="20"/>
        </w:rPr>
        <w:t>则该地图的比例尺为：</w:t>
      </w:r>
    </w:p>
    <w:p w14:paraId="4DFB6A11">
      <w:pPr>
        <w:spacing w:before="42" w:line="207" w:lineRule="auto"/>
        <w:ind w:left="4957"/>
        <w:rPr>
          <w:rFonts w:ascii="宋体" w:hAnsi="宋体" w:eastAsia="宋体" w:cs="宋体"/>
          <w:sz w:val="20"/>
          <w:szCs w:val="20"/>
        </w:rPr>
      </w:pPr>
      <w:r>
        <w:rPr>
          <w:rFonts w:ascii="Times New Roman" w:hAnsi="Times New Roman" w:eastAsia="Times New Roman" w:cs="Times New Roman"/>
          <w:i/>
          <w:iCs/>
          <w:spacing w:val="-1"/>
          <w:sz w:val="24"/>
          <w:szCs w:val="24"/>
        </w:rPr>
        <w:t xml:space="preserve">d/D=1/M                                          </w:t>
      </w:r>
      <w:r>
        <w:rPr>
          <w:rFonts w:ascii="Times New Roman" w:hAnsi="Times New Roman" w:eastAsia="Times New Roman" w:cs="Times New Roman"/>
          <w:i/>
          <w:iCs/>
          <w:spacing w:val="-2"/>
          <w:sz w:val="24"/>
          <w:szCs w:val="24"/>
        </w:rPr>
        <w:t xml:space="preserve">     </w:t>
      </w:r>
      <w:r>
        <w:rPr>
          <w:rFonts w:ascii="宋体" w:hAnsi="宋体" w:eastAsia="宋体" w:cs="宋体"/>
          <w:spacing w:val="-2"/>
          <w:sz w:val="20"/>
          <w:szCs w:val="20"/>
        </w:rPr>
        <w:t>(1.1-1)</w:t>
      </w:r>
    </w:p>
    <w:p w14:paraId="285D24A4">
      <w:pPr>
        <w:spacing w:before="55" w:line="289" w:lineRule="auto"/>
        <w:ind w:left="1537" w:right="884" w:firstLine="420"/>
        <w:jc w:val="both"/>
        <w:rPr>
          <w:rFonts w:ascii="宋体" w:hAnsi="宋体" w:eastAsia="宋体" w:cs="宋体"/>
          <w:sz w:val="20"/>
          <w:szCs w:val="20"/>
        </w:rPr>
      </w:pPr>
      <w:r>
        <w:rPr>
          <w:rFonts w:ascii="宋体" w:hAnsi="宋体" w:eastAsia="宋体" w:cs="宋体"/>
          <w:spacing w:val="5"/>
          <w:sz w:val="20"/>
          <w:szCs w:val="20"/>
        </w:rPr>
        <w:t>式</w:t>
      </w:r>
      <w:r>
        <w:rPr>
          <w:rFonts w:ascii="宋体" w:hAnsi="宋体" w:eastAsia="宋体" w:cs="宋体"/>
          <w:spacing w:val="-22"/>
          <w:sz w:val="20"/>
          <w:szCs w:val="20"/>
        </w:rPr>
        <w:t xml:space="preserve"> </w:t>
      </w:r>
      <w:r>
        <w:rPr>
          <w:rFonts w:ascii="宋体" w:hAnsi="宋体" w:eastAsia="宋体" w:cs="宋体"/>
          <w:spacing w:val="5"/>
          <w:sz w:val="20"/>
          <w:szCs w:val="20"/>
        </w:rPr>
        <w:t>中</w:t>
      </w:r>
      <w:r>
        <w:rPr>
          <w:rFonts w:ascii="宋体" w:hAnsi="宋体" w:eastAsia="宋体" w:cs="宋体"/>
          <w:spacing w:val="-52"/>
          <w:sz w:val="20"/>
          <w:szCs w:val="20"/>
        </w:rPr>
        <w:t xml:space="preserve"> </w:t>
      </w:r>
      <w:r>
        <w:rPr>
          <w:rFonts w:ascii="宋体" w:hAnsi="宋体" w:eastAsia="宋体" w:cs="宋体"/>
          <w:spacing w:val="5"/>
          <w:sz w:val="20"/>
          <w:szCs w:val="20"/>
        </w:rPr>
        <w:t>，</w:t>
      </w:r>
      <w:r>
        <w:rPr>
          <w:rFonts w:ascii="Times New Roman" w:hAnsi="Times New Roman" w:eastAsia="Times New Roman" w:cs="Times New Roman"/>
          <w:spacing w:val="5"/>
          <w:sz w:val="20"/>
          <w:szCs w:val="20"/>
        </w:rPr>
        <w:t>M</w:t>
      </w:r>
      <w:r>
        <w:rPr>
          <w:rFonts w:ascii="Times New Roman" w:hAnsi="Times New Roman" w:eastAsia="Times New Roman" w:cs="Times New Roman"/>
          <w:spacing w:val="25"/>
          <w:w w:val="101"/>
          <w:sz w:val="20"/>
          <w:szCs w:val="20"/>
        </w:rPr>
        <w:t xml:space="preserve"> </w:t>
      </w:r>
      <w:r>
        <w:rPr>
          <w:rFonts w:ascii="宋体" w:hAnsi="宋体" w:eastAsia="宋体" w:cs="宋体"/>
          <w:spacing w:val="5"/>
          <w:sz w:val="20"/>
          <w:szCs w:val="20"/>
        </w:rPr>
        <w:t>称为比例尺分母。比例尺的大小视分数值的大小而定。</w:t>
      </w:r>
      <w:r>
        <w:rPr>
          <w:rFonts w:ascii="宋体" w:hAnsi="宋体" w:eastAsia="宋体" w:cs="宋体"/>
          <w:spacing w:val="-60"/>
          <w:sz w:val="20"/>
          <w:szCs w:val="20"/>
        </w:rPr>
        <w:t xml:space="preserve"> </w:t>
      </w:r>
      <w:r>
        <w:rPr>
          <w:rFonts w:ascii="Times New Roman" w:hAnsi="Times New Roman" w:eastAsia="Times New Roman" w:cs="Times New Roman"/>
          <w:spacing w:val="5"/>
          <w:sz w:val="20"/>
          <w:szCs w:val="20"/>
        </w:rPr>
        <w:t>M</w:t>
      </w:r>
      <w:r>
        <w:rPr>
          <w:rFonts w:ascii="Times New Roman" w:hAnsi="Times New Roman" w:eastAsia="Times New Roman" w:cs="Times New Roman"/>
          <w:spacing w:val="36"/>
          <w:sz w:val="20"/>
          <w:szCs w:val="20"/>
        </w:rPr>
        <w:t xml:space="preserve"> </w:t>
      </w:r>
      <w:r>
        <w:rPr>
          <w:rFonts w:ascii="宋体" w:hAnsi="宋体" w:eastAsia="宋体" w:cs="宋体"/>
          <w:spacing w:val="5"/>
          <w:sz w:val="20"/>
          <w:szCs w:val="20"/>
        </w:rPr>
        <w:t>越大，比例尺</w:t>
      </w:r>
      <w:r>
        <w:rPr>
          <w:rFonts w:ascii="宋体" w:hAnsi="宋体" w:eastAsia="宋体" w:cs="宋体"/>
          <w:sz w:val="20"/>
          <w:szCs w:val="20"/>
        </w:rPr>
        <w:t xml:space="preserve"> </w:t>
      </w:r>
      <w:r>
        <w:rPr>
          <w:rFonts w:ascii="宋体" w:hAnsi="宋体" w:eastAsia="宋体" w:cs="宋体"/>
          <w:spacing w:val="19"/>
          <w:sz w:val="20"/>
          <w:szCs w:val="20"/>
        </w:rPr>
        <w:t>越</w:t>
      </w:r>
      <w:r>
        <w:rPr>
          <w:rFonts w:ascii="宋体" w:hAnsi="宋体" w:eastAsia="宋体" w:cs="宋体"/>
          <w:spacing w:val="-33"/>
          <w:sz w:val="20"/>
          <w:szCs w:val="20"/>
        </w:rPr>
        <w:t xml:space="preserve"> </w:t>
      </w:r>
      <w:r>
        <w:rPr>
          <w:rFonts w:ascii="宋体" w:hAnsi="宋体" w:eastAsia="宋体" w:cs="宋体"/>
          <w:spacing w:val="19"/>
          <w:sz w:val="20"/>
          <w:szCs w:val="20"/>
        </w:rPr>
        <w:t>小</w:t>
      </w:r>
      <w:r>
        <w:rPr>
          <w:rFonts w:ascii="宋体" w:hAnsi="宋体" w:eastAsia="宋体" w:cs="宋体"/>
          <w:spacing w:val="-53"/>
          <w:sz w:val="20"/>
          <w:szCs w:val="20"/>
        </w:rPr>
        <w:t xml:space="preserve"> </w:t>
      </w:r>
      <w:r>
        <w:rPr>
          <w:rFonts w:ascii="宋体" w:hAnsi="宋体" w:eastAsia="宋体" w:cs="宋体"/>
          <w:spacing w:val="19"/>
          <w:sz w:val="20"/>
          <w:szCs w:val="20"/>
        </w:rPr>
        <w:t>；</w:t>
      </w:r>
      <w:r>
        <w:rPr>
          <w:rFonts w:ascii="Times New Roman" w:hAnsi="Times New Roman" w:eastAsia="Times New Roman" w:cs="Times New Roman"/>
          <w:spacing w:val="19"/>
          <w:sz w:val="20"/>
          <w:szCs w:val="20"/>
        </w:rPr>
        <w:t xml:space="preserve">M </w:t>
      </w:r>
      <w:r>
        <w:rPr>
          <w:rFonts w:ascii="宋体" w:hAnsi="宋体" w:eastAsia="宋体" w:cs="宋体"/>
          <w:spacing w:val="19"/>
          <w:sz w:val="20"/>
          <w:szCs w:val="20"/>
        </w:rPr>
        <w:t>越小，比例尺越大。数字比例尺也可以写成1:500、1:1000、1:2000等</w:t>
      </w:r>
      <w:r>
        <w:rPr>
          <w:rFonts w:ascii="宋体" w:hAnsi="宋体" w:eastAsia="宋体" w:cs="宋体"/>
          <w:sz w:val="20"/>
          <w:szCs w:val="20"/>
        </w:rPr>
        <w:t xml:space="preserve"> </w:t>
      </w:r>
      <w:r>
        <w:rPr>
          <w:rFonts w:ascii="宋体" w:hAnsi="宋体" w:eastAsia="宋体" w:cs="宋体"/>
          <w:spacing w:val="3"/>
          <w:sz w:val="20"/>
          <w:szCs w:val="20"/>
        </w:rPr>
        <w:t>形式。</w:t>
      </w:r>
    </w:p>
    <w:p w14:paraId="58C6EA8C">
      <w:pPr>
        <w:spacing w:before="2" w:line="276" w:lineRule="auto"/>
        <w:ind w:left="1537" w:right="793" w:firstLine="420"/>
        <w:jc w:val="both"/>
        <w:rPr>
          <w:rFonts w:ascii="宋体" w:hAnsi="宋体" w:eastAsia="宋体" w:cs="宋体"/>
          <w:sz w:val="20"/>
          <w:szCs w:val="20"/>
        </w:rPr>
      </w:pPr>
      <w:r>
        <w:rPr>
          <w:rFonts w:ascii="宋体" w:hAnsi="宋体" w:eastAsia="宋体" w:cs="宋体"/>
          <w:spacing w:val="1"/>
          <w:sz w:val="24"/>
          <w:szCs w:val="24"/>
        </w:rPr>
        <w:t>地形图比例尺分为三类：1:500、1:10</w:t>
      </w:r>
      <w:r>
        <w:rPr>
          <w:rFonts w:ascii="宋体" w:hAnsi="宋体" w:eastAsia="宋体" w:cs="宋体"/>
          <w:sz w:val="24"/>
          <w:szCs w:val="24"/>
        </w:rPr>
        <w:t xml:space="preserve">00、1:2000、1:5000、1:10000为 </w:t>
      </w:r>
      <w:r>
        <w:rPr>
          <w:rFonts w:ascii="宋体" w:hAnsi="宋体" w:eastAsia="宋体" w:cs="宋体"/>
          <w:spacing w:val="20"/>
          <w:sz w:val="20"/>
          <w:szCs w:val="20"/>
        </w:rPr>
        <w:t>大比例尺地形图；1:25000、1:5</w:t>
      </w:r>
      <w:r>
        <w:rPr>
          <w:rFonts w:ascii="宋体" w:hAnsi="宋体" w:eastAsia="宋体" w:cs="宋体"/>
          <w:spacing w:val="19"/>
          <w:sz w:val="20"/>
          <w:szCs w:val="20"/>
        </w:rPr>
        <w:t>0000、1:100000为中比例尺地形图；1:250000、</w:t>
      </w:r>
      <w:r>
        <w:rPr>
          <w:rFonts w:ascii="宋体" w:hAnsi="宋体" w:eastAsia="宋体" w:cs="宋体"/>
          <w:sz w:val="20"/>
          <w:szCs w:val="20"/>
        </w:rPr>
        <w:t xml:space="preserve"> </w:t>
      </w:r>
      <w:r>
        <w:rPr>
          <w:rFonts w:ascii="宋体" w:hAnsi="宋体" w:eastAsia="宋体" w:cs="宋体"/>
          <w:spacing w:val="14"/>
          <w:sz w:val="20"/>
          <w:szCs w:val="20"/>
        </w:rPr>
        <w:t>1:500000、1:1000000为小比例尺地形图。</w:t>
      </w:r>
    </w:p>
    <w:p w14:paraId="2BB8375F">
      <w:pPr>
        <w:spacing w:before="1" w:line="219" w:lineRule="auto"/>
        <w:ind w:left="1957"/>
        <w:rPr>
          <w:rFonts w:ascii="宋体" w:hAnsi="宋体" w:eastAsia="宋体" w:cs="宋体"/>
          <w:sz w:val="20"/>
          <w:szCs w:val="20"/>
        </w:rPr>
      </w:pPr>
      <w:r>
        <w:rPr>
          <w:rFonts w:ascii="宋体" w:hAnsi="宋体" w:eastAsia="宋体" w:cs="宋体"/>
          <w:spacing w:val="19"/>
          <w:sz w:val="20"/>
          <w:szCs w:val="20"/>
        </w:rPr>
        <w:t>(2)图示比例尺</w:t>
      </w:r>
    </w:p>
    <w:p w14:paraId="26C9E898">
      <w:pPr>
        <w:spacing w:before="133" w:line="278" w:lineRule="auto"/>
        <w:ind w:left="1537" w:right="877" w:firstLine="420"/>
        <w:jc w:val="both"/>
        <w:rPr>
          <w:rFonts w:ascii="宋体" w:hAnsi="宋体" w:eastAsia="宋体" w:cs="宋体"/>
          <w:sz w:val="20"/>
          <w:szCs w:val="20"/>
        </w:rPr>
      </w:pPr>
      <w:r>
        <w:rPr>
          <w:rFonts w:ascii="宋体" w:hAnsi="宋体" w:eastAsia="宋体" w:cs="宋体"/>
          <w:spacing w:val="13"/>
          <w:sz w:val="20"/>
          <w:szCs w:val="20"/>
        </w:rPr>
        <w:t>最常见的图示比例尺是直线比例尺。用一定长度的线段表示图上的实际长度，并</w:t>
      </w:r>
      <w:r>
        <w:rPr>
          <w:rFonts w:ascii="宋体" w:hAnsi="宋体" w:eastAsia="宋体" w:cs="宋体"/>
          <w:spacing w:val="2"/>
          <w:sz w:val="20"/>
          <w:szCs w:val="20"/>
        </w:rPr>
        <w:t xml:space="preserve"> </w:t>
      </w:r>
      <w:r>
        <w:rPr>
          <w:rFonts w:ascii="宋体" w:hAnsi="宋体" w:eastAsia="宋体" w:cs="宋体"/>
          <w:spacing w:val="8"/>
          <w:sz w:val="20"/>
          <w:szCs w:val="20"/>
        </w:rPr>
        <w:t>按图上比例尺计算出相应的地面上的水平距</w:t>
      </w:r>
      <w:r>
        <w:rPr>
          <w:rFonts w:ascii="宋体" w:hAnsi="宋体" w:eastAsia="宋体" w:cs="宋体"/>
          <w:spacing w:val="7"/>
          <w:sz w:val="20"/>
          <w:szCs w:val="20"/>
        </w:rPr>
        <w:t>离注记在线段上，这种比例尺称为直线比例</w:t>
      </w:r>
      <w:r>
        <w:rPr>
          <w:rFonts w:ascii="宋体" w:hAnsi="宋体" w:eastAsia="宋体" w:cs="宋体"/>
          <w:sz w:val="20"/>
          <w:szCs w:val="20"/>
        </w:rPr>
        <w:t xml:space="preserve"> </w:t>
      </w:r>
      <w:r>
        <w:rPr>
          <w:rFonts w:ascii="宋体" w:hAnsi="宋体" w:eastAsia="宋体" w:cs="宋体"/>
          <w:spacing w:val="15"/>
          <w:sz w:val="20"/>
          <w:szCs w:val="20"/>
        </w:rPr>
        <w:t>尺。图1.</w:t>
      </w:r>
      <w:r>
        <w:rPr>
          <w:rFonts w:ascii="宋体" w:hAnsi="宋体" w:eastAsia="宋体" w:cs="宋体"/>
          <w:spacing w:val="-42"/>
          <w:sz w:val="20"/>
          <w:szCs w:val="20"/>
        </w:rPr>
        <w:t xml:space="preserve"> </w:t>
      </w:r>
      <w:r>
        <w:rPr>
          <w:rFonts w:ascii="宋体" w:hAnsi="宋体" w:eastAsia="宋体" w:cs="宋体"/>
          <w:spacing w:val="15"/>
          <w:sz w:val="20"/>
          <w:szCs w:val="20"/>
        </w:rPr>
        <w:t>1-1自上至下，分别表示1:500、1:1000、1:2000三种直线比例尺。</w:t>
      </w:r>
    </w:p>
    <w:p w14:paraId="3FCAB1C9">
      <w:pPr>
        <w:pStyle w:val="2"/>
        <w:spacing w:line="256" w:lineRule="auto"/>
      </w:pPr>
    </w:p>
    <w:p w14:paraId="65C91506">
      <w:pPr>
        <w:pStyle w:val="2"/>
        <w:spacing w:line="257" w:lineRule="auto"/>
      </w:pPr>
    </w:p>
    <w:p w14:paraId="56E4872E">
      <w:pPr>
        <w:pStyle w:val="2"/>
        <w:spacing w:line="257" w:lineRule="auto"/>
      </w:pPr>
    </w:p>
    <w:p w14:paraId="64FA16CD">
      <w:pPr>
        <w:pStyle w:val="2"/>
        <w:spacing w:line="257" w:lineRule="auto"/>
      </w:pPr>
    </w:p>
    <w:p w14:paraId="0ECFD79B">
      <w:pPr>
        <w:pStyle w:val="2"/>
        <w:spacing w:line="257" w:lineRule="auto"/>
      </w:pPr>
    </w:p>
    <w:p w14:paraId="4EC29B42">
      <w:pPr>
        <w:pStyle w:val="2"/>
        <w:spacing w:line="257" w:lineRule="auto"/>
      </w:pPr>
    </w:p>
    <w:p w14:paraId="42643DA9">
      <w:pPr>
        <w:pStyle w:val="2"/>
        <w:spacing w:line="257" w:lineRule="auto"/>
      </w:pPr>
    </w:p>
    <w:p w14:paraId="5B4EDC34">
      <w:pPr>
        <w:spacing w:before="69" w:line="192" w:lineRule="auto"/>
        <w:ind w:left="5207"/>
        <w:rPr>
          <w:rFonts w:ascii="Times New Roman" w:hAnsi="Times New Roman" w:eastAsia="Times New Roman" w:cs="Times New Roman"/>
          <w:sz w:val="24"/>
          <w:szCs w:val="24"/>
        </w:rPr>
      </w:pPr>
      <w:r>
        <w:drawing>
          <wp:anchor distT="0" distB="0" distL="0" distR="0" simplePos="0" relativeHeight="251660288" behindDoc="0" locked="0" layoutInCell="1" allowOverlap="1">
            <wp:simplePos x="0" y="0"/>
            <wp:positionH relativeFrom="column">
              <wp:posOffset>2176145</wp:posOffset>
            </wp:positionH>
            <wp:positionV relativeFrom="paragraph">
              <wp:posOffset>-1035050</wp:posOffset>
            </wp:positionV>
            <wp:extent cx="2565400" cy="11112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5"/>
                    <a:stretch>
                      <a:fillRect/>
                    </a:stretch>
                  </pic:blipFill>
                  <pic:spPr>
                    <a:xfrm>
                      <a:off x="0" y="0"/>
                      <a:ext cx="2565446" cy="1111294"/>
                    </a:xfrm>
                    <a:prstGeom prst="rect">
                      <a:avLst/>
                    </a:prstGeom>
                  </pic:spPr>
                </pic:pic>
              </a:graphicData>
            </a:graphic>
          </wp:anchor>
        </w:drawing>
      </w:r>
      <w:r>
        <w:rPr>
          <w:rFonts w:ascii="Times New Roman" w:hAnsi="Times New Roman" w:eastAsia="Times New Roman" w:cs="Times New Roman"/>
          <w:spacing w:val="-3"/>
          <w:sz w:val="24"/>
          <w:szCs w:val="24"/>
        </w:rPr>
        <w:t>(c)</w:t>
      </w:r>
    </w:p>
    <w:p w14:paraId="4F1DA635">
      <w:pPr>
        <w:spacing w:before="87" w:line="219" w:lineRule="auto"/>
        <w:ind w:left="4567"/>
        <w:rPr>
          <w:rFonts w:ascii="宋体" w:hAnsi="宋体" w:eastAsia="宋体" w:cs="宋体"/>
          <w:sz w:val="20"/>
          <w:szCs w:val="20"/>
        </w:rPr>
      </w:pPr>
      <w:r>
        <w:rPr>
          <w:rFonts w:ascii="宋体" w:hAnsi="宋体" w:eastAsia="宋体" w:cs="宋体"/>
          <w:color w:val="407080"/>
          <w:spacing w:val="-12"/>
          <w:sz w:val="20"/>
          <w:szCs w:val="20"/>
        </w:rPr>
        <w:t>图1.1-1</w:t>
      </w:r>
      <w:r>
        <w:rPr>
          <w:rFonts w:ascii="宋体" w:hAnsi="宋体" w:eastAsia="宋体" w:cs="宋体"/>
          <w:color w:val="407080"/>
          <w:spacing w:val="67"/>
          <w:sz w:val="20"/>
          <w:szCs w:val="20"/>
        </w:rPr>
        <w:t xml:space="preserve"> </w:t>
      </w:r>
      <w:r>
        <w:rPr>
          <w:rFonts w:ascii="宋体" w:hAnsi="宋体" w:eastAsia="宋体" w:cs="宋体"/>
          <w:color w:val="407080"/>
          <w:spacing w:val="-12"/>
          <w:sz w:val="20"/>
          <w:szCs w:val="20"/>
        </w:rPr>
        <w:t>直线比例尺</w:t>
      </w:r>
    </w:p>
    <w:p w14:paraId="712B25F2">
      <w:pPr>
        <w:spacing w:before="12" w:line="192" w:lineRule="auto"/>
        <w:ind w:left="4097"/>
        <w:rPr>
          <w:rFonts w:ascii="Times New Roman" w:hAnsi="Times New Roman" w:eastAsia="Times New Roman" w:cs="Times New Roman"/>
          <w:sz w:val="20"/>
          <w:szCs w:val="20"/>
        </w:rPr>
      </w:pPr>
      <w:r>
        <w:rPr>
          <w:rFonts w:ascii="Times New Roman" w:hAnsi="Times New Roman" w:eastAsia="Times New Roman" w:cs="Times New Roman"/>
          <w:color w:val="306080"/>
          <w:spacing w:val="-1"/>
          <w:sz w:val="20"/>
          <w:szCs w:val="20"/>
        </w:rPr>
        <w:t>(a)1:500;(b)1:1000;(c)1:2000</w:t>
      </w:r>
    </w:p>
    <w:p w14:paraId="3527501F">
      <w:pPr>
        <w:spacing w:before="287" w:line="222" w:lineRule="auto"/>
        <w:ind w:left="1927"/>
        <w:rPr>
          <w:rFonts w:ascii="黑体" w:hAnsi="黑体" w:eastAsia="黑体" w:cs="黑体"/>
          <w:sz w:val="20"/>
          <w:szCs w:val="20"/>
        </w:rPr>
      </w:pPr>
      <w:r>
        <w:rPr>
          <w:rFonts w:ascii="宋体" w:hAnsi="宋体" w:eastAsia="宋体" w:cs="宋体"/>
          <w:color w:val="4080A0"/>
          <w:spacing w:val="18"/>
          <w:sz w:val="20"/>
          <w:szCs w:val="20"/>
        </w:rPr>
        <w:t>2.</w:t>
      </w:r>
      <w:r>
        <w:rPr>
          <w:rFonts w:ascii="宋体" w:hAnsi="宋体" w:eastAsia="宋体" w:cs="宋体"/>
          <w:color w:val="4080A0"/>
          <w:spacing w:val="-58"/>
          <w:sz w:val="20"/>
          <w:szCs w:val="20"/>
        </w:rPr>
        <w:t xml:space="preserve"> </w:t>
      </w:r>
      <w:r>
        <w:rPr>
          <w:rFonts w:ascii="黑体" w:hAnsi="黑体" w:eastAsia="黑体" w:cs="黑体"/>
          <w:color w:val="4080A0"/>
          <w:spacing w:val="18"/>
          <w:sz w:val="20"/>
          <w:szCs w:val="20"/>
        </w:rPr>
        <w:t>施工放样的基本工作</w:t>
      </w:r>
    </w:p>
    <w:p w14:paraId="12757E46">
      <w:pPr>
        <w:spacing w:before="50" w:line="222" w:lineRule="auto"/>
        <w:ind w:left="1927"/>
        <w:rPr>
          <w:rFonts w:ascii="黑体" w:hAnsi="黑体" w:eastAsia="黑体" w:cs="黑体"/>
          <w:sz w:val="20"/>
          <w:szCs w:val="20"/>
        </w:rPr>
      </w:pPr>
      <w:r>
        <w:rPr>
          <w:rFonts w:ascii="黑体" w:hAnsi="黑体" w:eastAsia="黑体" w:cs="黑体"/>
          <w:color w:val="408090"/>
          <w:spacing w:val="19"/>
          <w:sz w:val="20"/>
          <w:szCs w:val="20"/>
        </w:rPr>
        <w:t>1)放样数据准备</w:t>
      </w:r>
    </w:p>
    <w:p w14:paraId="6E7E999D">
      <w:pPr>
        <w:spacing w:before="110" w:line="248" w:lineRule="auto"/>
        <w:ind w:left="1467" w:right="975" w:firstLine="389"/>
        <w:rPr>
          <w:rFonts w:ascii="宋体" w:hAnsi="宋体" w:eastAsia="宋体" w:cs="宋体"/>
          <w:sz w:val="20"/>
          <w:szCs w:val="20"/>
        </w:rPr>
      </w:pPr>
      <w:r>
        <w:rPr>
          <w:rFonts w:ascii="宋体" w:hAnsi="宋体" w:eastAsia="宋体" w:cs="宋体"/>
          <w:spacing w:val="16"/>
          <w:sz w:val="20"/>
          <w:szCs w:val="20"/>
        </w:rPr>
        <w:t>(1)放样前应根据设计图纸和有关数据及使用的控制点成果</w:t>
      </w:r>
      <w:r>
        <w:rPr>
          <w:rFonts w:ascii="宋体" w:hAnsi="宋体" w:eastAsia="宋体" w:cs="宋体"/>
          <w:spacing w:val="15"/>
          <w:sz w:val="20"/>
          <w:szCs w:val="20"/>
        </w:rPr>
        <w:t>，计算放样数据，绘</w:t>
      </w:r>
      <w:r>
        <w:rPr>
          <w:rFonts w:ascii="宋体" w:hAnsi="宋体" w:eastAsia="宋体" w:cs="宋体"/>
          <w:sz w:val="20"/>
          <w:szCs w:val="20"/>
        </w:rPr>
        <w:t xml:space="preserve"> </w:t>
      </w:r>
      <w:r>
        <w:rPr>
          <w:rFonts w:ascii="宋体" w:hAnsi="宋体" w:eastAsia="宋体" w:cs="宋体"/>
          <w:spacing w:val="5"/>
          <w:sz w:val="20"/>
          <w:szCs w:val="20"/>
        </w:rPr>
        <w:t>制放样草图，所有数据、草图均应经两人独立计算与校</w:t>
      </w:r>
      <w:r>
        <w:rPr>
          <w:rFonts w:ascii="宋体" w:hAnsi="宋体" w:eastAsia="宋体" w:cs="宋体"/>
          <w:spacing w:val="4"/>
          <w:sz w:val="20"/>
          <w:szCs w:val="20"/>
        </w:rPr>
        <w:t>核。</w:t>
      </w:r>
    </w:p>
    <w:p w14:paraId="101E39CD">
      <w:pPr>
        <w:spacing w:before="103" w:line="251" w:lineRule="auto"/>
        <w:ind w:left="1467" w:right="965" w:firstLine="389"/>
        <w:rPr>
          <w:rFonts w:ascii="宋体" w:hAnsi="宋体" w:eastAsia="宋体" w:cs="宋体"/>
          <w:sz w:val="20"/>
          <w:szCs w:val="20"/>
        </w:rPr>
      </w:pPr>
      <w:r>
        <w:rPr>
          <w:rFonts w:ascii="宋体" w:hAnsi="宋体" w:eastAsia="宋体" w:cs="宋体"/>
          <w:spacing w:val="10"/>
          <w:sz w:val="20"/>
          <w:szCs w:val="20"/>
        </w:rPr>
        <w:t>(2)应将施工区域内的平面控制点、高程控制点、轴线点、测站点等测量成果，以</w:t>
      </w:r>
      <w:r>
        <w:rPr>
          <w:rFonts w:ascii="宋体" w:hAnsi="宋体" w:eastAsia="宋体" w:cs="宋体"/>
          <w:spacing w:val="7"/>
          <w:sz w:val="20"/>
          <w:szCs w:val="20"/>
        </w:rPr>
        <w:t xml:space="preserve"> </w:t>
      </w:r>
      <w:r>
        <w:rPr>
          <w:rFonts w:ascii="宋体" w:hAnsi="宋体" w:eastAsia="宋体" w:cs="宋体"/>
          <w:spacing w:val="12"/>
          <w:sz w:val="20"/>
          <w:szCs w:val="20"/>
        </w:rPr>
        <w:t>及设计图纸中工程部位的各种坐标(桩号)、方位、尺寸等几何数据编制成放样数据手</w:t>
      </w:r>
      <w:r>
        <w:rPr>
          <w:rFonts w:ascii="宋体" w:hAnsi="宋体" w:eastAsia="宋体" w:cs="宋体"/>
          <w:spacing w:val="1"/>
          <w:sz w:val="20"/>
          <w:szCs w:val="20"/>
        </w:rPr>
        <w:t xml:space="preserve"> </w:t>
      </w:r>
      <w:r>
        <w:rPr>
          <w:rFonts w:ascii="宋体" w:hAnsi="宋体" w:eastAsia="宋体" w:cs="宋体"/>
          <w:spacing w:val="6"/>
          <w:sz w:val="20"/>
          <w:szCs w:val="20"/>
        </w:rPr>
        <w:t>册，供放样人员使用。</w:t>
      </w:r>
    </w:p>
    <w:p w14:paraId="410B1366">
      <w:pPr>
        <w:spacing w:before="123" w:line="219" w:lineRule="auto"/>
        <w:ind w:left="1857"/>
        <w:rPr>
          <w:rFonts w:ascii="宋体" w:hAnsi="宋体" w:eastAsia="宋体" w:cs="宋体"/>
          <w:sz w:val="20"/>
          <w:szCs w:val="20"/>
        </w:rPr>
      </w:pPr>
      <w:r>
        <w:rPr>
          <w:rFonts w:ascii="宋体" w:hAnsi="宋体" w:eastAsia="宋体" w:cs="宋体"/>
          <w:spacing w:val="8"/>
          <w:sz w:val="20"/>
          <w:szCs w:val="20"/>
        </w:rPr>
        <w:t>(3)现场放样所取得的测量数据，应记录在规定的放样手簿中。</w:t>
      </w:r>
    </w:p>
    <w:p w14:paraId="485C7A70">
      <w:pPr>
        <w:spacing w:before="82" w:line="221" w:lineRule="auto"/>
        <w:ind w:left="1857"/>
        <w:rPr>
          <w:rFonts w:ascii="黑体" w:hAnsi="黑体" w:eastAsia="黑体" w:cs="黑体"/>
          <w:sz w:val="20"/>
          <w:szCs w:val="20"/>
        </w:rPr>
      </w:pPr>
      <w:r>
        <w:rPr>
          <w:rFonts w:ascii="黑体" w:hAnsi="黑体" w:eastAsia="黑体" w:cs="黑体"/>
          <w:color w:val="407090"/>
          <w:spacing w:val="20"/>
          <w:sz w:val="20"/>
          <w:szCs w:val="20"/>
        </w:rPr>
        <w:t>2)平面位置放样方法的选择</w:t>
      </w:r>
    </w:p>
    <w:p w14:paraId="1B3960AF">
      <w:pPr>
        <w:spacing w:before="81" w:line="269" w:lineRule="auto"/>
        <w:ind w:left="1467" w:right="975" w:firstLine="389"/>
        <w:jc w:val="both"/>
        <w:rPr>
          <w:rFonts w:ascii="宋体" w:hAnsi="宋体" w:eastAsia="宋体" w:cs="宋体"/>
          <w:sz w:val="20"/>
          <w:szCs w:val="20"/>
        </w:rPr>
      </w:pPr>
      <w:r>
        <w:rPr>
          <w:rFonts w:ascii="宋体" w:hAnsi="宋体" w:eastAsia="宋体" w:cs="宋体"/>
          <w:spacing w:val="13"/>
          <w:sz w:val="20"/>
          <w:szCs w:val="20"/>
        </w:rPr>
        <w:t>平面位置放样应根据放样点位的精度要求、现场作业条件和拥有的仪器设备，选</w:t>
      </w:r>
      <w:r>
        <w:rPr>
          <w:rFonts w:ascii="宋体" w:hAnsi="宋体" w:eastAsia="宋体" w:cs="宋体"/>
          <w:spacing w:val="11"/>
          <w:sz w:val="20"/>
          <w:szCs w:val="20"/>
        </w:rPr>
        <w:t xml:space="preserve"> </w:t>
      </w:r>
      <w:r>
        <w:rPr>
          <w:rFonts w:ascii="宋体" w:hAnsi="宋体" w:eastAsia="宋体" w:cs="宋体"/>
          <w:spacing w:val="12"/>
          <w:sz w:val="20"/>
          <w:szCs w:val="20"/>
        </w:rPr>
        <w:t>择适用的放样方法。平面位置放样的基本方法有：直角交会法、极坐标法、角度交会</w:t>
      </w:r>
      <w:r>
        <w:rPr>
          <w:rFonts w:ascii="宋体" w:hAnsi="宋体" w:eastAsia="宋体" w:cs="宋体"/>
          <w:spacing w:val="13"/>
          <w:sz w:val="20"/>
          <w:szCs w:val="20"/>
        </w:rPr>
        <w:t xml:space="preserve"> </w:t>
      </w:r>
      <w:r>
        <w:rPr>
          <w:rFonts w:ascii="宋体" w:hAnsi="宋体" w:eastAsia="宋体" w:cs="宋体"/>
          <w:spacing w:val="4"/>
          <w:sz w:val="20"/>
          <w:szCs w:val="20"/>
        </w:rPr>
        <w:t>法、距离交会法等几种。</w:t>
      </w:r>
    </w:p>
    <w:p w14:paraId="2A61CCFD">
      <w:pPr>
        <w:spacing w:before="75" w:line="221" w:lineRule="auto"/>
        <w:ind w:left="1857"/>
        <w:rPr>
          <w:rFonts w:ascii="黑体" w:hAnsi="黑体" w:eastAsia="黑体" w:cs="黑体"/>
          <w:sz w:val="20"/>
          <w:szCs w:val="20"/>
        </w:rPr>
      </w:pPr>
      <w:r>
        <w:rPr>
          <w:rFonts w:ascii="黑体" w:hAnsi="黑体" w:eastAsia="黑体" w:cs="黑体"/>
          <w:color w:val="4080A0"/>
          <w:spacing w:val="21"/>
          <w:sz w:val="20"/>
          <w:szCs w:val="20"/>
        </w:rPr>
        <w:t>3)高程放样方法的选择</w:t>
      </w:r>
    </w:p>
    <w:p w14:paraId="3AFE328E">
      <w:pPr>
        <w:spacing w:before="71" w:line="248" w:lineRule="auto"/>
        <w:ind w:left="1467" w:right="975" w:firstLine="389"/>
        <w:rPr>
          <w:rFonts w:ascii="宋体" w:hAnsi="宋体" w:eastAsia="宋体" w:cs="宋体"/>
          <w:sz w:val="20"/>
          <w:szCs w:val="20"/>
        </w:rPr>
      </w:pPr>
      <w:r>
        <w:rPr>
          <w:rFonts w:ascii="宋体" w:hAnsi="宋体" w:eastAsia="宋体" w:cs="宋体"/>
          <w:spacing w:val="16"/>
          <w:sz w:val="20"/>
          <w:szCs w:val="20"/>
        </w:rPr>
        <w:t>(1)高程放样方法的选择，主要根据放样点高程精度要求和</w:t>
      </w:r>
      <w:r>
        <w:rPr>
          <w:rFonts w:ascii="宋体" w:hAnsi="宋体" w:eastAsia="宋体" w:cs="宋体"/>
          <w:spacing w:val="15"/>
          <w:sz w:val="20"/>
          <w:szCs w:val="20"/>
        </w:rPr>
        <w:t>现场的作业条件。可</w:t>
      </w:r>
      <w:r>
        <w:rPr>
          <w:rFonts w:ascii="宋体" w:hAnsi="宋体" w:eastAsia="宋体" w:cs="宋体"/>
          <w:sz w:val="20"/>
          <w:szCs w:val="20"/>
        </w:rPr>
        <w:t xml:space="preserve"> </w:t>
      </w:r>
      <w:r>
        <w:rPr>
          <w:rFonts w:ascii="宋体" w:hAnsi="宋体" w:eastAsia="宋体" w:cs="宋体"/>
          <w:spacing w:val="5"/>
          <w:sz w:val="20"/>
          <w:szCs w:val="20"/>
        </w:rPr>
        <w:t>分别采用水准测量法、光电测距三角高程法、解析三角高程</w:t>
      </w:r>
      <w:r>
        <w:rPr>
          <w:rFonts w:ascii="宋体" w:hAnsi="宋体" w:eastAsia="宋体" w:cs="宋体"/>
          <w:spacing w:val="4"/>
          <w:sz w:val="20"/>
          <w:szCs w:val="20"/>
        </w:rPr>
        <w:t>法和视距法等。</w:t>
      </w:r>
    </w:p>
    <w:p w14:paraId="7D566F2E">
      <w:pPr>
        <w:spacing w:before="93" w:line="219" w:lineRule="auto"/>
        <w:ind w:left="1857"/>
        <w:rPr>
          <w:rFonts w:ascii="宋体" w:hAnsi="宋体" w:eastAsia="宋体" w:cs="宋体"/>
          <w:sz w:val="20"/>
          <w:szCs w:val="20"/>
        </w:rPr>
      </w:pPr>
      <w:r>
        <w:rPr>
          <w:rFonts w:ascii="宋体" w:hAnsi="宋体" w:eastAsia="宋体" w:cs="宋体"/>
          <w:spacing w:val="12"/>
          <w:sz w:val="20"/>
          <w:szCs w:val="20"/>
        </w:rPr>
        <w:t>(2)对于高程放样中误差要求不大于±10</w:t>
      </w:r>
      <w:r>
        <w:rPr>
          <w:rFonts w:ascii="Times New Roman" w:hAnsi="Times New Roman" w:eastAsia="Times New Roman" w:cs="Times New Roman"/>
          <w:sz w:val="20"/>
          <w:szCs w:val="20"/>
        </w:rPr>
        <w:t>mm</w:t>
      </w:r>
      <w:r>
        <w:rPr>
          <w:rFonts w:ascii="Times New Roman" w:hAnsi="Times New Roman" w:eastAsia="Times New Roman" w:cs="Times New Roman"/>
          <w:spacing w:val="-20"/>
          <w:sz w:val="20"/>
          <w:szCs w:val="20"/>
        </w:rPr>
        <w:t xml:space="preserve"> </w:t>
      </w:r>
      <w:r>
        <w:rPr>
          <w:rFonts w:ascii="宋体" w:hAnsi="宋体" w:eastAsia="宋体" w:cs="宋体"/>
          <w:spacing w:val="12"/>
          <w:sz w:val="20"/>
          <w:szCs w:val="20"/>
        </w:rPr>
        <w:t>的部位，</w:t>
      </w:r>
      <w:r>
        <w:rPr>
          <w:rFonts w:ascii="宋体" w:hAnsi="宋体" w:eastAsia="宋体" w:cs="宋体"/>
          <w:spacing w:val="11"/>
          <w:sz w:val="20"/>
          <w:szCs w:val="20"/>
        </w:rPr>
        <w:t>应采用水准测量法。</w:t>
      </w:r>
    </w:p>
    <w:p w14:paraId="157DDA5B">
      <w:pPr>
        <w:spacing w:before="73" w:line="219" w:lineRule="auto"/>
        <w:ind w:left="1857"/>
        <w:rPr>
          <w:rFonts w:ascii="宋体" w:hAnsi="宋体" w:eastAsia="宋体" w:cs="宋体"/>
          <w:sz w:val="20"/>
          <w:szCs w:val="20"/>
        </w:rPr>
      </w:pPr>
      <w:r>
        <w:rPr>
          <w:rFonts w:ascii="宋体" w:hAnsi="宋体" w:eastAsia="宋体" w:cs="宋体"/>
          <w:spacing w:val="8"/>
          <w:sz w:val="20"/>
          <w:szCs w:val="20"/>
        </w:rPr>
        <w:t>(3)采用经纬仪代替水准仪进行工程放样时，应注意以下两点：</w:t>
      </w:r>
    </w:p>
    <w:p w14:paraId="2B0970F6">
      <w:pPr>
        <w:spacing w:line="219" w:lineRule="auto"/>
        <w:rPr>
          <w:rFonts w:ascii="宋体" w:hAnsi="宋体" w:eastAsia="宋体" w:cs="宋体"/>
          <w:sz w:val="20"/>
          <w:szCs w:val="20"/>
        </w:rPr>
        <w:sectPr>
          <w:headerReference r:id="rId10" w:type="default"/>
          <w:footerReference r:id="rId11" w:type="default"/>
          <w:pgSz w:w="10320" w:h="14590"/>
          <w:pgMar w:top="335" w:right="16" w:bottom="224" w:left="2" w:header="0" w:footer="0" w:gutter="0"/>
          <w:cols w:space="720" w:num="1"/>
        </w:sectPr>
      </w:pPr>
    </w:p>
    <w:p w14:paraId="452A76CA">
      <w:pPr>
        <w:spacing w:line="213" w:lineRule="auto"/>
        <w:ind w:left="289"/>
        <w:rPr>
          <w:rFonts w:ascii="宋体" w:hAnsi="宋体" w:eastAsia="宋体" w:cs="宋体"/>
          <w:sz w:val="23"/>
          <w:szCs w:val="23"/>
        </w:rPr>
      </w:pPr>
      <w:r>
        <w:rPr>
          <w:rFonts w:hint="eastAsia" w:ascii="宋体" w:hAnsi="宋体" w:eastAsia="宋体" w:cs="宋体"/>
          <w:spacing w:val="14"/>
          <w:sz w:val="23"/>
          <w:szCs w:val="23"/>
          <w:lang w:eastAsia="zh-CN"/>
        </w:rPr>
        <w:t>大鱼社区</w:t>
      </w:r>
      <w:r>
        <w:rPr>
          <w:rFonts w:ascii="宋体" w:hAnsi="宋体" w:eastAsia="宋体" w:cs="宋体"/>
          <w:spacing w:val="14"/>
          <w:sz w:val="23"/>
          <w:szCs w:val="23"/>
        </w:rPr>
        <w:t>助你备考：少走弯路，快速通关!认准</w:t>
      </w:r>
      <w:r>
        <w:rPr>
          <w:rFonts w:ascii="宋体" w:hAnsi="宋体" w:eastAsia="宋体" w:cs="宋体"/>
          <w:sz w:val="23"/>
          <w:szCs w:val="23"/>
        </w:rPr>
        <w:t>VX</w:t>
      </w:r>
      <w:r>
        <w:rPr>
          <w:rFonts w:ascii="宋体" w:hAnsi="宋体" w:eastAsia="宋体" w:cs="宋体"/>
          <w:spacing w:val="14"/>
          <w:sz w:val="23"/>
          <w:szCs w:val="23"/>
        </w:rPr>
        <w:t>:</w:t>
      </w:r>
      <w:r>
        <w:rPr>
          <w:rFonts w:hint="eastAsia" w:ascii="宋体" w:hAnsi="宋体" w:eastAsia="宋体" w:cs="宋体"/>
          <w:sz w:val="23"/>
          <w:szCs w:val="23"/>
          <w:lang w:eastAsia="zh-CN"/>
        </w:rPr>
        <w:t>dayu_nm_cn</w:t>
      </w:r>
      <w:r>
        <w:rPr>
          <w:rFonts w:ascii="宋体" w:hAnsi="宋体" w:eastAsia="宋体" w:cs="宋体"/>
          <w:spacing w:val="42"/>
          <w:sz w:val="23"/>
          <w:szCs w:val="23"/>
        </w:rPr>
        <w:t xml:space="preserve">  </w:t>
      </w:r>
      <w:r>
        <w:rPr>
          <w:rFonts w:ascii="宋体" w:hAnsi="宋体" w:eastAsia="宋体" w:cs="宋体"/>
          <w:spacing w:val="13"/>
          <w:sz w:val="23"/>
          <w:szCs w:val="23"/>
        </w:rPr>
        <w:t>(天道酬勤，白嫖勿扰)</w:t>
      </w:r>
    </w:p>
    <w:p w14:paraId="5C20A911">
      <w:pPr>
        <w:pStyle w:val="2"/>
        <w:spacing w:line="411" w:lineRule="auto"/>
      </w:pPr>
    </w:p>
    <w:p w14:paraId="4A3202E2">
      <w:pPr>
        <w:spacing w:before="65" w:line="222" w:lineRule="auto"/>
        <w:ind w:left="900"/>
        <w:rPr>
          <w:rFonts w:ascii="黑体" w:hAnsi="黑体" w:eastAsia="黑体" w:cs="黑体"/>
          <w:sz w:val="20"/>
          <w:szCs w:val="20"/>
        </w:rPr>
      </w:pPr>
      <w:r>
        <w:rPr>
          <w:rFonts w:ascii="黑体" w:hAnsi="黑体" w:eastAsia="黑体" w:cs="黑体"/>
          <w:spacing w:val="-6"/>
          <w:sz w:val="20"/>
          <w:szCs w:val="20"/>
          <w:u w:val="single" w:color="auto"/>
        </w:rPr>
        <w:t>6</w:t>
      </w:r>
      <w:r>
        <w:rPr>
          <w:rFonts w:ascii="黑体" w:hAnsi="黑体" w:eastAsia="黑体" w:cs="黑体"/>
          <w:spacing w:val="7"/>
          <w:sz w:val="20"/>
          <w:szCs w:val="20"/>
          <w:u w:val="single" w:color="auto"/>
        </w:rPr>
        <w:t xml:space="preserve">     </w:t>
      </w:r>
      <w:r>
        <w:rPr>
          <w:rFonts w:ascii="黑体" w:hAnsi="黑体" w:eastAsia="黑体" w:cs="黑体"/>
          <w:spacing w:val="-6"/>
          <w:sz w:val="20"/>
          <w:szCs w:val="20"/>
          <w:u w:val="single" w:color="auto"/>
        </w:rPr>
        <w:t>第</w:t>
      </w:r>
      <w:r>
        <w:rPr>
          <w:rFonts w:ascii="黑体" w:hAnsi="黑体" w:eastAsia="黑体" w:cs="黑体"/>
          <w:spacing w:val="-23"/>
          <w:sz w:val="20"/>
          <w:szCs w:val="20"/>
          <w:u w:val="single" w:color="auto"/>
        </w:rPr>
        <w:t xml:space="preserve"> </w:t>
      </w:r>
      <w:r>
        <w:rPr>
          <w:rFonts w:ascii="黑体" w:hAnsi="黑体" w:eastAsia="黑体" w:cs="黑体"/>
          <w:spacing w:val="-6"/>
          <w:sz w:val="20"/>
          <w:szCs w:val="20"/>
          <w:u w:val="single" w:color="auto"/>
        </w:rPr>
        <w:t>1</w:t>
      </w:r>
      <w:r>
        <w:rPr>
          <w:rFonts w:ascii="黑体" w:hAnsi="黑体" w:eastAsia="黑体" w:cs="黑体"/>
          <w:spacing w:val="-34"/>
          <w:sz w:val="20"/>
          <w:szCs w:val="20"/>
          <w:u w:val="single" w:color="auto"/>
        </w:rPr>
        <w:t xml:space="preserve"> </w:t>
      </w:r>
      <w:r>
        <w:rPr>
          <w:rFonts w:ascii="黑体" w:hAnsi="黑体" w:eastAsia="黑体" w:cs="黑体"/>
          <w:spacing w:val="-6"/>
          <w:sz w:val="20"/>
          <w:szCs w:val="20"/>
          <w:u w:val="single" w:color="auto"/>
        </w:rPr>
        <w:t>篇    水</w:t>
      </w:r>
      <w:r>
        <w:rPr>
          <w:rFonts w:ascii="黑体" w:hAnsi="黑体" w:eastAsia="黑体" w:cs="黑体"/>
          <w:spacing w:val="-34"/>
          <w:sz w:val="20"/>
          <w:szCs w:val="20"/>
          <w:u w:val="single" w:color="auto"/>
        </w:rPr>
        <w:t xml:space="preserve"> </w:t>
      </w:r>
      <w:r>
        <w:rPr>
          <w:rFonts w:ascii="黑体" w:hAnsi="黑体" w:eastAsia="黑体" w:cs="黑体"/>
          <w:spacing w:val="-6"/>
          <w:sz w:val="20"/>
          <w:szCs w:val="20"/>
          <w:u w:val="single" w:color="auto"/>
        </w:rPr>
        <w:t>利</w:t>
      </w:r>
      <w:r>
        <w:rPr>
          <w:rFonts w:ascii="黑体" w:hAnsi="黑体" w:eastAsia="黑体" w:cs="黑体"/>
          <w:spacing w:val="-35"/>
          <w:sz w:val="20"/>
          <w:szCs w:val="20"/>
          <w:u w:val="single" w:color="auto"/>
        </w:rPr>
        <w:t xml:space="preserve"> </w:t>
      </w:r>
      <w:r>
        <w:rPr>
          <w:rFonts w:ascii="黑体" w:hAnsi="黑体" w:eastAsia="黑体" w:cs="黑体"/>
          <w:spacing w:val="-6"/>
          <w:sz w:val="20"/>
          <w:szCs w:val="20"/>
          <w:u w:val="single" w:color="auto"/>
        </w:rPr>
        <w:t>水</w:t>
      </w:r>
      <w:r>
        <w:rPr>
          <w:rFonts w:ascii="黑体" w:hAnsi="黑体" w:eastAsia="黑体" w:cs="黑体"/>
          <w:spacing w:val="-22"/>
          <w:sz w:val="20"/>
          <w:szCs w:val="20"/>
          <w:u w:val="single" w:color="auto"/>
        </w:rPr>
        <w:t xml:space="preserve"> </w:t>
      </w:r>
      <w:r>
        <w:rPr>
          <w:rFonts w:ascii="黑体" w:hAnsi="黑体" w:eastAsia="黑体" w:cs="黑体"/>
          <w:spacing w:val="-6"/>
          <w:sz w:val="20"/>
          <w:szCs w:val="20"/>
          <w:u w:val="single" w:color="auto"/>
        </w:rPr>
        <w:t>电</w:t>
      </w:r>
      <w:r>
        <w:rPr>
          <w:rFonts w:ascii="黑体" w:hAnsi="黑体" w:eastAsia="黑体" w:cs="黑体"/>
          <w:spacing w:val="-34"/>
          <w:sz w:val="20"/>
          <w:szCs w:val="20"/>
          <w:u w:val="single" w:color="auto"/>
        </w:rPr>
        <w:t xml:space="preserve"> </w:t>
      </w:r>
      <w:r>
        <w:rPr>
          <w:rFonts w:ascii="黑体" w:hAnsi="黑体" w:eastAsia="黑体" w:cs="黑体"/>
          <w:spacing w:val="-6"/>
          <w:sz w:val="20"/>
          <w:szCs w:val="20"/>
          <w:u w:val="single" w:color="auto"/>
        </w:rPr>
        <w:t>工</w:t>
      </w:r>
      <w:r>
        <w:rPr>
          <w:rFonts w:ascii="黑体" w:hAnsi="黑体" w:eastAsia="黑体" w:cs="黑体"/>
          <w:spacing w:val="-36"/>
          <w:sz w:val="20"/>
          <w:szCs w:val="20"/>
          <w:u w:val="single" w:color="auto"/>
        </w:rPr>
        <w:t xml:space="preserve"> </w:t>
      </w:r>
      <w:r>
        <w:rPr>
          <w:rFonts w:ascii="黑体" w:hAnsi="黑体" w:eastAsia="黑体" w:cs="黑体"/>
          <w:spacing w:val="-6"/>
          <w:sz w:val="20"/>
          <w:szCs w:val="20"/>
          <w:u w:val="single" w:color="auto"/>
        </w:rPr>
        <w:t>程</w:t>
      </w:r>
      <w:r>
        <w:rPr>
          <w:rFonts w:ascii="黑体" w:hAnsi="黑体" w:eastAsia="黑体" w:cs="黑体"/>
          <w:spacing w:val="-35"/>
          <w:sz w:val="20"/>
          <w:szCs w:val="20"/>
          <w:u w:val="single" w:color="auto"/>
        </w:rPr>
        <w:t xml:space="preserve"> </w:t>
      </w:r>
      <w:r>
        <w:rPr>
          <w:rFonts w:ascii="黑体" w:hAnsi="黑体" w:eastAsia="黑体" w:cs="黑体"/>
          <w:spacing w:val="-6"/>
          <w:sz w:val="20"/>
          <w:szCs w:val="20"/>
          <w:u w:val="single" w:color="auto"/>
        </w:rPr>
        <w:t>技</w:t>
      </w:r>
      <w:r>
        <w:rPr>
          <w:rFonts w:ascii="黑体" w:hAnsi="黑体" w:eastAsia="黑体" w:cs="黑体"/>
          <w:spacing w:val="-35"/>
          <w:sz w:val="20"/>
          <w:szCs w:val="20"/>
          <w:u w:val="single" w:color="auto"/>
        </w:rPr>
        <w:t xml:space="preserve"> </w:t>
      </w:r>
      <w:r>
        <w:rPr>
          <w:rFonts w:ascii="黑体" w:hAnsi="黑体" w:eastAsia="黑体" w:cs="黑体"/>
          <w:spacing w:val="-6"/>
          <w:sz w:val="20"/>
          <w:szCs w:val="20"/>
          <w:u w:val="single" w:color="auto"/>
        </w:rPr>
        <w:t xml:space="preserve">术                       </w:t>
      </w:r>
      <w:r>
        <w:rPr>
          <w:rFonts w:ascii="黑体" w:hAnsi="黑体" w:eastAsia="黑体" w:cs="黑体"/>
          <w:spacing w:val="-7"/>
          <w:sz w:val="20"/>
          <w:szCs w:val="20"/>
          <w:u w:val="single" w:color="auto"/>
        </w:rPr>
        <w:t xml:space="preserve">                      </w:t>
      </w:r>
    </w:p>
    <w:p w14:paraId="19EF324A">
      <w:pPr>
        <w:spacing w:before="238" w:line="217" w:lineRule="auto"/>
        <w:ind w:left="1310"/>
        <w:rPr>
          <w:rFonts w:ascii="宋体" w:hAnsi="宋体" w:eastAsia="宋体" w:cs="宋体"/>
          <w:sz w:val="20"/>
          <w:szCs w:val="20"/>
        </w:rPr>
      </w:pPr>
      <w:r>
        <w:rPr>
          <w:rFonts w:ascii="宋体" w:hAnsi="宋体" w:eastAsia="宋体" w:cs="宋体"/>
          <w:spacing w:val="11"/>
          <w:sz w:val="20"/>
          <w:szCs w:val="20"/>
        </w:rPr>
        <w:t>①放样点离高程控制点不得大于50m。</w:t>
      </w:r>
    </w:p>
    <w:p w14:paraId="194A506F">
      <w:pPr>
        <w:spacing w:before="64" w:line="217" w:lineRule="auto"/>
        <w:ind w:left="1310"/>
        <w:rPr>
          <w:rFonts w:ascii="宋体" w:hAnsi="宋体" w:eastAsia="宋体" w:cs="宋体"/>
          <w:sz w:val="20"/>
          <w:szCs w:val="20"/>
        </w:rPr>
      </w:pPr>
      <w:r>
        <w:rPr>
          <w:rFonts w:ascii="宋体" w:hAnsi="宋体" w:eastAsia="宋体" w:cs="宋体"/>
          <w:spacing w:val="7"/>
          <w:sz w:val="20"/>
          <w:szCs w:val="20"/>
        </w:rPr>
        <w:t>②必须用正倒镜置平法读数，并取正倒镜读数的平均值进行计算。</w:t>
      </w:r>
    </w:p>
    <w:p w14:paraId="73DBEB12">
      <w:pPr>
        <w:spacing w:before="66" w:line="276" w:lineRule="auto"/>
        <w:ind w:left="900" w:right="1561" w:firstLine="410"/>
        <w:rPr>
          <w:rFonts w:ascii="宋体" w:hAnsi="宋体" w:eastAsia="宋体" w:cs="宋体"/>
          <w:sz w:val="20"/>
          <w:szCs w:val="20"/>
        </w:rPr>
      </w:pPr>
      <w:r>
        <w:rPr>
          <w:rFonts w:ascii="宋体" w:hAnsi="宋体" w:eastAsia="宋体" w:cs="宋体"/>
          <w:spacing w:val="9"/>
          <w:sz w:val="20"/>
          <w:szCs w:val="20"/>
        </w:rPr>
        <w:t>(4)采用光电测距三角高程测设高程放样控制点时，注意加入地球曲率的修正，并</w:t>
      </w:r>
      <w:r>
        <w:rPr>
          <w:rFonts w:ascii="宋体" w:hAnsi="宋体" w:eastAsia="宋体" w:cs="宋体"/>
          <w:spacing w:val="4"/>
          <w:sz w:val="20"/>
          <w:szCs w:val="20"/>
        </w:rPr>
        <w:t xml:space="preserve"> 校核相邻点的高程。</w:t>
      </w:r>
    </w:p>
    <w:p w14:paraId="01284333">
      <w:pPr>
        <w:spacing w:before="49" w:line="222" w:lineRule="auto"/>
        <w:ind w:left="1313"/>
        <w:rPr>
          <w:rFonts w:ascii="黑体" w:hAnsi="黑体" w:eastAsia="黑体" w:cs="黑体"/>
          <w:sz w:val="23"/>
          <w:szCs w:val="23"/>
        </w:rPr>
      </w:pPr>
      <w:r>
        <w:rPr>
          <w:rFonts w:ascii="黑体" w:hAnsi="黑体" w:eastAsia="黑体" w:cs="黑体"/>
          <w:b/>
          <w:bCs/>
          <w:color w:val="208090"/>
          <w:spacing w:val="-7"/>
          <w:sz w:val="23"/>
          <w:szCs w:val="23"/>
        </w:rPr>
        <w:t>4)仪器、工具的检验</w:t>
      </w:r>
    </w:p>
    <w:p w14:paraId="2C86269D">
      <w:pPr>
        <w:spacing w:before="48" w:line="219" w:lineRule="auto"/>
        <w:ind w:left="1310"/>
        <w:rPr>
          <w:rFonts w:ascii="宋体" w:hAnsi="宋体" w:eastAsia="宋体" w:cs="宋体"/>
          <w:sz w:val="20"/>
          <w:szCs w:val="20"/>
        </w:rPr>
      </w:pPr>
      <w:r>
        <w:rPr>
          <w:rFonts w:ascii="宋体" w:hAnsi="宋体" w:eastAsia="宋体" w:cs="宋体"/>
          <w:spacing w:val="9"/>
          <w:sz w:val="20"/>
          <w:szCs w:val="20"/>
        </w:rPr>
        <w:t>(1)施工放样使用的仪器，应定期按下列项目进行检验和校正：</w:t>
      </w:r>
    </w:p>
    <w:p w14:paraId="1729002A">
      <w:pPr>
        <w:spacing w:before="69" w:line="278" w:lineRule="auto"/>
        <w:ind w:left="900" w:right="1561" w:firstLine="410"/>
        <w:rPr>
          <w:rFonts w:ascii="宋体" w:hAnsi="宋体" w:eastAsia="宋体" w:cs="宋体"/>
          <w:sz w:val="20"/>
          <w:szCs w:val="20"/>
        </w:rPr>
      </w:pPr>
      <w:r>
        <w:rPr>
          <w:rFonts w:ascii="宋体" w:hAnsi="宋体" w:eastAsia="宋体" w:cs="宋体"/>
          <w:spacing w:val="15"/>
          <w:sz w:val="20"/>
          <w:szCs w:val="20"/>
        </w:rPr>
        <w:t>①经纬仪的三轴误差、指标差、光学对中误差，以及水准仪的i角，应经常检验</w:t>
      </w:r>
      <w:r>
        <w:rPr>
          <w:rFonts w:ascii="宋体" w:hAnsi="宋体" w:eastAsia="宋体" w:cs="宋体"/>
          <w:spacing w:val="12"/>
          <w:sz w:val="20"/>
          <w:szCs w:val="20"/>
        </w:rPr>
        <w:t xml:space="preserve"> </w:t>
      </w:r>
      <w:r>
        <w:rPr>
          <w:rFonts w:ascii="宋体" w:hAnsi="宋体" w:eastAsia="宋体" w:cs="宋体"/>
          <w:sz w:val="20"/>
          <w:szCs w:val="20"/>
        </w:rPr>
        <w:t>和校正。</w:t>
      </w:r>
    </w:p>
    <w:p w14:paraId="23D86A28">
      <w:pPr>
        <w:spacing w:before="29" w:line="281" w:lineRule="auto"/>
        <w:ind w:left="900" w:right="1500" w:firstLine="410"/>
        <w:rPr>
          <w:rFonts w:ascii="宋体" w:hAnsi="宋体" w:eastAsia="宋体" w:cs="宋体"/>
          <w:sz w:val="20"/>
          <w:szCs w:val="20"/>
        </w:rPr>
      </w:pPr>
      <w:r>
        <w:rPr>
          <w:rFonts w:ascii="宋体" w:hAnsi="宋体" w:eastAsia="宋体" w:cs="宋体"/>
          <w:spacing w:val="13"/>
          <w:sz w:val="20"/>
          <w:szCs w:val="20"/>
        </w:rPr>
        <w:t>②光电测距仪的照准误差(相位不均匀误差)、偏调误差(三轴平行性)及加常数、</w:t>
      </w:r>
      <w:r>
        <w:rPr>
          <w:rFonts w:ascii="宋体" w:hAnsi="宋体" w:eastAsia="宋体" w:cs="宋体"/>
          <w:spacing w:val="17"/>
          <w:sz w:val="20"/>
          <w:szCs w:val="20"/>
        </w:rPr>
        <w:t xml:space="preserve"> </w:t>
      </w:r>
      <w:r>
        <w:rPr>
          <w:rFonts w:ascii="宋体" w:hAnsi="宋体" w:eastAsia="宋体" w:cs="宋体"/>
          <w:spacing w:val="4"/>
          <w:sz w:val="20"/>
          <w:szCs w:val="20"/>
        </w:rPr>
        <w:t>乘常数，一般每年进行一次检验。</w:t>
      </w:r>
    </w:p>
    <w:p w14:paraId="27AEB227">
      <w:pPr>
        <w:spacing w:before="53" w:line="219" w:lineRule="auto"/>
        <w:ind w:left="1310"/>
        <w:rPr>
          <w:rFonts w:ascii="宋体" w:hAnsi="宋体" w:eastAsia="宋体" w:cs="宋体"/>
          <w:sz w:val="20"/>
          <w:szCs w:val="20"/>
        </w:rPr>
      </w:pPr>
      <w:r>
        <w:rPr>
          <w:rFonts w:ascii="宋体" w:hAnsi="宋体" w:eastAsia="宋体" w:cs="宋体"/>
          <w:spacing w:val="10"/>
          <w:sz w:val="20"/>
          <w:szCs w:val="20"/>
        </w:rPr>
        <w:t>(2)施工放样使用的工具应按下列项目进行检</w:t>
      </w:r>
      <w:r>
        <w:rPr>
          <w:rFonts w:ascii="宋体" w:hAnsi="宋体" w:eastAsia="宋体" w:cs="宋体"/>
          <w:spacing w:val="9"/>
          <w:sz w:val="20"/>
          <w:szCs w:val="20"/>
        </w:rPr>
        <w:t>验：</w:t>
      </w:r>
    </w:p>
    <w:p w14:paraId="4CE1759F">
      <w:pPr>
        <w:spacing w:before="100" w:line="217" w:lineRule="auto"/>
        <w:ind w:left="1310"/>
        <w:rPr>
          <w:rFonts w:ascii="宋体" w:hAnsi="宋体" w:eastAsia="宋体" w:cs="宋体"/>
          <w:sz w:val="20"/>
          <w:szCs w:val="20"/>
        </w:rPr>
      </w:pPr>
      <w:r>
        <w:rPr>
          <w:rFonts w:ascii="宋体" w:hAnsi="宋体" w:eastAsia="宋体" w:cs="宋体"/>
          <w:spacing w:val="8"/>
          <w:sz w:val="20"/>
          <w:szCs w:val="20"/>
        </w:rPr>
        <w:t>①钢带尺应通过检定，建立尺长方程式。</w:t>
      </w:r>
    </w:p>
    <w:p w14:paraId="36FE952E">
      <w:pPr>
        <w:spacing w:before="45" w:line="280" w:lineRule="auto"/>
        <w:ind w:left="900" w:right="1591" w:firstLine="410"/>
        <w:rPr>
          <w:rFonts w:ascii="宋体" w:hAnsi="宋体" w:eastAsia="宋体" w:cs="宋体"/>
          <w:sz w:val="20"/>
          <w:szCs w:val="20"/>
        </w:rPr>
      </w:pPr>
      <w:r>
        <w:rPr>
          <w:rFonts w:ascii="宋体" w:hAnsi="宋体" w:eastAsia="宋体" w:cs="宋体"/>
          <w:spacing w:val="12"/>
          <w:sz w:val="20"/>
          <w:szCs w:val="20"/>
        </w:rPr>
        <w:t>②水准标尺应测定红黑面常数差和标尺零点差。标</w:t>
      </w:r>
      <w:r>
        <w:rPr>
          <w:rFonts w:ascii="宋体" w:hAnsi="宋体" w:eastAsia="宋体" w:cs="宋体"/>
          <w:spacing w:val="11"/>
          <w:sz w:val="20"/>
          <w:szCs w:val="20"/>
        </w:rPr>
        <w:t>尺标称常数差与实测常数差超</w:t>
      </w:r>
      <w:r>
        <w:rPr>
          <w:rFonts w:ascii="宋体" w:hAnsi="宋体" w:eastAsia="宋体" w:cs="宋体"/>
          <w:sz w:val="20"/>
          <w:szCs w:val="20"/>
        </w:rPr>
        <w:t xml:space="preserve"> </w:t>
      </w:r>
      <w:r>
        <w:rPr>
          <w:rFonts w:ascii="宋体" w:hAnsi="宋体" w:eastAsia="宋体" w:cs="宋体"/>
          <w:spacing w:val="10"/>
          <w:sz w:val="20"/>
          <w:szCs w:val="20"/>
        </w:rPr>
        <w:t>过1.0</w:t>
      </w:r>
      <w:r>
        <w:rPr>
          <w:rFonts w:ascii="Times New Roman" w:hAnsi="Times New Roman" w:eastAsia="Times New Roman" w:cs="Times New Roman"/>
          <w:sz w:val="20"/>
          <w:szCs w:val="20"/>
        </w:rPr>
        <w:t>mm</w:t>
      </w:r>
      <w:r>
        <w:rPr>
          <w:rFonts w:ascii="宋体" w:hAnsi="宋体" w:eastAsia="宋体" w:cs="宋体"/>
          <w:spacing w:val="10"/>
          <w:sz w:val="20"/>
          <w:szCs w:val="20"/>
        </w:rPr>
        <w:t>时，应采用实测常数差；标尺的零点差超过0.5</w:t>
      </w:r>
      <w:r>
        <w:rPr>
          <w:rFonts w:ascii="Times New Roman" w:hAnsi="Times New Roman" w:eastAsia="Times New Roman" w:cs="Times New Roman"/>
          <w:sz w:val="20"/>
          <w:szCs w:val="20"/>
        </w:rPr>
        <w:t>mm</w:t>
      </w:r>
      <w:r>
        <w:rPr>
          <w:rFonts w:ascii="Times New Roman" w:hAnsi="Times New Roman" w:eastAsia="Times New Roman" w:cs="Times New Roman"/>
          <w:spacing w:val="-19"/>
          <w:sz w:val="20"/>
          <w:szCs w:val="20"/>
        </w:rPr>
        <w:t xml:space="preserve"> </w:t>
      </w:r>
      <w:r>
        <w:rPr>
          <w:rFonts w:ascii="宋体" w:hAnsi="宋体" w:eastAsia="宋体" w:cs="宋体"/>
          <w:spacing w:val="10"/>
          <w:sz w:val="20"/>
          <w:szCs w:val="20"/>
        </w:rPr>
        <w:t>时，应</w:t>
      </w:r>
      <w:r>
        <w:rPr>
          <w:rFonts w:ascii="宋体" w:hAnsi="宋体" w:eastAsia="宋体" w:cs="宋体"/>
          <w:spacing w:val="9"/>
          <w:sz w:val="20"/>
          <w:szCs w:val="20"/>
        </w:rPr>
        <w:t>进行尺底面的修理</w:t>
      </w:r>
      <w:r>
        <w:rPr>
          <w:rFonts w:ascii="宋体" w:hAnsi="宋体" w:eastAsia="宋体" w:cs="宋体"/>
          <w:sz w:val="20"/>
          <w:szCs w:val="20"/>
        </w:rPr>
        <w:t xml:space="preserve"> </w:t>
      </w:r>
      <w:r>
        <w:rPr>
          <w:rFonts w:ascii="宋体" w:hAnsi="宋体" w:eastAsia="宋体" w:cs="宋体"/>
          <w:spacing w:val="2"/>
          <w:sz w:val="20"/>
          <w:szCs w:val="20"/>
        </w:rPr>
        <w:t>或在高差中改正。</w:t>
      </w:r>
    </w:p>
    <w:p w14:paraId="552EE251">
      <w:pPr>
        <w:spacing w:before="70" w:line="217" w:lineRule="auto"/>
        <w:ind w:left="1310"/>
        <w:rPr>
          <w:rFonts w:ascii="宋体" w:hAnsi="宋体" w:eastAsia="宋体" w:cs="宋体"/>
          <w:sz w:val="20"/>
          <w:szCs w:val="20"/>
        </w:rPr>
      </w:pPr>
      <w:r>
        <w:rPr>
          <w:rFonts w:ascii="宋体" w:hAnsi="宋体" w:eastAsia="宋体" w:cs="宋体"/>
          <w:spacing w:val="8"/>
          <w:sz w:val="20"/>
          <w:szCs w:val="20"/>
        </w:rPr>
        <w:t>③塔尺应检查底面及结合处误差。</w:t>
      </w:r>
    </w:p>
    <w:p w14:paraId="5E83AC7A">
      <w:pPr>
        <w:spacing w:before="75" w:line="217" w:lineRule="auto"/>
        <w:ind w:left="1310"/>
        <w:rPr>
          <w:rFonts w:ascii="宋体" w:hAnsi="宋体" w:eastAsia="宋体" w:cs="宋体"/>
          <w:sz w:val="20"/>
          <w:szCs w:val="20"/>
        </w:rPr>
      </w:pPr>
      <w:r>
        <w:rPr>
          <w:rFonts w:ascii="宋体" w:hAnsi="宋体" w:eastAsia="宋体" w:cs="宋体"/>
          <w:spacing w:val="8"/>
          <w:sz w:val="20"/>
          <w:szCs w:val="20"/>
        </w:rPr>
        <w:t>④垂球应检查垂球尖与吊线是否同轴。</w:t>
      </w:r>
    </w:p>
    <w:p w14:paraId="3CA85A1A">
      <w:pPr>
        <w:spacing w:before="103" w:line="222" w:lineRule="auto"/>
        <w:ind w:left="1312"/>
        <w:rPr>
          <w:rFonts w:ascii="黑体" w:hAnsi="黑体" w:eastAsia="黑体" w:cs="黑体"/>
          <w:sz w:val="20"/>
          <w:szCs w:val="20"/>
        </w:rPr>
      </w:pPr>
      <w:r>
        <w:rPr>
          <w:rFonts w:ascii="宋体" w:hAnsi="宋体" w:eastAsia="宋体" w:cs="宋体"/>
          <w:b/>
          <w:bCs/>
          <w:color w:val="2080A0"/>
          <w:spacing w:val="13"/>
          <w:sz w:val="20"/>
          <w:szCs w:val="20"/>
        </w:rPr>
        <w:t>3.</w:t>
      </w:r>
      <w:r>
        <w:rPr>
          <w:rFonts w:ascii="宋体" w:hAnsi="宋体" w:eastAsia="宋体" w:cs="宋体"/>
          <w:color w:val="2080A0"/>
          <w:spacing w:val="-46"/>
          <w:sz w:val="20"/>
          <w:szCs w:val="20"/>
        </w:rPr>
        <w:t xml:space="preserve"> </w:t>
      </w:r>
      <w:r>
        <w:rPr>
          <w:rFonts w:ascii="黑体" w:hAnsi="黑体" w:eastAsia="黑体" w:cs="黑体"/>
          <w:b/>
          <w:bCs/>
          <w:color w:val="2080A0"/>
          <w:spacing w:val="13"/>
          <w:sz w:val="20"/>
          <w:szCs w:val="20"/>
        </w:rPr>
        <w:t>开挖工程测量</w:t>
      </w:r>
    </w:p>
    <w:p w14:paraId="1761BC39">
      <w:pPr>
        <w:spacing w:before="73" w:line="222" w:lineRule="auto"/>
        <w:ind w:left="1310"/>
        <w:rPr>
          <w:rFonts w:ascii="黑体" w:hAnsi="黑体" w:eastAsia="黑体" w:cs="黑体"/>
          <w:sz w:val="20"/>
          <w:szCs w:val="20"/>
        </w:rPr>
      </w:pPr>
      <w:r>
        <w:rPr>
          <w:rFonts w:ascii="黑体" w:hAnsi="黑体" w:eastAsia="黑体" w:cs="黑体"/>
          <w:color w:val="208090"/>
          <w:spacing w:val="19"/>
          <w:sz w:val="20"/>
          <w:szCs w:val="20"/>
        </w:rPr>
        <w:t>1)开挖工程测量的内容</w:t>
      </w:r>
    </w:p>
    <w:p w14:paraId="2C7ACE73">
      <w:pPr>
        <w:spacing w:before="50" w:line="303" w:lineRule="auto"/>
        <w:ind w:left="969" w:right="1587" w:firstLine="340"/>
        <w:rPr>
          <w:rFonts w:ascii="宋体" w:hAnsi="宋体" w:eastAsia="宋体" w:cs="宋体"/>
          <w:sz w:val="20"/>
          <w:szCs w:val="20"/>
        </w:rPr>
      </w:pPr>
      <w:r>
        <w:rPr>
          <w:rFonts w:ascii="宋体" w:hAnsi="宋体" w:eastAsia="宋体" w:cs="宋体"/>
          <w:spacing w:val="12"/>
          <w:sz w:val="20"/>
          <w:szCs w:val="20"/>
        </w:rPr>
        <w:t>开挖工程测量应包括下列内容：开挖区原始地形图和原始断</w:t>
      </w:r>
      <w:r>
        <w:rPr>
          <w:rFonts w:ascii="宋体" w:hAnsi="宋体" w:eastAsia="宋体" w:cs="宋体"/>
          <w:spacing w:val="11"/>
          <w:sz w:val="20"/>
          <w:szCs w:val="20"/>
        </w:rPr>
        <w:t>面图测量；开挖轮廓</w:t>
      </w:r>
      <w:r>
        <w:rPr>
          <w:rFonts w:ascii="宋体" w:hAnsi="宋体" w:eastAsia="宋体" w:cs="宋体"/>
          <w:sz w:val="20"/>
          <w:szCs w:val="20"/>
        </w:rPr>
        <w:t xml:space="preserve"> </w:t>
      </w:r>
      <w:r>
        <w:rPr>
          <w:rFonts w:ascii="宋体" w:hAnsi="宋体" w:eastAsia="宋体" w:cs="宋体"/>
          <w:spacing w:val="4"/>
          <w:sz w:val="20"/>
          <w:szCs w:val="20"/>
        </w:rPr>
        <w:t>点放样；开挖竣工地形、断面测量和工程量测算。</w:t>
      </w:r>
    </w:p>
    <w:p w14:paraId="7CC3E2AA">
      <w:pPr>
        <w:spacing w:before="1" w:line="221" w:lineRule="auto"/>
        <w:ind w:left="1312"/>
        <w:rPr>
          <w:rFonts w:ascii="黑体" w:hAnsi="黑体" w:eastAsia="黑体" w:cs="黑体"/>
          <w:sz w:val="20"/>
          <w:szCs w:val="20"/>
        </w:rPr>
      </w:pPr>
      <w:r>
        <w:rPr>
          <w:rFonts w:ascii="黑体" w:hAnsi="黑体" w:eastAsia="黑体" w:cs="黑体"/>
          <w:b/>
          <w:bCs/>
          <w:color w:val="209090"/>
          <w:spacing w:val="20"/>
          <w:sz w:val="20"/>
          <w:szCs w:val="20"/>
        </w:rPr>
        <w:t>2)开挖工程细部放样</w:t>
      </w:r>
    </w:p>
    <w:p w14:paraId="07C21DEC">
      <w:pPr>
        <w:spacing w:before="54" w:line="271" w:lineRule="auto"/>
        <w:ind w:left="900" w:right="1500" w:firstLine="410"/>
        <w:rPr>
          <w:rFonts w:ascii="宋体" w:hAnsi="宋体" w:eastAsia="宋体" w:cs="宋体"/>
          <w:sz w:val="20"/>
          <w:szCs w:val="20"/>
        </w:rPr>
      </w:pPr>
      <w:r>
        <w:rPr>
          <w:rFonts w:ascii="宋体" w:hAnsi="宋体" w:eastAsia="宋体" w:cs="宋体"/>
          <w:spacing w:val="11"/>
          <w:sz w:val="20"/>
          <w:szCs w:val="20"/>
        </w:rPr>
        <w:t>(1)开挖工程细部放样，需在实地放出控制开挖轮廓的坡顶点</w:t>
      </w:r>
      <w:r>
        <w:rPr>
          <w:rFonts w:ascii="宋体" w:hAnsi="宋体" w:eastAsia="宋体" w:cs="宋体"/>
          <w:spacing w:val="10"/>
          <w:sz w:val="20"/>
          <w:szCs w:val="20"/>
        </w:rPr>
        <w:t>、转角点或坡脚点，</w:t>
      </w:r>
      <w:r>
        <w:rPr>
          <w:rFonts w:ascii="宋体" w:hAnsi="宋体" w:eastAsia="宋体" w:cs="宋体"/>
          <w:sz w:val="20"/>
          <w:szCs w:val="20"/>
        </w:rPr>
        <w:t xml:space="preserve"> </w:t>
      </w:r>
      <w:r>
        <w:rPr>
          <w:rFonts w:ascii="宋体" w:hAnsi="宋体" w:eastAsia="宋体" w:cs="宋体"/>
          <w:spacing w:val="5"/>
          <w:sz w:val="20"/>
          <w:szCs w:val="20"/>
        </w:rPr>
        <w:t>并用醒目的标志加以标定。</w:t>
      </w:r>
    </w:p>
    <w:p w14:paraId="2294DD4D">
      <w:pPr>
        <w:spacing w:before="33" w:line="283" w:lineRule="auto"/>
        <w:ind w:left="969" w:right="1521" w:firstLine="340"/>
        <w:rPr>
          <w:rFonts w:ascii="宋体" w:hAnsi="宋体" w:eastAsia="宋体" w:cs="宋体"/>
          <w:sz w:val="20"/>
          <w:szCs w:val="20"/>
        </w:rPr>
      </w:pPr>
      <w:r>
        <w:rPr>
          <w:rFonts w:ascii="宋体" w:hAnsi="宋体" w:eastAsia="宋体" w:cs="宋体"/>
          <w:spacing w:val="15"/>
          <w:sz w:val="20"/>
          <w:szCs w:val="20"/>
        </w:rPr>
        <w:t>(2)开挖工程细部放样方法有极坐标法、测角前方交会法、后方交会法等</w:t>
      </w:r>
      <w:r>
        <w:rPr>
          <w:rFonts w:ascii="宋体" w:hAnsi="宋体" w:eastAsia="宋体" w:cs="宋体"/>
          <w:spacing w:val="14"/>
          <w:sz w:val="20"/>
          <w:szCs w:val="20"/>
        </w:rPr>
        <w:t>，但基</w:t>
      </w:r>
      <w:r>
        <w:rPr>
          <w:rFonts w:ascii="宋体" w:hAnsi="宋体" w:eastAsia="宋体" w:cs="宋体"/>
          <w:sz w:val="20"/>
          <w:szCs w:val="20"/>
        </w:rPr>
        <w:t xml:space="preserve"> </w:t>
      </w:r>
      <w:r>
        <w:rPr>
          <w:rFonts w:ascii="宋体" w:hAnsi="宋体" w:eastAsia="宋体" w:cs="宋体"/>
          <w:spacing w:val="6"/>
          <w:sz w:val="20"/>
          <w:szCs w:val="20"/>
        </w:rPr>
        <w:t>本的方法主要是极坐标法和测角前方交会法。直接用后方交会</w:t>
      </w:r>
      <w:r>
        <w:rPr>
          <w:rFonts w:ascii="宋体" w:hAnsi="宋体" w:eastAsia="宋体" w:cs="宋体"/>
          <w:spacing w:val="5"/>
          <w:sz w:val="20"/>
          <w:szCs w:val="20"/>
        </w:rPr>
        <w:t>法放样开挖轮廓点的情况</w:t>
      </w:r>
      <w:r>
        <w:rPr>
          <w:rFonts w:ascii="宋体" w:hAnsi="宋体" w:eastAsia="宋体" w:cs="宋体"/>
          <w:sz w:val="20"/>
          <w:szCs w:val="20"/>
        </w:rPr>
        <w:t xml:space="preserve"> </w:t>
      </w:r>
      <w:r>
        <w:rPr>
          <w:rFonts w:ascii="宋体" w:hAnsi="宋体" w:eastAsia="宋体" w:cs="宋体"/>
          <w:spacing w:val="6"/>
          <w:sz w:val="20"/>
          <w:szCs w:val="20"/>
        </w:rPr>
        <w:t>很少。采用测角前方交会法，宜用三个交会方向，以“半测</w:t>
      </w:r>
      <w:r>
        <w:rPr>
          <w:rFonts w:ascii="宋体" w:hAnsi="宋体" w:eastAsia="宋体" w:cs="宋体"/>
          <w:spacing w:val="5"/>
          <w:sz w:val="20"/>
          <w:szCs w:val="20"/>
        </w:rPr>
        <w:t>回”标定即可。用极坐标法</w:t>
      </w:r>
      <w:r>
        <w:rPr>
          <w:rFonts w:ascii="宋体" w:hAnsi="宋体" w:eastAsia="宋体" w:cs="宋体"/>
          <w:sz w:val="20"/>
          <w:szCs w:val="20"/>
        </w:rPr>
        <w:t xml:space="preserve"> </w:t>
      </w:r>
      <w:r>
        <w:rPr>
          <w:rFonts w:ascii="宋体" w:hAnsi="宋体" w:eastAsia="宋体" w:cs="宋体"/>
          <w:spacing w:val="5"/>
          <w:sz w:val="20"/>
          <w:szCs w:val="20"/>
        </w:rPr>
        <w:t>放样开挖轮廓点时，测站点必须靠近放样点。</w:t>
      </w:r>
    </w:p>
    <w:p w14:paraId="0F2ABBED">
      <w:pPr>
        <w:spacing w:before="72" w:line="219" w:lineRule="auto"/>
        <w:ind w:left="1310"/>
        <w:rPr>
          <w:rFonts w:ascii="宋体" w:hAnsi="宋体" w:eastAsia="宋体" w:cs="宋体"/>
          <w:sz w:val="20"/>
          <w:szCs w:val="20"/>
        </w:rPr>
      </w:pPr>
      <w:r>
        <w:rPr>
          <w:rFonts w:ascii="宋体" w:hAnsi="宋体" w:eastAsia="宋体" w:cs="宋体"/>
          <w:spacing w:val="9"/>
          <w:sz w:val="20"/>
          <w:szCs w:val="20"/>
        </w:rPr>
        <w:t>(3)距离丈量可根据条件和精度要求从下列方法中选择：</w:t>
      </w:r>
    </w:p>
    <w:p w14:paraId="35F7D2A7">
      <w:pPr>
        <w:spacing w:before="52" w:line="281" w:lineRule="auto"/>
        <w:ind w:left="969" w:right="1588" w:firstLine="340"/>
        <w:rPr>
          <w:rFonts w:ascii="宋体" w:hAnsi="宋体" w:eastAsia="宋体" w:cs="宋体"/>
          <w:sz w:val="20"/>
          <w:szCs w:val="20"/>
        </w:rPr>
      </w:pPr>
      <w:r>
        <w:rPr>
          <w:rFonts w:ascii="宋体" w:hAnsi="宋体" w:eastAsia="宋体" w:cs="宋体"/>
          <w:spacing w:val="12"/>
          <w:sz w:val="20"/>
          <w:szCs w:val="20"/>
        </w:rPr>
        <w:t>①用钢尺或经过比长的皮尺丈量，以不超过一尺段为宜。</w:t>
      </w:r>
      <w:r>
        <w:rPr>
          <w:rFonts w:ascii="宋体" w:hAnsi="宋体" w:eastAsia="宋体" w:cs="宋体"/>
          <w:spacing w:val="11"/>
          <w:sz w:val="20"/>
          <w:szCs w:val="20"/>
        </w:rPr>
        <w:t>在高差较大地区，可丈</w:t>
      </w:r>
      <w:r>
        <w:rPr>
          <w:rFonts w:ascii="宋体" w:hAnsi="宋体" w:eastAsia="宋体" w:cs="宋体"/>
          <w:sz w:val="20"/>
          <w:szCs w:val="20"/>
        </w:rPr>
        <w:t xml:space="preserve"> </w:t>
      </w:r>
      <w:r>
        <w:rPr>
          <w:rFonts w:ascii="宋体" w:hAnsi="宋体" w:eastAsia="宋体" w:cs="宋体"/>
          <w:spacing w:val="3"/>
          <w:sz w:val="20"/>
          <w:szCs w:val="20"/>
        </w:rPr>
        <w:t>量斜距加倾斜改正。</w:t>
      </w:r>
    </w:p>
    <w:p w14:paraId="7CF7AB16">
      <w:pPr>
        <w:spacing w:before="31" w:line="217" w:lineRule="auto"/>
        <w:ind w:left="1310"/>
        <w:rPr>
          <w:rFonts w:ascii="宋体" w:hAnsi="宋体" w:eastAsia="宋体" w:cs="宋体"/>
          <w:sz w:val="20"/>
          <w:szCs w:val="20"/>
        </w:rPr>
      </w:pPr>
      <w:r>
        <w:rPr>
          <w:rFonts w:ascii="宋体" w:hAnsi="宋体" w:eastAsia="宋体" w:cs="宋体"/>
          <w:spacing w:val="8"/>
          <w:sz w:val="20"/>
          <w:szCs w:val="20"/>
        </w:rPr>
        <w:t>②用视距法测定，其视距长度不应大于50</w:t>
      </w:r>
      <w:r>
        <w:rPr>
          <w:rFonts w:ascii="Times New Roman" w:hAnsi="Times New Roman" w:eastAsia="Times New Roman" w:cs="Times New Roman"/>
          <w:spacing w:val="8"/>
          <w:sz w:val="20"/>
          <w:szCs w:val="20"/>
        </w:rPr>
        <w:t>m</w:t>
      </w:r>
      <w:r>
        <w:rPr>
          <w:rFonts w:ascii="宋体" w:hAnsi="宋体" w:eastAsia="宋体" w:cs="宋体"/>
          <w:spacing w:val="8"/>
          <w:sz w:val="20"/>
          <w:szCs w:val="20"/>
        </w:rPr>
        <w:t>。预裂爆破放样，不宜采用视距法。</w:t>
      </w:r>
    </w:p>
    <w:p w14:paraId="5C829776">
      <w:pPr>
        <w:spacing w:before="115" w:line="217" w:lineRule="auto"/>
        <w:ind w:left="1310"/>
        <w:rPr>
          <w:rFonts w:ascii="宋体" w:hAnsi="宋体" w:eastAsia="宋体" w:cs="宋体"/>
          <w:sz w:val="20"/>
          <w:szCs w:val="20"/>
        </w:rPr>
      </w:pPr>
      <w:r>
        <w:rPr>
          <w:rFonts w:ascii="宋体" w:hAnsi="宋体" w:eastAsia="宋体" w:cs="宋体"/>
          <w:spacing w:val="10"/>
          <w:sz w:val="20"/>
          <w:szCs w:val="20"/>
        </w:rPr>
        <w:t>③用视差法测定，端点法线长度不应大于70</w:t>
      </w:r>
      <w:r>
        <w:rPr>
          <w:rFonts w:ascii="Times New Roman" w:hAnsi="Times New Roman" w:eastAsia="Times New Roman" w:cs="Times New Roman"/>
          <w:spacing w:val="10"/>
          <w:sz w:val="20"/>
          <w:szCs w:val="20"/>
        </w:rPr>
        <w:t>m</w:t>
      </w:r>
      <w:r>
        <w:rPr>
          <w:rFonts w:ascii="宋体" w:hAnsi="宋体" w:eastAsia="宋体" w:cs="宋体"/>
          <w:spacing w:val="10"/>
          <w:sz w:val="20"/>
          <w:szCs w:val="20"/>
        </w:rPr>
        <w:t>。</w:t>
      </w:r>
    </w:p>
    <w:p w14:paraId="28592D0C">
      <w:pPr>
        <w:spacing w:before="45" w:line="281" w:lineRule="auto"/>
        <w:ind w:left="969" w:right="1584" w:firstLine="340"/>
        <w:rPr>
          <w:rFonts w:ascii="宋体" w:hAnsi="宋体" w:eastAsia="宋体" w:cs="宋体"/>
          <w:sz w:val="20"/>
          <w:szCs w:val="20"/>
        </w:rPr>
      </w:pPr>
      <w:r>
        <w:rPr>
          <w:rFonts w:ascii="宋体" w:hAnsi="宋体" w:eastAsia="宋体" w:cs="宋体"/>
          <w:spacing w:val="9"/>
          <w:sz w:val="20"/>
          <w:szCs w:val="20"/>
        </w:rPr>
        <w:t>(4)细部点的高程放样，可采用支线水准</w:t>
      </w:r>
      <w:r>
        <w:rPr>
          <w:rFonts w:ascii="宋体" w:hAnsi="宋体" w:eastAsia="宋体" w:cs="宋体"/>
          <w:spacing w:val="8"/>
          <w:sz w:val="20"/>
          <w:szCs w:val="20"/>
        </w:rPr>
        <w:t>法、光电测距三角高程法或经纬仪置平测</w:t>
      </w:r>
      <w:r>
        <w:rPr>
          <w:rFonts w:ascii="宋体" w:hAnsi="宋体" w:eastAsia="宋体" w:cs="宋体"/>
          <w:sz w:val="20"/>
          <w:szCs w:val="20"/>
        </w:rPr>
        <w:t xml:space="preserve"> </w:t>
      </w:r>
      <w:r>
        <w:rPr>
          <w:rFonts w:ascii="宋体" w:hAnsi="宋体" w:eastAsia="宋体" w:cs="宋体"/>
          <w:spacing w:val="-3"/>
          <w:sz w:val="20"/>
          <w:szCs w:val="20"/>
        </w:rPr>
        <w:t>高法。</w:t>
      </w:r>
    </w:p>
    <w:p w14:paraId="56251578">
      <w:pPr>
        <w:spacing w:before="99" w:line="222" w:lineRule="auto"/>
        <w:ind w:left="1312"/>
        <w:rPr>
          <w:rFonts w:ascii="黑体" w:hAnsi="黑体" w:eastAsia="黑体" w:cs="黑体"/>
          <w:sz w:val="20"/>
          <w:szCs w:val="20"/>
        </w:rPr>
      </w:pPr>
      <w:r>
        <w:rPr>
          <w:rFonts w:ascii="黑体" w:hAnsi="黑体" w:eastAsia="黑体" w:cs="黑体"/>
          <w:b/>
          <w:bCs/>
          <w:color w:val="307080"/>
          <w:spacing w:val="18"/>
          <w:sz w:val="20"/>
          <w:szCs w:val="20"/>
        </w:rPr>
        <w:t>3)断面测量和工程量计算</w:t>
      </w:r>
    </w:p>
    <w:p w14:paraId="377CE203">
      <w:pPr>
        <w:spacing w:before="25" w:line="305" w:lineRule="auto"/>
        <w:ind w:left="969" w:right="1450" w:firstLine="340"/>
        <w:rPr>
          <w:rFonts w:ascii="宋体" w:hAnsi="宋体" w:eastAsia="宋体" w:cs="宋体"/>
          <w:sz w:val="20"/>
          <w:szCs w:val="20"/>
        </w:rPr>
      </w:pPr>
      <w:r>
        <w:rPr>
          <w:rFonts w:ascii="宋体" w:hAnsi="宋体" w:eastAsia="宋体" w:cs="宋体"/>
          <w:spacing w:val="14"/>
          <w:sz w:val="20"/>
          <w:szCs w:val="20"/>
        </w:rPr>
        <w:t>(1)开挖工程动工前，必须实测开挖区的原始断面图或地形图；开挖过程中，应</w:t>
      </w:r>
      <w:r>
        <w:rPr>
          <w:rFonts w:ascii="宋体" w:hAnsi="宋体" w:eastAsia="宋体" w:cs="宋体"/>
          <w:spacing w:val="1"/>
          <w:sz w:val="20"/>
          <w:szCs w:val="20"/>
        </w:rPr>
        <w:t xml:space="preserve">  </w:t>
      </w:r>
      <w:r>
        <w:rPr>
          <w:rFonts w:ascii="宋体" w:hAnsi="宋体" w:eastAsia="宋体" w:cs="宋体"/>
          <w:spacing w:val="8"/>
          <w:sz w:val="20"/>
          <w:szCs w:val="20"/>
        </w:rPr>
        <w:t>定期测量收方断面图或地形图；开挖工程结束后，</w:t>
      </w:r>
      <w:r>
        <w:rPr>
          <w:rFonts w:ascii="宋体" w:hAnsi="宋体" w:eastAsia="宋体" w:cs="宋体"/>
          <w:spacing w:val="7"/>
          <w:sz w:val="20"/>
          <w:szCs w:val="20"/>
        </w:rPr>
        <w:t>必须实测竣工断面图或竣工地形图，</w:t>
      </w:r>
      <w:r>
        <w:rPr>
          <w:rFonts w:ascii="宋体" w:hAnsi="宋体" w:eastAsia="宋体" w:cs="宋体"/>
          <w:sz w:val="20"/>
          <w:szCs w:val="20"/>
        </w:rPr>
        <w:t xml:space="preserve"> </w:t>
      </w:r>
      <w:r>
        <w:rPr>
          <w:rFonts w:ascii="宋体" w:hAnsi="宋体" w:eastAsia="宋体" w:cs="宋体"/>
          <w:spacing w:val="4"/>
          <w:sz w:val="20"/>
          <w:szCs w:val="20"/>
        </w:rPr>
        <w:t>作为工程量结算的依据。</w:t>
      </w:r>
    </w:p>
    <w:p w14:paraId="4AE85F59">
      <w:pPr>
        <w:pStyle w:val="2"/>
        <w:spacing w:line="287" w:lineRule="auto"/>
      </w:pPr>
    </w:p>
    <w:p w14:paraId="06172C13">
      <w:pPr>
        <w:spacing w:line="190" w:lineRule="auto"/>
        <w:rPr>
          <w:rFonts w:ascii="宋体" w:hAnsi="宋体" w:eastAsia="宋体" w:cs="宋体"/>
          <w:sz w:val="23"/>
          <w:szCs w:val="23"/>
        </w:rPr>
        <w:sectPr>
          <w:pgSz w:w="10320" w:h="14590"/>
          <w:pgMar w:top="42" w:right="9" w:bottom="10" w:left="0" w:header="0" w:footer="0" w:gutter="0"/>
          <w:cols w:space="720" w:num="1"/>
        </w:sectPr>
      </w:pPr>
    </w:p>
    <w:p w14:paraId="0ADCCC33">
      <w:pPr>
        <w:pStyle w:val="2"/>
        <w:spacing w:line="291" w:lineRule="auto"/>
      </w:pPr>
    </w:p>
    <w:p w14:paraId="20907FD9">
      <w:pPr>
        <w:tabs>
          <w:tab w:val="left" w:pos="6359"/>
        </w:tabs>
        <w:spacing w:before="68" w:line="222" w:lineRule="auto"/>
        <w:ind w:left="1399"/>
        <w:rPr>
          <w:rFonts w:ascii="宋体" w:hAnsi="宋体" w:eastAsia="宋体" w:cs="宋体"/>
          <w:sz w:val="21"/>
          <w:szCs w:val="21"/>
        </w:rPr>
      </w:pPr>
      <w:r>
        <w:rPr>
          <w:rFonts w:ascii="黑体" w:hAnsi="黑体" w:eastAsia="黑体" w:cs="黑体"/>
          <w:sz w:val="21"/>
          <w:szCs w:val="21"/>
          <w:u w:val="single" w:color="auto"/>
        </w:rPr>
        <w:tab/>
      </w:r>
      <w:r>
        <w:rPr>
          <w:rFonts w:ascii="黑体" w:hAnsi="黑体" w:eastAsia="黑体" w:cs="黑体"/>
          <w:spacing w:val="-21"/>
          <w:w w:val="96"/>
          <w:sz w:val="21"/>
          <w:szCs w:val="21"/>
          <w:u w:val="single" w:color="auto"/>
        </w:rPr>
        <w:t>第1章 水利水电工程勘测与设计</w:t>
      </w:r>
      <w:r>
        <w:rPr>
          <w:rFonts w:ascii="黑体" w:hAnsi="黑体" w:eastAsia="黑体" w:cs="黑体"/>
          <w:spacing w:val="7"/>
          <w:sz w:val="21"/>
          <w:szCs w:val="21"/>
          <w:u w:val="single" w:color="auto"/>
        </w:rPr>
        <w:t xml:space="preserve">   </w:t>
      </w:r>
      <w:r>
        <w:rPr>
          <w:rFonts w:ascii="宋体" w:hAnsi="宋体" w:eastAsia="宋体" w:cs="宋体"/>
          <w:spacing w:val="-21"/>
          <w:w w:val="96"/>
          <w:sz w:val="21"/>
          <w:szCs w:val="21"/>
          <w:u w:val="single" w:color="auto"/>
        </w:rPr>
        <w:t>7</w:t>
      </w:r>
    </w:p>
    <w:p w14:paraId="6A33C1DF">
      <w:pPr>
        <w:spacing w:before="238" w:line="246" w:lineRule="auto"/>
        <w:ind w:left="1379" w:right="1046" w:firstLine="399"/>
        <w:rPr>
          <w:rFonts w:ascii="宋体" w:hAnsi="宋体" w:eastAsia="宋体" w:cs="宋体"/>
          <w:sz w:val="21"/>
          <w:szCs w:val="21"/>
        </w:rPr>
      </w:pPr>
      <w:r>
        <w:rPr>
          <w:rFonts w:ascii="宋体" w:hAnsi="宋体" w:eastAsia="宋体" w:cs="宋体"/>
          <w:spacing w:val="5"/>
          <w:sz w:val="21"/>
          <w:szCs w:val="21"/>
        </w:rPr>
        <w:t>(2)断面间距可根据用途、工程部位和地形复杂程度在5～20</w:t>
      </w:r>
      <w:r>
        <w:rPr>
          <w:rFonts w:ascii="Times New Roman" w:hAnsi="Times New Roman" w:eastAsia="Times New Roman" w:cs="Times New Roman"/>
          <w:spacing w:val="5"/>
          <w:sz w:val="21"/>
          <w:szCs w:val="21"/>
        </w:rPr>
        <w:t>m</w:t>
      </w:r>
      <w:r>
        <w:rPr>
          <w:rFonts w:ascii="宋体" w:hAnsi="宋体" w:eastAsia="宋体" w:cs="宋体"/>
          <w:spacing w:val="5"/>
          <w:sz w:val="21"/>
          <w:szCs w:val="21"/>
        </w:rPr>
        <w:t>范围</w:t>
      </w:r>
      <w:r>
        <w:rPr>
          <w:rFonts w:ascii="宋体" w:hAnsi="宋体" w:eastAsia="宋体" w:cs="宋体"/>
          <w:spacing w:val="4"/>
          <w:sz w:val="21"/>
          <w:szCs w:val="21"/>
        </w:rPr>
        <w:t>内选择。设计</w:t>
      </w:r>
      <w:r>
        <w:rPr>
          <w:rFonts w:ascii="宋体" w:hAnsi="宋体" w:eastAsia="宋体" w:cs="宋体"/>
          <w:sz w:val="21"/>
          <w:szCs w:val="21"/>
        </w:rPr>
        <w:t xml:space="preserve"> </w:t>
      </w:r>
      <w:r>
        <w:rPr>
          <w:rFonts w:ascii="宋体" w:hAnsi="宋体" w:eastAsia="宋体" w:cs="宋体"/>
          <w:spacing w:val="-3"/>
          <w:sz w:val="21"/>
          <w:szCs w:val="21"/>
        </w:rPr>
        <w:t>有特殊要求的部位按设计要求执行。</w:t>
      </w:r>
    </w:p>
    <w:p w14:paraId="5CF820F6">
      <w:pPr>
        <w:spacing w:before="69" w:line="261" w:lineRule="auto"/>
        <w:ind w:left="1379" w:right="1045" w:firstLine="399"/>
        <w:rPr>
          <w:rFonts w:ascii="宋体" w:hAnsi="宋体" w:eastAsia="宋体" w:cs="宋体"/>
          <w:sz w:val="21"/>
          <w:szCs w:val="21"/>
        </w:rPr>
      </w:pPr>
      <w:r>
        <w:rPr>
          <w:rFonts w:ascii="宋体" w:hAnsi="宋体" w:eastAsia="宋体" w:cs="宋体"/>
          <w:spacing w:val="9"/>
          <w:sz w:val="21"/>
          <w:szCs w:val="21"/>
        </w:rPr>
        <w:t>(3)断面图和地形图比例尺，可根据用途、工</w:t>
      </w:r>
      <w:r>
        <w:rPr>
          <w:rFonts w:ascii="宋体" w:hAnsi="宋体" w:eastAsia="宋体" w:cs="宋体"/>
          <w:spacing w:val="8"/>
          <w:sz w:val="21"/>
          <w:szCs w:val="21"/>
        </w:rPr>
        <w:t>程部位范围大小在1:200～1:1000</w:t>
      </w:r>
      <w:r>
        <w:rPr>
          <w:rFonts w:ascii="宋体" w:hAnsi="宋体" w:eastAsia="宋体" w:cs="宋体"/>
          <w:sz w:val="21"/>
          <w:szCs w:val="21"/>
        </w:rPr>
        <w:t xml:space="preserve"> </w:t>
      </w:r>
      <w:r>
        <w:rPr>
          <w:rFonts w:ascii="宋体" w:hAnsi="宋体" w:eastAsia="宋体" w:cs="宋体"/>
          <w:spacing w:val="16"/>
          <w:sz w:val="21"/>
          <w:szCs w:val="21"/>
        </w:rPr>
        <w:t>选择，主要建筑物的开挖竣工地形图或断面图，应选用1:200;收方图以1:500或</w:t>
      </w:r>
      <w:r>
        <w:rPr>
          <w:rFonts w:ascii="宋体" w:hAnsi="宋体" w:eastAsia="宋体" w:cs="宋体"/>
          <w:spacing w:val="3"/>
          <w:sz w:val="21"/>
          <w:szCs w:val="21"/>
        </w:rPr>
        <w:t xml:space="preserve"> </w:t>
      </w:r>
      <w:r>
        <w:rPr>
          <w:rFonts w:ascii="宋体" w:hAnsi="宋体" w:eastAsia="宋体" w:cs="宋体"/>
          <w:spacing w:val="6"/>
          <w:sz w:val="21"/>
          <w:szCs w:val="21"/>
        </w:rPr>
        <w:t>1:200为宜；大范围的土石覆盖层开挖收方可选用1:1000。</w:t>
      </w:r>
    </w:p>
    <w:p w14:paraId="4C01CA5A">
      <w:pPr>
        <w:spacing w:before="70" w:line="258" w:lineRule="auto"/>
        <w:ind w:left="1379" w:right="1044" w:firstLine="399"/>
        <w:rPr>
          <w:rFonts w:ascii="宋体" w:hAnsi="宋体" w:eastAsia="宋体" w:cs="宋体"/>
          <w:sz w:val="21"/>
          <w:szCs w:val="21"/>
        </w:rPr>
      </w:pPr>
      <w:r>
        <w:rPr>
          <w:rFonts w:ascii="宋体" w:hAnsi="宋体" w:eastAsia="宋体" w:cs="宋体"/>
          <w:spacing w:val="8"/>
          <w:sz w:val="21"/>
          <w:szCs w:val="21"/>
        </w:rPr>
        <w:t>(4)断面点间距应以能正确反映断面形状，满足面积计算精度要求为原则。</w:t>
      </w:r>
      <w:r>
        <w:rPr>
          <w:rFonts w:ascii="宋体" w:hAnsi="宋体" w:eastAsia="宋体" w:cs="宋体"/>
          <w:spacing w:val="70"/>
          <w:sz w:val="21"/>
          <w:szCs w:val="21"/>
        </w:rPr>
        <w:t xml:space="preserve"> </w:t>
      </w:r>
      <w:r>
        <w:rPr>
          <w:rFonts w:ascii="宋体" w:hAnsi="宋体" w:eastAsia="宋体" w:cs="宋体"/>
          <w:spacing w:val="8"/>
          <w:sz w:val="21"/>
          <w:szCs w:val="21"/>
        </w:rPr>
        <w:t>一</w:t>
      </w:r>
      <w:r>
        <w:rPr>
          <w:rFonts w:ascii="宋体" w:hAnsi="宋体" w:eastAsia="宋体" w:cs="宋体"/>
          <w:sz w:val="21"/>
          <w:szCs w:val="21"/>
        </w:rPr>
        <w:t xml:space="preserve"> </w:t>
      </w:r>
      <w:r>
        <w:rPr>
          <w:rFonts w:ascii="宋体" w:hAnsi="宋体" w:eastAsia="宋体" w:cs="宋体"/>
          <w:spacing w:val="13"/>
          <w:sz w:val="21"/>
          <w:szCs w:val="21"/>
        </w:rPr>
        <w:t>般为图上1～3</w:t>
      </w:r>
      <w:r>
        <w:rPr>
          <w:rFonts w:ascii="Times New Roman" w:hAnsi="Times New Roman" w:eastAsia="Times New Roman" w:cs="Times New Roman"/>
          <w:sz w:val="21"/>
          <w:szCs w:val="21"/>
        </w:rPr>
        <w:t>cm</w:t>
      </w:r>
      <w:r>
        <w:rPr>
          <w:rFonts w:ascii="宋体" w:hAnsi="宋体" w:eastAsia="宋体" w:cs="宋体"/>
          <w:spacing w:val="13"/>
          <w:sz w:val="21"/>
          <w:szCs w:val="21"/>
        </w:rPr>
        <w:t>施测一点。地形变化处应加密测点。断面宽度应超出</w:t>
      </w:r>
      <w:r>
        <w:rPr>
          <w:rFonts w:ascii="宋体" w:hAnsi="宋体" w:eastAsia="宋体" w:cs="宋体"/>
          <w:spacing w:val="12"/>
          <w:sz w:val="21"/>
          <w:szCs w:val="21"/>
        </w:rPr>
        <w:t>开挖边线3~</w:t>
      </w:r>
      <w:r>
        <w:rPr>
          <w:rFonts w:ascii="宋体" w:hAnsi="宋体" w:eastAsia="宋体" w:cs="宋体"/>
          <w:sz w:val="21"/>
          <w:szCs w:val="21"/>
        </w:rPr>
        <w:t xml:space="preserve"> </w:t>
      </w:r>
      <w:r>
        <w:rPr>
          <w:rFonts w:ascii="Times New Roman" w:hAnsi="Times New Roman" w:eastAsia="Times New Roman" w:cs="Times New Roman"/>
          <w:spacing w:val="-7"/>
          <w:sz w:val="21"/>
          <w:szCs w:val="21"/>
        </w:rPr>
        <w:t>10m</w:t>
      </w:r>
      <w:r>
        <w:rPr>
          <w:rFonts w:ascii="宋体" w:hAnsi="宋体" w:eastAsia="宋体" w:cs="宋体"/>
          <w:spacing w:val="-7"/>
          <w:sz w:val="21"/>
          <w:szCs w:val="21"/>
        </w:rPr>
        <w:t>。</w:t>
      </w:r>
    </w:p>
    <w:p w14:paraId="1842D0E2">
      <w:pPr>
        <w:spacing w:before="69" w:line="255" w:lineRule="auto"/>
        <w:ind w:left="1379" w:right="1046" w:firstLine="399"/>
        <w:rPr>
          <w:rFonts w:ascii="宋体" w:hAnsi="宋体" w:eastAsia="宋体" w:cs="宋体"/>
          <w:sz w:val="21"/>
          <w:szCs w:val="21"/>
        </w:rPr>
      </w:pPr>
      <w:r>
        <w:rPr>
          <w:rFonts w:ascii="宋体" w:hAnsi="宋体" w:eastAsia="宋体" w:cs="宋体"/>
          <w:spacing w:val="7"/>
          <w:sz w:val="21"/>
          <w:szCs w:val="21"/>
        </w:rPr>
        <w:t>(5)开挖施工过程中，应定期测算开挖完成量和工程剩余量</w:t>
      </w:r>
      <w:r>
        <w:rPr>
          <w:rFonts w:ascii="宋体" w:hAnsi="宋体" w:eastAsia="宋体" w:cs="宋体"/>
          <w:spacing w:val="6"/>
          <w:sz w:val="21"/>
          <w:szCs w:val="21"/>
        </w:rPr>
        <w:t>。开挖工程量的结算</w:t>
      </w:r>
      <w:r>
        <w:rPr>
          <w:rFonts w:ascii="宋体" w:hAnsi="宋体" w:eastAsia="宋体" w:cs="宋体"/>
          <w:sz w:val="21"/>
          <w:szCs w:val="21"/>
        </w:rPr>
        <w:t xml:space="preserve"> </w:t>
      </w:r>
      <w:r>
        <w:rPr>
          <w:rFonts w:ascii="宋体" w:hAnsi="宋体" w:eastAsia="宋体" w:cs="宋体"/>
          <w:spacing w:val="-2"/>
          <w:sz w:val="21"/>
          <w:szCs w:val="21"/>
        </w:rPr>
        <w:t>应以测量收方的成果为依据。开挖工程量的计</w:t>
      </w:r>
      <w:r>
        <w:rPr>
          <w:rFonts w:ascii="宋体" w:hAnsi="宋体" w:eastAsia="宋体" w:cs="宋体"/>
          <w:spacing w:val="-3"/>
          <w:sz w:val="21"/>
          <w:szCs w:val="21"/>
        </w:rPr>
        <w:t>算中面积计算方法可采用解析法或图解法</w:t>
      </w:r>
      <w:r>
        <w:rPr>
          <w:rFonts w:ascii="宋体" w:hAnsi="宋体" w:eastAsia="宋体" w:cs="宋体"/>
          <w:sz w:val="21"/>
          <w:szCs w:val="21"/>
        </w:rPr>
        <w:t xml:space="preserve"> </w:t>
      </w:r>
      <w:r>
        <w:rPr>
          <w:rFonts w:ascii="宋体" w:hAnsi="宋体" w:eastAsia="宋体" w:cs="宋体"/>
          <w:spacing w:val="4"/>
          <w:sz w:val="21"/>
          <w:szCs w:val="21"/>
        </w:rPr>
        <w:t>(求积仪)。</w:t>
      </w:r>
    </w:p>
    <w:p w14:paraId="7B9D5098">
      <w:pPr>
        <w:spacing w:before="91" w:line="250" w:lineRule="auto"/>
        <w:ind w:left="1379" w:right="971" w:firstLine="399"/>
        <w:rPr>
          <w:rFonts w:ascii="宋体" w:hAnsi="宋体" w:eastAsia="宋体" w:cs="宋体"/>
          <w:sz w:val="21"/>
          <w:szCs w:val="21"/>
        </w:rPr>
      </w:pPr>
      <w:r>
        <w:rPr>
          <w:rFonts w:ascii="宋体" w:hAnsi="宋体" w:eastAsia="宋体" w:cs="宋体"/>
          <w:spacing w:val="14"/>
          <w:sz w:val="21"/>
          <w:szCs w:val="21"/>
        </w:rPr>
        <w:t>(6)两次独立测量同一区域的开挖工程量其差</w:t>
      </w:r>
      <w:r>
        <w:rPr>
          <w:rFonts w:ascii="宋体" w:hAnsi="宋体" w:eastAsia="宋体" w:cs="宋体"/>
          <w:spacing w:val="13"/>
          <w:sz w:val="21"/>
          <w:szCs w:val="21"/>
        </w:rPr>
        <w:t>值小于5%(岩石)和7%(土方)时，</w:t>
      </w:r>
      <w:r>
        <w:rPr>
          <w:rFonts w:ascii="宋体" w:hAnsi="宋体" w:eastAsia="宋体" w:cs="宋体"/>
          <w:sz w:val="21"/>
          <w:szCs w:val="21"/>
        </w:rPr>
        <w:t xml:space="preserve"> </w:t>
      </w:r>
      <w:r>
        <w:rPr>
          <w:rFonts w:ascii="宋体" w:hAnsi="宋体" w:eastAsia="宋体" w:cs="宋体"/>
          <w:spacing w:val="-4"/>
          <w:sz w:val="21"/>
          <w:szCs w:val="21"/>
        </w:rPr>
        <w:t>可取中数作为最后值。</w:t>
      </w:r>
    </w:p>
    <w:p w14:paraId="2B265AA9">
      <w:pPr>
        <w:spacing w:before="119" w:line="222" w:lineRule="auto"/>
        <w:ind w:left="1779"/>
        <w:rPr>
          <w:rFonts w:ascii="黑体" w:hAnsi="黑体" w:eastAsia="黑体" w:cs="黑体"/>
          <w:sz w:val="21"/>
          <w:szCs w:val="21"/>
        </w:rPr>
      </w:pPr>
      <w:r>
        <w:rPr>
          <w:rFonts w:ascii="宋体" w:hAnsi="宋体" w:eastAsia="宋体" w:cs="宋体"/>
          <w:color w:val="407090"/>
          <w:spacing w:val="8"/>
          <w:sz w:val="21"/>
          <w:szCs w:val="21"/>
        </w:rPr>
        <w:t>4.</w:t>
      </w:r>
      <w:r>
        <w:rPr>
          <w:rFonts w:ascii="宋体" w:hAnsi="宋体" w:eastAsia="宋体" w:cs="宋体"/>
          <w:color w:val="407090"/>
          <w:spacing w:val="-48"/>
          <w:sz w:val="21"/>
          <w:szCs w:val="21"/>
        </w:rPr>
        <w:t xml:space="preserve"> </w:t>
      </w:r>
      <w:r>
        <w:rPr>
          <w:rFonts w:ascii="黑体" w:hAnsi="黑体" w:eastAsia="黑体" w:cs="黑体"/>
          <w:color w:val="407090"/>
          <w:spacing w:val="8"/>
          <w:sz w:val="21"/>
          <w:szCs w:val="21"/>
        </w:rPr>
        <w:t>立模与填筑放样</w:t>
      </w:r>
    </w:p>
    <w:p w14:paraId="20C95A1E">
      <w:pPr>
        <w:spacing w:before="58" w:line="222" w:lineRule="auto"/>
        <w:ind w:left="1779"/>
        <w:rPr>
          <w:rFonts w:ascii="黑体" w:hAnsi="黑体" w:eastAsia="黑体" w:cs="黑体"/>
          <w:sz w:val="21"/>
          <w:szCs w:val="21"/>
        </w:rPr>
      </w:pPr>
      <w:r>
        <w:rPr>
          <w:rFonts w:ascii="黑体" w:hAnsi="黑体" w:eastAsia="黑体" w:cs="黑体"/>
          <w:color w:val="4080A0"/>
          <w:spacing w:val="9"/>
          <w:sz w:val="21"/>
          <w:szCs w:val="21"/>
        </w:rPr>
        <w:t>1)立模和填筑放样的内容</w:t>
      </w:r>
    </w:p>
    <w:p w14:paraId="5D021228">
      <w:pPr>
        <w:spacing w:before="19" w:line="282" w:lineRule="auto"/>
        <w:ind w:left="1379" w:right="1084" w:firstLine="399"/>
        <w:rPr>
          <w:rFonts w:ascii="宋体" w:hAnsi="宋体" w:eastAsia="宋体" w:cs="宋体"/>
          <w:sz w:val="21"/>
          <w:szCs w:val="21"/>
        </w:rPr>
      </w:pPr>
      <w:r>
        <w:rPr>
          <w:rFonts w:ascii="宋体" w:hAnsi="宋体" w:eastAsia="宋体" w:cs="宋体"/>
          <w:spacing w:val="3"/>
          <w:sz w:val="21"/>
          <w:szCs w:val="21"/>
        </w:rPr>
        <w:t>立模和填筑放样应包括下列内容：测设各种建筑物的立模或填筑轮廓</w:t>
      </w:r>
      <w:r>
        <w:rPr>
          <w:rFonts w:ascii="宋体" w:hAnsi="宋体" w:eastAsia="宋体" w:cs="宋体"/>
          <w:spacing w:val="2"/>
          <w:sz w:val="21"/>
          <w:szCs w:val="21"/>
        </w:rPr>
        <w:t>点；对已架</w:t>
      </w:r>
      <w:r>
        <w:rPr>
          <w:rFonts w:ascii="宋体" w:hAnsi="宋体" w:eastAsia="宋体" w:cs="宋体"/>
          <w:sz w:val="21"/>
          <w:szCs w:val="21"/>
        </w:rPr>
        <w:t xml:space="preserve"> </w:t>
      </w:r>
      <w:r>
        <w:rPr>
          <w:rFonts w:ascii="宋体" w:hAnsi="宋体" w:eastAsia="宋体" w:cs="宋体"/>
          <w:spacing w:val="1"/>
          <w:sz w:val="21"/>
          <w:szCs w:val="21"/>
        </w:rPr>
        <w:t>立的模板、预制(埋)件进行形体和位置的检查；测算填筑工程量等。</w:t>
      </w:r>
    </w:p>
    <w:p w14:paraId="6FC7806B">
      <w:pPr>
        <w:spacing w:before="34" w:line="222" w:lineRule="auto"/>
        <w:ind w:left="1782"/>
        <w:rPr>
          <w:rFonts w:ascii="黑体" w:hAnsi="黑体" w:eastAsia="黑体" w:cs="黑体"/>
          <w:sz w:val="21"/>
          <w:szCs w:val="21"/>
        </w:rPr>
      </w:pPr>
      <w:r>
        <w:rPr>
          <w:rFonts w:ascii="黑体" w:hAnsi="黑体" w:eastAsia="黑体" w:cs="黑体"/>
          <w:b/>
          <w:bCs/>
          <w:color w:val="4090A0"/>
          <w:spacing w:val="11"/>
          <w:sz w:val="21"/>
          <w:szCs w:val="21"/>
        </w:rPr>
        <w:t>2)建筑物的细部放样</w:t>
      </w:r>
    </w:p>
    <w:p w14:paraId="762E19FA">
      <w:pPr>
        <w:spacing w:before="30" w:line="275" w:lineRule="auto"/>
        <w:ind w:left="1379" w:right="1045" w:firstLine="399"/>
        <w:rPr>
          <w:rFonts w:ascii="宋体" w:hAnsi="宋体" w:eastAsia="宋体" w:cs="宋体"/>
          <w:sz w:val="21"/>
          <w:szCs w:val="21"/>
        </w:rPr>
      </w:pPr>
      <w:r>
        <w:rPr>
          <w:rFonts w:ascii="宋体" w:hAnsi="宋体" w:eastAsia="宋体" w:cs="宋体"/>
          <w:spacing w:val="2"/>
          <w:sz w:val="21"/>
          <w:szCs w:val="21"/>
        </w:rPr>
        <w:t>(1)混凝土建筑物立模细部轮廓点的放样位置，</w:t>
      </w:r>
      <w:r>
        <w:rPr>
          <w:rFonts w:ascii="宋体" w:hAnsi="宋体" w:eastAsia="宋体" w:cs="宋体"/>
          <w:spacing w:val="1"/>
          <w:sz w:val="21"/>
          <w:szCs w:val="21"/>
        </w:rPr>
        <w:t>以距设计线0.2～0.5m</w:t>
      </w:r>
      <w:r>
        <w:rPr>
          <w:rFonts w:ascii="宋体" w:hAnsi="宋体" w:eastAsia="宋体" w:cs="宋体"/>
          <w:spacing w:val="-28"/>
          <w:sz w:val="21"/>
          <w:szCs w:val="21"/>
        </w:rPr>
        <w:t xml:space="preserve"> </w:t>
      </w:r>
      <w:r>
        <w:rPr>
          <w:rFonts w:ascii="宋体" w:hAnsi="宋体" w:eastAsia="宋体" w:cs="宋体"/>
          <w:spacing w:val="1"/>
          <w:sz w:val="21"/>
          <w:szCs w:val="21"/>
        </w:rPr>
        <w:t>为宜。土石</w:t>
      </w:r>
      <w:r>
        <w:rPr>
          <w:rFonts w:ascii="宋体" w:hAnsi="宋体" w:eastAsia="宋体" w:cs="宋体"/>
          <w:sz w:val="21"/>
          <w:szCs w:val="21"/>
        </w:rPr>
        <w:t xml:space="preserve"> </w:t>
      </w:r>
      <w:r>
        <w:rPr>
          <w:rFonts w:ascii="宋体" w:hAnsi="宋体" w:eastAsia="宋体" w:cs="宋体"/>
          <w:spacing w:val="-5"/>
          <w:sz w:val="21"/>
          <w:szCs w:val="21"/>
        </w:rPr>
        <w:t>坝填筑点，可按设计位置测设。</w:t>
      </w:r>
    </w:p>
    <w:p w14:paraId="79A4492B">
      <w:pPr>
        <w:spacing w:before="5" w:line="285" w:lineRule="auto"/>
        <w:ind w:left="1379" w:right="1060" w:firstLine="399"/>
        <w:rPr>
          <w:rFonts w:ascii="宋体" w:hAnsi="宋体" w:eastAsia="宋体" w:cs="宋体"/>
          <w:sz w:val="21"/>
          <w:szCs w:val="21"/>
        </w:rPr>
      </w:pPr>
      <w:r>
        <w:rPr>
          <w:rFonts w:ascii="宋体" w:hAnsi="宋体" w:eastAsia="宋体" w:cs="宋体"/>
          <w:spacing w:val="6"/>
          <w:sz w:val="21"/>
          <w:szCs w:val="21"/>
        </w:rPr>
        <w:t>(2)立模、填筑轮廓点，可直接由等级控制点测设，也可由测设的建筑物纵横轴</w:t>
      </w:r>
      <w:r>
        <w:rPr>
          <w:rFonts w:ascii="宋体" w:hAnsi="宋体" w:eastAsia="宋体" w:cs="宋体"/>
          <w:spacing w:val="13"/>
          <w:sz w:val="21"/>
          <w:szCs w:val="21"/>
        </w:rPr>
        <w:t xml:space="preserve"> </w:t>
      </w:r>
      <w:r>
        <w:rPr>
          <w:rFonts w:ascii="宋体" w:hAnsi="宋体" w:eastAsia="宋体" w:cs="宋体"/>
          <w:spacing w:val="15"/>
          <w:sz w:val="21"/>
          <w:szCs w:val="21"/>
        </w:rPr>
        <w:t>线点(或测设点)测设。</w:t>
      </w:r>
    </w:p>
    <w:p w14:paraId="74D54FBC">
      <w:pPr>
        <w:spacing w:line="217" w:lineRule="auto"/>
        <w:ind w:left="1779"/>
        <w:rPr>
          <w:rFonts w:ascii="宋体" w:hAnsi="宋体" w:eastAsia="宋体" w:cs="宋体"/>
          <w:sz w:val="21"/>
          <w:szCs w:val="21"/>
        </w:rPr>
      </w:pPr>
      <w:r>
        <w:rPr>
          <w:rFonts w:ascii="宋体" w:hAnsi="宋体" w:eastAsia="宋体" w:cs="宋体"/>
          <w:spacing w:val="-3"/>
          <w:sz w:val="21"/>
          <w:szCs w:val="21"/>
        </w:rPr>
        <w:t>①由轴线点或测站点放样细部轮廓点时，一般采用极坐标法。</w:t>
      </w:r>
    </w:p>
    <w:p w14:paraId="6A8F4D85">
      <w:pPr>
        <w:spacing w:before="73" w:line="217" w:lineRule="auto"/>
        <w:ind w:left="1779"/>
        <w:rPr>
          <w:rFonts w:ascii="宋体" w:hAnsi="宋体" w:eastAsia="宋体" w:cs="宋体"/>
          <w:sz w:val="21"/>
          <w:szCs w:val="21"/>
        </w:rPr>
      </w:pPr>
      <w:r>
        <w:rPr>
          <w:rFonts w:ascii="宋体" w:hAnsi="宋体" w:eastAsia="宋体" w:cs="宋体"/>
          <w:spacing w:val="4"/>
          <w:sz w:val="21"/>
          <w:szCs w:val="21"/>
        </w:rPr>
        <w:t>②在不便于丈量距离的部位进行放样时，宜采用短边(200m 以内)前方</w:t>
      </w:r>
      <w:r>
        <w:rPr>
          <w:rFonts w:ascii="宋体" w:hAnsi="宋体" w:eastAsia="宋体" w:cs="宋体"/>
          <w:spacing w:val="3"/>
          <w:sz w:val="21"/>
          <w:szCs w:val="21"/>
        </w:rPr>
        <w:t>交会法。</w:t>
      </w:r>
    </w:p>
    <w:p w14:paraId="3DD70589">
      <w:pPr>
        <w:spacing w:before="63" w:line="247" w:lineRule="auto"/>
        <w:ind w:left="1379" w:right="991" w:firstLine="399"/>
        <w:rPr>
          <w:rFonts w:ascii="宋体" w:hAnsi="宋体" w:eastAsia="宋体" w:cs="宋体"/>
          <w:sz w:val="21"/>
          <w:szCs w:val="21"/>
        </w:rPr>
      </w:pPr>
      <w:r>
        <w:rPr>
          <w:rFonts w:ascii="宋体" w:hAnsi="宋体" w:eastAsia="宋体" w:cs="宋体"/>
          <w:spacing w:val="5"/>
          <w:sz w:val="21"/>
          <w:szCs w:val="21"/>
        </w:rPr>
        <w:t>③在有众多三角点作为交会方向的部位，也可采用后方交会法测定测站点坐标，</w:t>
      </w:r>
      <w:r>
        <w:rPr>
          <w:rFonts w:ascii="宋体" w:hAnsi="宋体" w:eastAsia="宋体" w:cs="宋体"/>
          <w:spacing w:val="18"/>
          <w:sz w:val="21"/>
          <w:szCs w:val="21"/>
        </w:rPr>
        <w:t xml:space="preserve"> </w:t>
      </w:r>
      <w:r>
        <w:rPr>
          <w:rFonts w:ascii="宋体" w:hAnsi="宋体" w:eastAsia="宋体" w:cs="宋体"/>
          <w:spacing w:val="-4"/>
          <w:sz w:val="21"/>
          <w:szCs w:val="21"/>
        </w:rPr>
        <w:t>然后再放样细部点。</w:t>
      </w:r>
    </w:p>
    <w:p w14:paraId="263E8954">
      <w:pPr>
        <w:spacing w:before="68" w:line="217" w:lineRule="auto"/>
        <w:ind w:left="1779"/>
        <w:rPr>
          <w:rFonts w:ascii="宋体" w:hAnsi="宋体" w:eastAsia="宋体" w:cs="宋体"/>
          <w:sz w:val="21"/>
          <w:szCs w:val="21"/>
        </w:rPr>
      </w:pPr>
      <w:r>
        <w:rPr>
          <w:rFonts w:ascii="宋体" w:hAnsi="宋体" w:eastAsia="宋体" w:cs="宋体"/>
          <w:spacing w:val="-4"/>
          <w:sz w:val="21"/>
          <w:szCs w:val="21"/>
        </w:rPr>
        <w:t>④在已经精确测定了轴线的部位进行细部放样时，也可采用轴线交会法。</w:t>
      </w:r>
    </w:p>
    <w:p w14:paraId="6BC93567">
      <w:pPr>
        <w:spacing w:before="83" w:line="242" w:lineRule="auto"/>
        <w:ind w:left="1379" w:right="1086" w:firstLine="399"/>
        <w:rPr>
          <w:rFonts w:ascii="宋体" w:hAnsi="宋体" w:eastAsia="宋体" w:cs="宋体"/>
          <w:sz w:val="21"/>
          <w:szCs w:val="21"/>
        </w:rPr>
      </w:pPr>
      <w:r>
        <w:rPr>
          <w:rFonts w:ascii="宋体" w:hAnsi="宋体" w:eastAsia="宋体" w:cs="宋体"/>
          <w:spacing w:val="3"/>
          <w:sz w:val="21"/>
          <w:szCs w:val="21"/>
        </w:rPr>
        <w:t>⑤在有条件的地方，细部点的精确放样，可采用边角前方交会</w:t>
      </w:r>
      <w:r>
        <w:rPr>
          <w:rFonts w:ascii="宋体" w:hAnsi="宋体" w:eastAsia="宋体" w:cs="宋体"/>
          <w:spacing w:val="2"/>
          <w:sz w:val="21"/>
          <w:szCs w:val="21"/>
        </w:rPr>
        <w:t>法、边角后方交会</w:t>
      </w:r>
      <w:r>
        <w:rPr>
          <w:rFonts w:ascii="宋体" w:hAnsi="宋体" w:eastAsia="宋体" w:cs="宋体"/>
          <w:sz w:val="21"/>
          <w:szCs w:val="21"/>
        </w:rPr>
        <w:t xml:space="preserve"> </w:t>
      </w:r>
      <w:r>
        <w:rPr>
          <w:rFonts w:ascii="宋体" w:hAnsi="宋体" w:eastAsia="宋体" w:cs="宋体"/>
          <w:spacing w:val="-4"/>
          <w:sz w:val="21"/>
          <w:szCs w:val="21"/>
        </w:rPr>
        <w:t>法或测边交会法等。</w:t>
      </w:r>
    </w:p>
    <w:p w14:paraId="50AC126B">
      <w:pPr>
        <w:spacing w:before="61" w:line="219" w:lineRule="auto"/>
        <w:ind w:left="1779"/>
        <w:rPr>
          <w:rFonts w:ascii="宋体" w:hAnsi="宋体" w:eastAsia="宋体" w:cs="宋体"/>
          <w:sz w:val="21"/>
          <w:szCs w:val="21"/>
        </w:rPr>
      </w:pPr>
      <w:r>
        <w:rPr>
          <w:rFonts w:ascii="宋体" w:hAnsi="宋体" w:eastAsia="宋体" w:cs="宋体"/>
          <w:spacing w:val="-1"/>
          <w:sz w:val="21"/>
          <w:szCs w:val="21"/>
        </w:rPr>
        <w:t>(3)混凝土建筑物的高程放样，应区别情况采用不同的方法。</w:t>
      </w:r>
    </w:p>
    <w:p w14:paraId="4FF80A8C">
      <w:pPr>
        <w:spacing w:before="70" w:line="255" w:lineRule="auto"/>
        <w:ind w:left="1379" w:right="1129" w:firstLine="399"/>
        <w:rPr>
          <w:rFonts w:ascii="宋体" w:hAnsi="宋体" w:eastAsia="宋体" w:cs="宋体"/>
          <w:sz w:val="21"/>
          <w:szCs w:val="21"/>
        </w:rPr>
      </w:pPr>
      <w:r>
        <w:rPr>
          <w:rFonts w:ascii="宋体" w:hAnsi="宋体" w:eastAsia="宋体" w:cs="宋体"/>
          <w:spacing w:val="8"/>
          <w:sz w:val="21"/>
          <w:szCs w:val="21"/>
        </w:rPr>
        <w:t>①对于连续垂直上升的建筑物，除了有结构物</w:t>
      </w:r>
      <w:r>
        <w:rPr>
          <w:rFonts w:ascii="宋体" w:hAnsi="宋体" w:eastAsia="宋体" w:cs="宋体"/>
          <w:spacing w:val="7"/>
          <w:sz w:val="21"/>
          <w:szCs w:val="21"/>
        </w:rPr>
        <w:t>的部位(如牛腿、廊道、门洞等)</w:t>
      </w:r>
      <w:r>
        <w:rPr>
          <w:rFonts w:ascii="宋体" w:hAnsi="宋体" w:eastAsia="宋体" w:cs="宋体"/>
          <w:sz w:val="21"/>
          <w:szCs w:val="21"/>
        </w:rPr>
        <w:t xml:space="preserve"> </w:t>
      </w:r>
      <w:r>
        <w:rPr>
          <w:rFonts w:ascii="宋体" w:hAnsi="宋体" w:eastAsia="宋体" w:cs="宋体"/>
          <w:spacing w:val="-5"/>
          <w:sz w:val="21"/>
          <w:szCs w:val="21"/>
        </w:rPr>
        <w:t>外，高程放样的精度要求较低，主要应防止粗差的发生。</w:t>
      </w:r>
    </w:p>
    <w:p w14:paraId="7EB872CD">
      <w:pPr>
        <w:spacing w:before="59" w:line="251" w:lineRule="auto"/>
        <w:ind w:left="1379" w:right="1086" w:firstLine="399"/>
        <w:rPr>
          <w:rFonts w:ascii="宋体" w:hAnsi="宋体" w:eastAsia="宋体" w:cs="宋体"/>
          <w:sz w:val="21"/>
          <w:szCs w:val="21"/>
        </w:rPr>
      </w:pPr>
      <w:r>
        <w:rPr>
          <w:rFonts w:ascii="宋体" w:hAnsi="宋体" w:eastAsia="宋体" w:cs="宋体"/>
          <w:sz w:val="21"/>
          <w:szCs w:val="21"/>
        </w:rPr>
        <w:t>②对于溢流面、斜坡面以及形体特殊的部位，其高程放样的精度</w:t>
      </w:r>
      <w:r>
        <w:rPr>
          <w:rFonts w:ascii="宋体" w:hAnsi="宋体" w:eastAsia="宋体" w:cs="宋体"/>
          <w:spacing w:val="-1"/>
          <w:sz w:val="21"/>
          <w:szCs w:val="21"/>
        </w:rPr>
        <w:t>， 一般应与平面</w:t>
      </w:r>
      <w:r>
        <w:rPr>
          <w:rFonts w:ascii="宋体" w:hAnsi="宋体" w:eastAsia="宋体" w:cs="宋体"/>
          <w:sz w:val="21"/>
          <w:szCs w:val="21"/>
        </w:rPr>
        <w:t xml:space="preserve"> </w:t>
      </w:r>
      <w:r>
        <w:rPr>
          <w:rFonts w:ascii="宋体" w:hAnsi="宋体" w:eastAsia="宋体" w:cs="宋体"/>
          <w:spacing w:val="-3"/>
          <w:sz w:val="21"/>
          <w:szCs w:val="21"/>
        </w:rPr>
        <w:t>位置放样的精度相一致。</w:t>
      </w:r>
    </w:p>
    <w:p w14:paraId="3CC1C2D1">
      <w:pPr>
        <w:spacing w:before="80" w:line="246" w:lineRule="auto"/>
        <w:ind w:left="1379" w:right="990" w:firstLine="399"/>
        <w:rPr>
          <w:rFonts w:ascii="宋体" w:hAnsi="宋体" w:eastAsia="宋体" w:cs="宋体"/>
          <w:sz w:val="21"/>
          <w:szCs w:val="21"/>
        </w:rPr>
      </w:pPr>
      <w:r>
        <w:rPr>
          <w:rFonts w:ascii="宋体" w:hAnsi="宋体" w:eastAsia="宋体" w:cs="宋体"/>
          <w:sz w:val="21"/>
          <w:szCs w:val="21"/>
        </w:rPr>
        <w:t>③对于混凝土抹面层，有金属结构及机电设备</w:t>
      </w:r>
      <w:r>
        <w:rPr>
          <w:rFonts w:ascii="宋体" w:hAnsi="宋体" w:eastAsia="宋体" w:cs="宋体"/>
          <w:spacing w:val="-1"/>
          <w:sz w:val="21"/>
          <w:szCs w:val="21"/>
        </w:rPr>
        <w:t>预埋件的部位，其高程放样的精度，</w:t>
      </w:r>
      <w:r>
        <w:rPr>
          <w:rFonts w:ascii="宋体" w:hAnsi="宋体" w:eastAsia="宋体" w:cs="宋体"/>
          <w:sz w:val="21"/>
          <w:szCs w:val="21"/>
        </w:rPr>
        <w:t xml:space="preserve"> </w:t>
      </w:r>
      <w:r>
        <w:rPr>
          <w:rFonts w:ascii="宋体" w:hAnsi="宋体" w:eastAsia="宋体" w:cs="宋体"/>
          <w:spacing w:val="-5"/>
          <w:sz w:val="21"/>
          <w:szCs w:val="21"/>
        </w:rPr>
        <w:t>通常高于平面位置的放样精度，应采用水准测量方法并注意检核。</w:t>
      </w:r>
    </w:p>
    <w:p w14:paraId="4DDA9741">
      <w:pPr>
        <w:spacing w:before="61" w:line="219" w:lineRule="auto"/>
        <w:ind w:left="1779"/>
        <w:rPr>
          <w:rFonts w:ascii="宋体" w:hAnsi="宋体" w:eastAsia="宋体" w:cs="宋体"/>
          <w:sz w:val="21"/>
          <w:szCs w:val="21"/>
        </w:rPr>
      </w:pPr>
      <w:r>
        <w:rPr>
          <w:rFonts w:ascii="宋体" w:hAnsi="宋体" w:eastAsia="宋体" w:cs="宋体"/>
          <w:spacing w:val="-1"/>
          <w:sz w:val="21"/>
          <w:szCs w:val="21"/>
        </w:rPr>
        <w:t>(4)特殊部位的模板架设后，应利用测放的轮廓点进行检查。</w:t>
      </w:r>
    </w:p>
    <w:p w14:paraId="5F5E8A2F">
      <w:pPr>
        <w:spacing w:before="108" w:line="222" w:lineRule="auto"/>
        <w:ind w:left="1782"/>
        <w:rPr>
          <w:rFonts w:ascii="黑体" w:hAnsi="黑体" w:eastAsia="黑体" w:cs="黑体"/>
          <w:sz w:val="21"/>
          <w:szCs w:val="21"/>
        </w:rPr>
      </w:pPr>
      <w:r>
        <w:rPr>
          <w:rFonts w:ascii="黑体" w:hAnsi="黑体" w:eastAsia="黑体" w:cs="黑体"/>
          <w:b/>
          <w:bCs/>
          <w:color w:val="4080A0"/>
          <w:spacing w:val="8"/>
          <w:sz w:val="21"/>
          <w:szCs w:val="21"/>
        </w:rPr>
        <w:t>3)建筑物立模放样点的检查</w:t>
      </w:r>
    </w:p>
    <w:p w14:paraId="1BE2486E">
      <w:pPr>
        <w:spacing w:before="30" w:line="219" w:lineRule="auto"/>
        <w:ind w:left="1779"/>
        <w:rPr>
          <w:rFonts w:ascii="宋体" w:hAnsi="宋体" w:eastAsia="宋体" w:cs="宋体"/>
          <w:sz w:val="21"/>
          <w:szCs w:val="21"/>
        </w:rPr>
      </w:pPr>
      <w:r>
        <w:rPr>
          <w:rFonts w:ascii="宋体" w:hAnsi="宋体" w:eastAsia="宋体" w:cs="宋体"/>
          <w:sz w:val="21"/>
          <w:szCs w:val="21"/>
        </w:rPr>
        <w:t>(1)放样工作开始前，应认真阅读设计图纸，验证</w:t>
      </w:r>
      <w:r>
        <w:rPr>
          <w:rFonts w:ascii="宋体" w:hAnsi="宋体" w:eastAsia="宋体" w:cs="宋体"/>
          <w:spacing w:val="-1"/>
          <w:sz w:val="21"/>
          <w:szCs w:val="21"/>
        </w:rPr>
        <w:t>设计坐标或其几何尺寸。</w:t>
      </w:r>
    </w:p>
    <w:p w14:paraId="1874E18B">
      <w:pPr>
        <w:pStyle w:val="2"/>
        <w:spacing w:line="255" w:lineRule="auto"/>
      </w:pPr>
    </w:p>
    <w:p w14:paraId="29808ECA">
      <w:pPr>
        <w:pStyle w:val="2"/>
        <w:spacing w:line="255" w:lineRule="auto"/>
      </w:pPr>
    </w:p>
    <w:p w14:paraId="11523D26">
      <w:pPr>
        <w:pStyle w:val="2"/>
        <w:spacing w:line="255" w:lineRule="auto"/>
      </w:pPr>
    </w:p>
    <w:p w14:paraId="3D97FEEA">
      <w:pPr>
        <w:spacing w:line="189" w:lineRule="auto"/>
        <w:rPr>
          <w:rFonts w:ascii="宋体" w:hAnsi="宋体" w:eastAsia="宋体" w:cs="宋体"/>
          <w:sz w:val="21"/>
          <w:szCs w:val="21"/>
        </w:rPr>
        <w:sectPr>
          <w:headerReference r:id="rId12" w:type="default"/>
          <w:pgSz w:w="10460" w:h="14690"/>
          <w:pgMar w:top="375" w:right="14" w:bottom="70" w:left="130" w:header="6" w:footer="0" w:gutter="0"/>
          <w:cols w:space="720" w:num="1"/>
        </w:sectPr>
      </w:pPr>
    </w:p>
    <w:p w14:paraId="2FA0CAC3">
      <w:pPr>
        <w:spacing w:line="212" w:lineRule="auto"/>
        <w:ind w:left="469"/>
        <w:rPr>
          <w:rFonts w:ascii="宋体" w:hAnsi="宋体" w:eastAsia="宋体" w:cs="宋体"/>
          <w:sz w:val="21"/>
          <w:szCs w:val="21"/>
        </w:rPr>
      </w:pPr>
      <w:r>
        <w:rPr>
          <w:rFonts w:hint="eastAsia" w:ascii="宋体" w:hAnsi="宋体" w:eastAsia="宋体" w:cs="宋体"/>
          <w:spacing w:val="28"/>
          <w:sz w:val="21"/>
          <w:szCs w:val="21"/>
          <w:lang w:eastAsia="zh-CN"/>
        </w:rPr>
        <w:t>大鱼社区</w:t>
      </w:r>
      <w:r>
        <w:rPr>
          <w:rFonts w:ascii="宋体" w:hAnsi="宋体" w:eastAsia="宋体" w:cs="宋体"/>
          <w:spacing w:val="28"/>
          <w:sz w:val="21"/>
          <w:szCs w:val="21"/>
        </w:rPr>
        <w:t>助你备考：少走弯路，快速通关!认准</w:t>
      </w:r>
      <w:r>
        <w:rPr>
          <w:rFonts w:ascii="Times New Roman" w:hAnsi="Times New Roman" w:eastAsia="Times New Roman" w:cs="Times New Roman"/>
          <w:sz w:val="21"/>
          <w:szCs w:val="21"/>
        </w:rPr>
        <w:t>VX</w:t>
      </w:r>
      <w:r>
        <w:rPr>
          <w:rFonts w:ascii="Times New Roman" w:hAnsi="Times New Roman" w:eastAsia="Times New Roman" w:cs="Times New Roman"/>
          <w:spacing w:val="28"/>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8"/>
          <w:sz w:val="21"/>
          <w:szCs w:val="21"/>
        </w:rPr>
        <w:t xml:space="preserve">       </w:t>
      </w:r>
      <w:r>
        <w:rPr>
          <w:rFonts w:ascii="宋体" w:hAnsi="宋体" w:eastAsia="宋体" w:cs="宋体"/>
          <w:spacing w:val="28"/>
          <w:sz w:val="21"/>
          <w:szCs w:val="21"/>
        </w:rPr>
        <w:t>(天道酬勤，白嫖勿扰)</w:t>
      </w:r>
    </w:p>
    <w:p w14:paraId="7B1E3604">
      <w:pPr>
        <w:pStyle w:val="2"/>
        <w:spacing w:line="449" w:lineRule="auto"/>
      </w:pPr>
    </w:p>
    <w:p w14:paraId="69E7BFFB">
      <w:pPr>
        <w:spacing w:before="56" w:line="222" w:lineRule="auto"/>
        <w:ind w:left="1102"/>
        <w:rPr>
          <w:rFonts w:ascii="黑体" w:hAnsi="黑体" w:eastAsia="黑体" w:cs="黑体"/>
          <w:sz w:val="17"/>
          <w:szCs w:val="17"/>
        </w:rPr>
      </w:pPr>
      <w:r>
        <w:rPr>
          <w:rFonts w:ascii="黑体" w:hAnsi="黑体" w:eastAsia="黑体" w:cs="黑体"/>
          <w:b/>
          <w:bCs/>
          <w:spacing w:val="-9"/>
          <w:sz w:val="17"/>
          <w:szCs w:val="17"/>
          <w:u w:val="single" w:color="auto"/>
        </w:rPr>
        <w:t>8</w:t>
      </w:r>
      <w:r>
        <w:rPr>
          <w:rFonts w:ascii="黑体" w:hAnsi="黑体" w:eastAsia="黑体" w:cs="黑体"/>
          <w:spacing w:val="3"/>
          <w:sz w:val="17"/>
          <w:szCs w:val="17"/>
          <w:u w:val="single" w:color="auto"/>
        </w:rPr>
        <w:t xml:space="preserve">       </w:t>
      </w:r>
      <w:r>
        <w:rPr>
          <w:rFonts w:ascii="黑体" w:hAnsi="黑体" w:eastAsia="黑体" w:cs="黑体"/>
          <w:b/>
          <w:bCs/>
          <w:spacing w:val="-9"/>
          <w:sz w:val="17"/>
          <w:szCs w:val="17"/>
          <w:u w:val="single" w:color="auto"/>
        </w:rPr>
        <w:t>第</w:t>
      </w:r>
      <w:r>
        <w:rPr>
          <w:rFonts w:ascii="黑体" w:hAnsi="黑体" w:eastAsia="黑体" w:cs="黑体"/>
          <w:spacing w:val="25"/>
          <w:sz w:val="17"/>
          <w:szCs w:val="17"/>
          <w:u w:val="single" w:color="auto"/>
        </w:rPr>
        <w:t xml:space="preserve"> </w:t>
      </w:r>
      <w:r>
        <w:rPr>
          <w:rFonts w:ascii="黑体" w:hAnsi="黑体" w:eastAsia="黑体" w:cs="黑体"/>
          <w:b/>
          <w:bCs/>
          <w:spacing w:val="-9"/>
          <w:sz w:val="17"/>
          <w:szCs w:val="17"/>
          <w:u w:val="single" w:color="auto"/>
        </w:rPr>
        <w:t>1</w:t>
      </w:r>
      <w:r>
        <w:rPr>
          <w:rFonts w:ascii="黑体" w:hAnsi="黑体" w:eastAsia="黑体" w:cs="黑体"/>
          <w:spacing w:val="-9"/>
          <w:sz w:val="17"/>
          <w:szCs w:val="17"/>
          <w:u w:val="single" w:color="auto"/>
        </w:rPr>
        <w:t xml:space="preserve"> </w:t>
      </w:r>
      <w:r>
        <w:rPr>
          <w:rFonts w:ascii="黑体" w:hAnsi="黑体" w:eastAsia="黑体" w:cs="黑体"/>
          <w:b/>
          <w:bCs/>
          <w:spacing w:val="-9"/>
          <w:sz w:val="17"/>
          <w:szCs w:val="17"/>
          <w:u w:val="single" w:color="auto"/>
        </w:rPr>
        <w:t>篇</w:t>
      </w:r>
      <w:r>
        <w:rPr>
          <w:rFonts w:ascii="黑体" w:hAnsi="黑体" w:eastAsia="黑体" w:cs="黑体"/>
          <w:spacing w:val="4"/>
          <w:sz w:val="17"/>
          <w:szCs w:val="17"/>
          <w:u w:val="single" w:color="auto"/>
        </w:rPr>
        <w:t xml:space="preserve">   </w:t>
      </w:r>
      <w:r>
        <w:rPr>
          <w:rFonts w:ascii="黑体" w:hAnsi="黑体" w:eastAsia="黑体" w:cs="黑体"/>
          <w:b/>
          <w:bCs/>
          <w:spacing w:val="-9"/>
          <w:sz w:val="17"/>
          <w:szCs w:val="17"/>
          <w:u w:val="single" w:color="auto"/>
        </w:rPr>
        <w:t>水</w:t>
      </w:r>
      <w:r>
        <w:rPr>
          <w:rFonts w:ascii="黑体" w:hAnsi="黑体" w:eastAsia="黑体" w:cs="黑体"/>
          <w:spacing w:val="11"/>
          <w:sz w:val="17"/>
          <w:szCs w:val="17"/>
          <w:u w:val="single" w:color="auto"/>
        </w:rPr>
        <w:t xml:space="preserve"> </w:t>
      </w:r>
      <w:r>
        <w:rPr>
          <w:rFonts w:ascii="黑体" w:hAnsi="黑体" w:eastAsia="黑体" w:cs="黑体"/>
          <w:b/>
          <w:bCs/>
          <w:spacing w:val="-9"/>
          <w:sz w:val="17"/>
          <w:szCs w:val="17"/>
          <w:u w:val="single" w:color="auto"/>
        </w:rPr>
        <w:t>利</w:t>
      </w:r>
      <w:r>
        <w:rPr>
          <w:rFonts w:ascii="黑体" w:hAnsi="黑体" w:eastAsia="黑体" w:cs="黑体"/>
          <w:spacing w:val="9"/>
          <w:sz w:val="17"/>
          <w:szCs w:val="17"/>
          <w:u w:val="single" w:color="auto"/>
        </w:rPr>
        <w:t xml:space="preserve"> </w:t>
      </w:r>
      <w:r>
        <w:rPr>
          <w:rFonts w:ascii="黑体" w:hAnsi="黑体" w:eastAsia="黑体" w:cs="黑体"/>
          <w:b/>
          <w:bCs/>
          <w:spacing w:val="-9"/>
          <w:sz w:val="17"/>
          <w:szCs w:val="17"/>
          <w:u w:val="single" w:color="auto"/>
        </w:rPr>
        <w:t>水</w:t>
      </w:r>
      <w:r>
        <w:rPr>
          <w:rFonts w:ascii="黑体" w:hAnsi="黑体" w:eastAsia="黑体" w:cs="黑体"/>
          <w:spacing w:val="21"/>
          <w:sz w:val="17"/>
          <w:szCs w:val="17"/>
          <w:u w:val="single" w:color="auto"/>
        </w:rPr>
        <w:t xml:space="preserve"> </w:t>
      </w:r>
      <w:r>
        <w:rPr>
          <w:rFonts w:ascii="黑体" w:hAnsi="黑体" w:eastAsia="黑体" w:cs="黑体"/>
          <w:b/>
          <w:bCs/>
          <w:spacing w:val="-9"/>
          <w:sz w:val="17"/>
          <w:szCs w:val="17"/>
          <w:u w:val="single" w:color="auto"/>
        </w:rPr>
        <w:t>电</w:t>
      </w:r>
      <w:r>
        <w:rPr>
          <w:rFonts w:ascii="黑体" w:hAnsi="黑体" w:eastAsia="黑体" w:cs="黑体"/>
          <w:spacing w:val="10"/>
          <w:sz w:val="17"/>
          <w:szCs w:val="17"/>
          <w:u w:val="single" w:color="auto"/>
        </w:rPr>
        <w:t xml:space="preserve"> </w:t>
      </w:r>
      <w:r>
        <w:rPr>
          <w:rFonts w:ascii="黑体" w:hAnsi="黑体" w:eastAsia="黑体" w:cs="黑体"/>
          <w:b/>
          <w:bCs/>
          <w:spacing w:val="-9"/>
          <w:sz w:val="17"/>
          <w:szCs w:val="17"/>
          <w:u w:val="single" w:color="auto"/>
        </w:rPr>
        <w:t>工</w:t>
      </w:r>
      <w:r>
        <w:rPr>
          <w:rFonts w:ascii="黑体" w:hAnsi="黑体" w:eastAsia="黑体" w:cs="黑体"/>
          <w:spacing w:val="9"/>
          <w:sz w:val="17"/>
          <w:szCs w:val="17"/>
          <w:u w:val="single" w:color="auto"/>
        </w:rPr>
        <w:t xml:space="preserve"> </w:t>
      </w:r>
      <w:r>
        <w:rPr>
          <w:rFonts w:ascii="黑体" w:hAnsi="黑体" w:eastAsia="黑体" w:cs="黑体"/>
          <w:b/>
          <w:bCs/>
          <w:spacing w:val="-9"/>
          <w:sz w:val="17"/>
          <w:szCs w:val="17"/>
          <w:u w:val="single" w:color="auto"/>
        </w:rPr>
        <w:t>程</w:t>
      </w:r>
      <w:r>
        <w:rPr>
          <w:rFonts w:ascii="黑体" w:hAnsi="黑体" w:eastAsia="黑体" w:cs="黑体"/>
          <w:spacing w:val="10"/>
          <w:sz w:val="17"/>
          <w:szCs w:val="17"/>
          <w:u w:val="single" w:color="auto"/>
        </w:rPr>
        <w:t xml:space="preserve"> </w:t>
      </w:r>
      <w:r>
        <w:rPr>
          <w:rFonts w:ascii="黑体" w:hAnsi="黑体" w:eastAsia="黑体" w:cs="黑体"/>
          <w:b/>
          <w:bCs/>
          <w:spacing w:val="-9"/>
          <w:sz w:val="17"/>
          <w:szCs w:val="17"/>
          <w:u w:val="single" w:color="auto"/>
        </w:rPr>
        <w:t>技</w:t>
      </w:r>
      <w:r>
        <w:rPr>
          <w:rFonts w:ascii="黑体" w:hAnsi="黑体" w:eastAsia="黑体" w:cs="黑体"/>
          <w:spacing w:val="9"/>
          <w:sz w:val="17"/>
          <w:szCs w:val="17"/>
          <w:u w:val="single" w:color="auto"/>
        </w:rPr>
        <w:t xml:space="preserve"> </w:t>
      </w:r>
      <w:r>
        <w:rPr>
          <w:rFonts w:ascii="黑体" w:hAnsi="黑体" w:eastAsia="黑体" w:cs="黑体"/>
          <w:b/>
          <w:bCs/>
          <w:spacing w:val="-9"/>
          <w:sz w:val="17"/>
          <w:szCs w:val="17"/>
          <w:u w:val="single" w:color="auto"/>
        </w:rPr>
        <w:t>术</w:t>
      </w:r>
      <w:r>
        <w:rPr>
          <w:rFonts w:ascii="黑体" w:hAnsi="黑体" w:eastAsia="黑体" w:cs="黑体"/>
          <w:sz w:val="17"/>
          <w:szCs w:val="17"/>
          <w:u w:val="single" w:color="auto"/>
        </w:rPr>
        <w:t xml:space="preserve">                                                   </w:t>
      </w:r>
    </w:p>
    <w:p w14:paraId="28B3AAF4">
      <w:pPr>
        <w:spacing w:before="229" w:line="261" w:lineRule="auto"/>
        <w:ind w:left="1099" w:right="1373" w:firstLine="389"/>
        <w:rPr>
          <w:rFonts w:ascii="宋体" w:hAnsi="宋体" w:eastAsia="宋体" w:cs="宋体"/>
          <w:sz w:val="21"/>
          <w:szCs w:val="21"/>
        </w:rPr>
      </w:pPr>
      <w:r>
        <w:rPr>
          <w:rFonts w:ascii="宋体" w:hAnsi="宋体" w:eastAsia="宋体" w:cs="宋体"/>
          <w:spacing w:val="5"/>
          <w:sz w:val="21"/>
          <w:szCs w:val="21"/>
        </w:rPr>
        <w:t>(2)对于放样的轮廓点，必须进行检核，检核方法可根据不同情况而异。检核结</w:t>
      </w:r>
      <w:r>
        <w:rPr>
          <w:rFonts w:ascii="宋体" w:hAnsi="宋体" w:eastAsia="宋体" w:cs="宋体"/>
          <w:spacing w:val="16"/>
          <w:sz w:val="21"/>
          <w:szCs w:val="21"/>
        </w:rPr>
        <w:t xml:space="preserve"> </w:t>
      </w:r>
      <w:r>
        <w:rPr>
          <w:rFonts w:ascii="宋体" w:hAnsi="宋体" w:eastAsia="宋体" w:cs="宋体"/>
          <w:spacing w:val="-5"/>
          <w:sz w:val="21"/>
          <w:szCs w:val="21"/>
        </w:rPr>
        <w:t>果应记入放样资料中，外业检核以自检为主，放样与检核尽量同时进行。必要时，也可</w:t>
      </w:r>
      <w:r>
        <w:rPr>
          <w:rFonts w:ascii="宋体" w:hAnsi="宋体" w:eastAsia="宋体" w:cs="宋体"/>
          <w:spacing w:val="17"/>
          <w:sz w:val="21"/>
          <w:szCs w:val="21"/>
        </w:rPr>
        <w:t xml:space="preserve"> </w:t>
      </w:r>
      <w:r>
        <w:rPr>
          <w:rFonts w:ascii="宋体" w:hAnsi="宋体" w:eastAsia="宋体" w:cs="宋体"/>
          <w:spacing w:val="-5"/>
          <w:sz w:val="21"/>
          <w:szCs w:val="21"/>
        </w:rPr>
        <w:t>另派小组进行检查。</w:t>
      </w:r>
    </w:p>
    <w:p w14:paraId="370C3FB8">
      <w:pPr>
        <w:spacing w:before="70" w:line="243" w:lineRule="auto"/>
        <w:ind w:left="1099" w:right="1376" w:firstLine="389"/>
        <w:rPr>
          <w:rFonts w:ascii="宋体" w:hAnsi="宋体" w:eastAsia="宋体" w:cs="宋体"/>
          <w:sz w:val="21"/>
          <w:szCs w:val="21"/>
        </w:rPr>
      </w:pPr>
      <w:r>
        <w:rPr>
          <w:rFonts w:ascii="宋体" w:hAnsi="宋体" w:eastAsia="宋体" w:cs="宋体"/>
          <w:spacing w:val="8"/>
          <w:sz w:val="21"/>
          <w:szCs w:val="21"/>
        </w:rPr>
        <w:t>(3)选择放样方法时，应考虑检核条件。没有检核条件的方法(如极坐标法、两</w:t>
      </w:r>
      <w:r>
        <w:rPr>
          <w:rFonts w:ascii="宋体" w:hAnsi="宋体" w:eastAsia="宋体" w:cs="宋体"/>
          <w:spacing w:val="10"/>
          <w:sz w:val="21"/>
          <w:szCs w:val="21"/>
        </w:rPr>
        <w:t xml:space="preserve"> </w:t>
      </w:r>
      <w:r>
        <w:rPr>
          <w:rFonts w:ascii="宋体" w:hAnsi="宋体" w:eastAsia="宋体" w:cs="宋体"/>
          <w:spacing w:val="-1"/>
          <w:sz w:val="21"/>
          <w:szCs w:val="21"/>
        </w:rPr>
        <w:t>点前方交会法、三方向后交法等),必须在</w:t>
      </w:r>
      <w:r>
        <w:rPr>
          <w:rFonts w:ascii="宋体" w:hAnsi="宋体" w:eastAsia="宋体" w:cs="宋体"/>
          <w:spacing w:val="-2"/>
          <w:sz w:val="21"/>
          <w:szCs w:val="21"/>
        </w:rPr>
        <w:t>放样后采用另外的方法进行检查。</w:t>
      </w:r>
    </w:p>
    <w:p w14:paraId="61CA49C7">
      <w:pPr>
        <w:spacing w:before="85" w:line="237" w:lineRule="auto"/>
        <w:ind w:left="1099" w:right="1355" w:firstLine="389"/>
        <w:rPr>
          <w:rFonts w:ascii="宋体" w:hAnsi="宋体" w:eastAsia="宋体" w:cs="宋体"/>
          <w:sz w:val="21"/>
          <w:szCs w:val="21"/>
        </w:rPr>
      </w:pPr>
      <w:r>
        <w:rPr>
          <w:rFonts w:ascii="宋体" w:hAnsi="宋体" w:eastAsia="宋体" w:cs="宋体"/>
          <w:spacing w:val="12"/>
          <w:sz w:val="21"/>
          <w:szCs w:val="21"/>
        </w:rPr>
        <w:t>(4)建筑物基础块(第一层)轮廓点的放样，必须全部采用相</w:t>
      </w:r>
      <w:r>
        <w:rPr>
          <w:rFonts w:ascii="宋体" w:hAnsi="宋体" w:eastAsia="宋体" w:cs="宋体"/>
          <w:spacing w:val="11"/>
          <w:sz w:val="21"/>
          <w:szCs w:val="21"/>
        </w:rPr>
        <w:t>互独立的方法进行</w:t>
      </w:r>
      <w:r>
        <w:rPr>
          <w:rFonts w:ascii="宋体" w:hAnsi="宋体" w:eastAsia="宋体" w:cs="宋体"/>
          <w:sz w:val="21"/>
          <w:szCs w:val="21"/>
        </w:rPr>
        <w:t xml:space="preserve"> </w:t>
      </w:r>
      <w:r>
        <w:rPr>
          <w:rFonts w:ascii="宋体" w:hAnsi="宋体" w:eastAsia="宋体" w:cs="宋体"/>
          <w:spacing w:val="-5"/>
          <w:sz w:val="21"/>
          <w:szCs w:val="21"/>
        </w:rPr>
        <w:t>检核。放样和检核点位之差不应大于</w:t>
      </w:r>
      <w:r>
        <w:rPr>
          <w:rFonts w:ascii="宋体" w:hAnsi="宋体" w:eastAsia="宋体" w:cs="宋体"/>
          <w:spacing w:val="-44"/>
          <w:sz w:val="21"/>
          <w:szCs w:val="21"/>
        </w:rPr>
        <w:t xml:space="preserve"> </w:t>
      </w:r>
      <w:r>
        <w:rPr>
          <w:rFonts w:ascii="宋体" w:hAnsi="宋体" w:eastAsia="宋体" w:cs="宋体"/>
          <w:spacing w:val="-5"/>
          <w:sz w:val="21"/>
          <w:szCs w:val="21"/>
        </w:rPr>
        <w:t>√2</w:t>
      </w:r>
      <w:r>
        <w:rPr>
          <w:rFonts w:ascii="Times New Roman" w:hAnsi="Times New Roman" w:eastAsia="Times New Roman" w:cs="Times New Roman"/>
          <w:spacing w:val="-5"/>
          <w:sz w:val="21"/>
          <w:szCs w:val="21"/>
        </w:rPr>
        <w:t xml:space="preserve">m(m   </w:t>
      </w:r>
      <w:r>
        <w:rPr>
          <w:rFonts w:ascii="宋体" w:hAnsi="宋体" w:eastAsia="宋体" w:cs="宋体"/>
          <w:spacing w:val="-5"/>
          <w:sz w:val="21"/>
          <w:szCs w:val="21"/>
        </w:rPr>
        <w:t>为轮廓点的测量放样中误差)。</w:t>
      </w:r>
    </w:p>
    <w:p w14:paraId="56DEC165">
      <w:pPr>
        <w:spacing w:before="88" w:line="222" w:lineRule="auto"/>
        <w:ind w:left="1492"/>
        <w:rPr>
          <w:rFonts w:ascii="黑体" w:hAnsi="黑体" w:eastAsia="黑体" w:cs="黑体"/>
          <w:sz w:val="21"/>
          <w:szCs w:val="21"/>
        </w:rPr>
      </w:pPr>
      <w:r>
        <w:rPr>
          <w:rFonts w:ascii="黑体" w:hAnsi="黑体" w:eastAsia="黑体" w:cs="黑体"/>
          <w:b/>
          <w:bCs/>
          <w:color w:val="3090A0"/>
          <w:spacing w:val="14"/>
          <w:sz w:val="21"/>
          <w:szCs w:val="21"/>
        </w:rPr>
        <w:t>4)填筑工程量测算</w:t>
      </w:r>
    </w:p>
    <w:p w14:paraId="5BCB2F82">
      <w:pPr>
        <w:spacing w:before="61" w:line="219" w:lineRule="auto"/>
        <w:ind w:left="1489"/>
        <w:rPr>
          <w:rFonts w:ascii="宋体" w:hAnsi="宋体" w:eastAsia="宋体" w:cs="宋体"/>
          <w:sz w:val="21"/>
          <w:szCs w:val="21"/>
        </w:rPr>
      </w:pPr>
      <w:r>
        <w:rPr>
          <w:rFonts w:ascii="宋体" w:hAnsi="宋体" w:eastAsia="宋体" w:cs="宋体"/>
          <w:spacing w:val="2"/>
          <w:sz w:val="21"/>
          <w:szCs w:val="21"/>
        </w:rPr>
        <w:t>(1)混凝土浇筑和土石料填筑工程量，必须</w:t>
      </w:r>
      <w:r>
        <w:rPr>
          <w:rFonts w:ascii="宋体" w:hAnsi="宋体" w:eastAsia="宋体" w:cs="宋体"/>
          <w:spacing w:val="1"/>
          <w:sz w:val="21"/>
          <w:szCs w:val="21"/>
        </w:rPr>
        <w:t>从实测的断面(或平面)图上计算求得。</w:t>
      </w:r>
    </w:p>
    <w:p w14:paraId="6707E7D9">
      <w:pPr>
        <w:spacing w:before="71" w:line="254" w:lineRule="auto"/>
        <w:ind w:left="1099" w:right="1301" w:firstLine="389"/>
        <w:rPr>
          <w:rFonts w:ascii="宋体" w:hAnsi="宋体" w:eastAsia="宋体" w:cs="宋体"/>
          <w:sz w:val="21"/>
          <w:szCs w:val="21"/>
        </w:rPr>
      </w:pPr>
      <w:r>
        <w:rPr>
          <w:rFonts w:ascii="宋体" w:hAnsi="宋体" w:eastAsia="宋体" w:cs="宋体"/>
          <w:spacing w:val="2"/>
          <w:sz w:val="21"/>
          <w:szCs w:val="21"/>
        </w:rPr>
        <w:t>(2)混凝土浇筑块体收方，基础部位应根据基</w:t>
      </w:r>
      <w:r>
        <w:rPr>
          <w:rFonts w:ascii="宋体" w:hAnsi="宋体" w:eastAsia="宋体" w:cs="宋体"/>
          <w:spacing w:val="1"/>
          <w:sz w:val="21"/>
          <w:szCs w:val="21"/>
        </w:rPr>
        <w:t>础开挖竣工图计算；基础以上部位，</w:t>
      </w:r>
      <w:r>
        <w:rPr>
          <w:rFonts w:ascii="宋体" w:hAnsi="宋体" w:eastAsia="宋体" w:cs="宋体"/>
          <w:sz w:val="21"/>
          <w:szCs w:val="21"/>
        </w:rPr>
        <w:t xml:space="preserve"> </w:t>
      </w:r>
      <w:r>
        <w:rPr>
          <w:rFonts w:ascii="宋体" w:hAnsi="宋体" w:eastAsia="宋体" w:cs="宋体"/>
          <w:spacing w:val="-4"/>
          <w:sz w:val="21"/>
          <w:szCs w:val="21"/>
        </w:rPr>
        <w:t>可直接根据水工设计图纸的几何尺寸及实测部位的平</w:t>
      </w:r>
      <w:r>
        <w:rPr>
          <w:rFonts w:ascii="宋体" w:hAnsi="宋体" w:eastAsia="宋体" w:cs="宋体"/>
          <w:spacing w:val="-5"/>
          <w:sz w:val="21"/>
          <w:szCs w:val="21"/>
        </w:rPr>
        <w:t>均高程进行计算。</w:t>
      </w:r>
    </w:p>
    <w:p w14:paraId="6092ABA9">
      <w:pPr>
        <w:spacing w:before="72" w:line="219" w:lineRule="auto"/>
        <w:ind w:left="1489"/>
        <w:rPr>
          <w:rFonts w:ascii="宋体" w:hAnsi="宋体" w:eastAsia="宋体" w:cs="宋体"/>
          <w:sz w:val="21"/>
          <w:szCs w:val="21"/>
        </w:rPr>
      </w:pPr>
      <w:r>
        <w:rPr>
          <w:rFonts w:ascii="宋体" w:hAnsi="宋体" w:eastAsia="宋体" w:cs="宋体"/>
          <w:spacing w:val="-1"/>
          <w:sz w:val="21"/>
          <w:szCs w:val="21"/>
        </w:rPr>
        <w:t>(3)土石料填筑量收方，应根据实测的各种填料分界线，分别计算各类填料</w:t>
      </w:r>
      <w:r>
        <w:rPr>
          <w:rFonts w:ascii="宋体" w:hAnsi="宋体" w:eastAsia="宋体" w:cs="宋体"/>
          <w:spacing w:val="-2"/>
          <w:sz w:val="21"/>
          <w:szCs w:val="21"/>
        </w:rPr>
        <w:t>方量。</w:t>
      </w:r>
    </w:p>
    <w:p w14:paraId="252DCFDC">
      <w:pPr>
        <w:spacing w:before="60" w:line="255" w:lineRule="auto"/>
        <w:ind w:left="1099" w:right="1363" w:firstLine="389"/>
        <w:rPr>
          <w:rFonts w:ascii="宋体" w:hAnsi="宋体" w:eastAsia="宋体" w:cs="宋体"/>
          <w:sz w:val="21"/>
          <w:szCs w:val="21"/>
        </w:rPr>
      </w:pPr>
      <w:r>
        <w:rPr>
          <w:rFonts w:ascii="宋体" w:hAnsi="宋体" w:eastAsia="宋体" w:cs="宋体"/>
          <w:spacing w:val="6"/>
          <w:sz w:val="21"/>
          <w:szCs w:val="21"/>
        </w:rPr>
        <w:t>(4)两次独立测量同一工程，其测算体积之较</w:t>
      </w:r>
      <w:r>
        <w:rPr>
          <w:rFonts w:ascii="宋体" w:hAnsi="宋体" w:eastAsia="宋体" w:cs="宋体"/>
          <w:spacing w:val="5"/>
          <w:sz w:val="21"/>
          <w:szCs w:val="21"/>
        </w:rPr>
        <w:t>差，在小于该体积的3%时，可取中</w:t>
      </w:r>
      <w:r>
        <w:rPr>
          <w:rFonts w:ascii="宋体" w:hAnsi="宋体" w:eastAsia="宋体" w:cs="宋体"/>
          <w:sz w:val="21"/>
          <w:szCs w:val="21"/>
        </w:rPr>
        <w:t xml:space="preserve"> </w:t>
      </w:r>
      <w:r>
        <w:rPr>
          <w:rFonts w:ascii="宋体" w:hAnsi="宋体" w:eastAsia="宋体" w:cs="宋体"/>
          <w:spacing w:val="-2"/>
          <w:sz w:val="21"/>
          <w:szCs w:val="21"/>
        </w:rPr>
        <w:t>数作为最后值。</w:t>
      </w:r>
    </w:p>
    <w:p w14:paraId="04B2FF31">
      <w:pPr>
        <w:spacing w:before="57" w:line="222" w:lineRule="auto"/>
        <w:ind w:left="1492"/>
        <w:rPr>
          <w:rFonts w:ascii="黑体" w:hAnsi="黑体" w:eastAsia="黑体" w:cs="黑体"/>
          <w:sz w:val="21"/>
          <w:szCs w:val="21"/>
        </w:rPr>
      </w:pPr>
      <w:r>
        <w:rPr>
          <w:rFonts w:ascii="宋体" w:hAnsi="宋体" w:eastAsia="宋体" w:cs="宋体"/>
          <w:b/>
          <w:bCs/>
          <w:color w:val="3090A0"/>
          <w:spacing w:val="6"/>
          <w:sz w:val="21"/>
          <w:szCs w:val="21"/>
        </w:rPr>
        <w:t>5.</w:t>
      </w:r>
      <w:r>
        <w:rPr>
          <w:rFonts w:ascii="宋体" w:hAnsi="宋体" w:eastAsia="宋体" w:cs="宋体"/>
          <w:color w:val="3090A0"/>
          <w:spacing w:val="-53"/>
          <w:sz w:val="21"/>
          <w:szCs w:val="21"/>
        </w:rPr>
        <w:t xml:space="preserve"> </w:t>
      </w:r>
      <w:r>
        <w:rPr>
          <w:rFonts w:ascii="黑体" w:hAnsi="黑体" w:eastAsia="黑体" w:cs="黑体"/>
          <w:b/>
          <w:bCs/>
          <w:color w:val="3090A0"/>
          <w:spacing w:val="6"/>
          <w:sz w:val="21"/>
          <w:szCs w:val="21"/>
        </w:rPr>
        <w:t>施工期间的外部变形监测</w:t>
      </w:r>
    </w:p>
    <w:p w14:paraId="6E352EC9">
      <w:pPr>
        <w:spacing w:before="67" w:line="222" w:lineRule="auto"/>
        <w:ind w:left="1492"/>
        <w:rPr>
          <w:rFonts w:ascii="黑体" w:hAnsi="黑体" w:eastAsia="黑体" w:cs="黑体"/>
          <w:sz w:val="21"/>
          <w:szCs w:val="21"/>
        </w:rPr>
      </w:pPr>
      <w:r>
        <w:rPr>
          <w:rFonts w:ascii="黑体" w:hAnsi="黑体" w:eastAsia="黑体" w:cs="黑体"/>
          <w:b/>
          <w:bCs/>
          <w:color w:val="3090A0"/>
          <w:spacing w:val="6"/>
          <w:sz w:val="21"/>
          <w:szCs w:val="21"/>
        </w:rPr>
        <w:t>1)施工期间外部变形监测的内容</w:t>
      </w:r>
    </w:p>
    <w:p w14:paraId="5904E0B4">
      <w:pPr>
        <w:spacing w:before="61" w:line="274" w:lineRule="auto"/>
        <w:ind w:left="1099" w:right="1397" w:firstLine="389"/>
        <w:rPr>
          <w:rFonts w:ascii="宋体" w:hAnsi="宋体" w:eastAsia="宋体" w:cs="宋体"/>
          <w:sz w:val="21"/>
          <w:szCs w:val="21"/>
        </w:rPr>
      </w:pPr>
      <w:r>
        <w:rPr>
          <w:rFonts w:ascii="宋体" w:hAnsi="宋体" w:eastAsia="宋体" w:cs="宋体"/>
          <w:spacing w:val="2"/>
          <w:sz w:val="21"/>
          <w:szCs w:val="21"/>
        </w:rPr>
        <w:t>施工期间外部变形监测应包括下列内容：施工区的滑坡监测；高边坡开挖</w:t>
      </w:r>
      <w:r>
        <w:rPr>
          <w:rFonts w:ascii="宋体" w:hAnsi="宋体" w:eastAsia="宋体" w:cs="宋体"/>
          <w:spacing w:val="1"/>
          <w:sz w:val="21"/>
          <w:szCs w:val="21"/>
        </w:rPr>
        <w:t>稳定性</w:t>
      </w:r>
      <w:r>
        <w:rPr>
          <w:rFonts w:ascii="宋体" w:hAnsi="宋体" w:eastAsia="宋体" w:cs="宋体"/>
          <w:sz w:val="21"/>
          <w:szCs w:val="21"/>
        </w:rPr>
        <w:t xml:space="preserve"> </w:t>
      </w:r>
      <w:r>
        <w:rPr>
          <w:rFonts w:ascii="宋体" w:hAnsi="宋体" w:eastAsia="宋体" w:cs="宋体"/>
          <w:spacing w:val="1"/>
          <w:sz w:val="21"/>
          <w:szCs w:val="21"/>
        </w:rPr>
        <w:t>监测；围堰的水平位移和沉陷监测；临时性的基础沉陷</w:t>
      </w:r>
      <w:r>
        <w:rPr>
          <w:rFonts w:ascii="宋体" w:hAnsi="宋体" w:eastAsia="宋体" w:cs="宋体"/>
          <w:sz w:val="21"/>
          <w:szCs w:val="21"/>
        </w:rPr>
        <w:t>(回弹)和裂缝监测等。</w:t>
      </w:r>
    </w:p>
    <w:p w14:paraId="5B383C65">
      <w:pPr>
        <w:spacing w:before="17" w:line="274" w:lineRule="auto"/>
        <w:ind w:left="1099" w:right="1394" w:firstLine="389"/>
        <w:rPr>
          <w:rFonts w:ascii="宋体" w:hAnsi="宋体" w:eastAsia="宋体" w:cs="宋体"/>
          <w:sz w:val="21"/>
          <w:szCs w:val="21"/>
        </w:rPr>
      </w:pPr>
      <w:r>
        <w:rPr>
          <w:rFonts w:ascii="宋体" w:hAnsi="宋体" w:eastAsia="宋体" w:cs="宋体"/>
          <w:spacing w:val="2"/>
          <w:sz w:val="21"/>
          <w:szCs w:val="21"/>
        </w:rPr>
        <w:t>变形监测的基点，应尽量利用施工控制网中较为稳固可靠的控制点，也可建立独</w:t>
      </w:r>
      <w:r>
        <w:rPr>
          <w:rFonts w:ascii="宋体" w:hAnsi="宋体" w:eastAsia="宋体" w:cs="宋体"/>
          <w:sz w:val="21"/>
          <w:szCs w:val="21"/>
        </w:rPr>
        <w:t xml:space="preserve"> </w:t>
      </w:r>
      <w:r>
        <w:rPr>
          <w:rFonts w:ascii="宋体" w:hAnsi="宋体" w:eastAsia="宋体" w:cs="宋体"/>
          <w:spacing w:val="-6"/>
          <w:sz w:val="21"/>
          <w:szCs w:val="21"/>
        </w:rPr>
        <w:t>立的、相对的控制点，其精度应不低于四等网的标准。</w:t>
      </w:r>
    </w:p>
    <w:p w14:paraId="6B79F49D">
      <w:pPr>
        <w:spacing w:before="16" w:line="222" w:lineRule="auto"/>
        <w:ind w:left="1489"/>
        <w:rPr>
          <w:rFonts w:ascii="黑体" w:hAnsi="黑体" w:eastAsia="黑体" w:cs="黑体"/>
          <w:sz w:val="21"/>
          <w:szCs w:val="21"/>
        </w:rPr>
      </w:pPr>
      <w:r>
        <w:rPr>
          <w:rFonts w:ascii="黑体" w:hAnsi="黑体" w:eastAsia="黑体" w:cs="黑体"/>
          <w:color w:val="308090"/>
          <w:spacing w:val="21"/>
          <w:sz w:val="21"/>
          <w:szCs w:val="21"/>
        </w:rPr>
        <w:t>2)选点与埋设</w:t>
      </w:r>
    </w:p>
    <w:p w14:paraId="0B927C82">
      <w:pPr>
        <w:spacing w:before="57" w:line="219" w:lineRule="auto"/>
        <w:ind w:left="1489"/>
        <w:rPr>
          <w:rFonts w:ascii="宋体" w:hAnsi="宋体" w:eastAsia="宋体" w:cs="宋体"/>
          <w:sz w:val="21"/>
          <w:szCs w:val="21"/>
        </w:rPr>
      </w:pPr>
      <w:r>
        <w:rPr>
          <w:rFonts w:ascii="宋体" w:hAnsi="宋体" w:eastAsia="宋体" w:cs="宋体"/>
          <w:sz w:val="21"/>
          <w:szCs w:val="21"/>
        </w:rPr>
        <w:t>(1)工作基点的选择与埋设，应注意以下几点：</w:t>
      </w:r>
    </w:p>
    <w:p w14:paraId="3F24FBD6">
      <w:pPr>
        <w:spacing w:before="71" w:line="261" w:lineRule="auto"/>
        <w:ind w:left="1099" w:right="1387" w:firstLine="389"/>
        <w:rPr>
          <w:rFonts w:ascii="宋体" w:hAnsi="宋体" w:eastAsia="宋体" w:cs="宋体"/>
          <w:sz w:val="21"/>
          <w:szCs w:val="21"/>
        </w:rPr>
      </w:pPr>
      <w:r>
        <w:rPr>
          <w:rFonts w:ascii="宋体" w:hAnsi="宋体" w:eastAsia="宋体" w:cs="宋体"/>
          <w:spacing w:val="2"/>
          <w:sz w:val="21"/>
          <w:szCs w:val="21"/>
        </w:rPr>
        <w:t>①基点必须建立在变形区以外稳固的基岩上。在土质和地质不稳定地区设置基点</w:t>
      </w:r>
      <w:r>
        <w:rPr>
          <w:rFonts w:ascii="宋体" w:hAnsi="宋体" w:eastAsia="宋体" w:cs="宋体"/>
          <w:spacing w:val="8"/>
          <w:sz w:val="21"/>
          <w:szCs w:val="21"/>
        </w:rPr>
        <w:t xml:space="preserve"> </w:t>
      </w:r>
      <w:r>
        <w:rPr>
          <w:rFonts w:ascii="宋体" w:hAnsi="宋体" w:eastAsia="宋体" w:cs="宋体"/>
          <w:spacing w:val="-4"/>
          <w:sz w:val="21"/>
          <w:szCs w:val="21"/>
        </w:rPr>
        <w:t>时应进行加固处理。基点应尽量靠近变形区</w:t>
      </w:r>
      <w:r>
        <w:rPr>
          <w:rFonts w:ascii="宋体" w:hAnsi="宋体" w:eastAsia="宋体" w:cs="宋体"/>
          <w:spacing w:val="-5"/>
          <w:sz w:val="21"/>
          <w:szCs w:val="21"/>
        </w:rPr>
        <w:t>，其位置的选择应注意使它们对测点构成有</w:t>
      </w:r>
      <w:r>
        <w:rPr>
          <w:rFonts w:ascii="宋体" w:hAnsi="宋体" w:eastAsia="宋体" w:cs="宋体"/>
          <w:sz w:val="21"/>
          <w:szCs w:val="21"/>
        </w:rPr>
        <w:t xml:space="preserve"> </w:t>
      </w:r>
      <w:r>
        <w:rPr>
          <w:rFonts w:ascii="宋体" w:hAnsi="宋体" w:eastAsia="宋体" w:cs="宋体"/>
          <w:spacing w:val="-5"/>
          <w:sz w:val="21"/>
          <w:szCs w:val="21"/>
        </w:rPr>
        <w:t>利的作业条件。</w:t>
      </w:r>
    </w:p>
    <w:p w14:paraId="3FE303CD">
      <w:pPr>
        <w:spacing w:before="59" w:line="217" w:lineRule="auto"/>
        <w:ind w:left="1489"/>
        <w:rPr>
          <w:rFonts w:ascii="宋体" w:hAnsi="宋体" w:eastAsia="宋体" w:cs="宋体"/>
          <w:sz w:val="21"/>
          <w:szCs w:val="21"/>
        </w:rPr>
      </w:pPr>
      <w:r>
        <w:rPr>
          <w:rFonts w:ascii="宋体" w:hAnsi="宋体" w:eastAsia="宋体" w:cs="宋体"/>
          <w:spacing w:val="-3"/>
          <w:sz w:val="21"/>
          <w:szCs w:val="21"/>
        </w:rPr>
        <w:t>②工作基点一般应建造具有强制归心的混凝土观测墩。</w:t>
      </w:r>
    </w:p>
    <w:p w14:paraId="33E0730F">
      <w:pPr>
        <w:spacing w:before="73" w:line="217" w:lineRule="auto"/>
        <w:ind w:left="1489"/>
        <w:rPr>
          <w:rFonts w:ascii="宋体" w:hAnsi="宋体" w:eastAsia="宋体" w:cs="宋体"/>
          <w:sz w:val="21"/>
          <w:szCs w:val="21"/>
        </w:rPr>
      </w:pPr>
      <w:r>
        <w:rPr>
          <w:rFonts w:ascii="宋体" w:hAnsi="宋体" w:eastAsia="宋体" w:cs="宋体"/>
          <w:spacing w:val="-1"/>
          <w:sz w:val="21"/>
          <w:szCs w:val="21"/>
        </w:rPr>
        <w:t>③垂直位移的基点，至少要布设一组，每组不</w:t>
      </w:r>
      <w:r>
        <w:rPr>
          <w:rFonts w:ascii="宋体" w:hAnsi="宋体" w:eastAsia="宋体" w:cs="宋体"/>
          <w:spacing w:val="-2"/>
          <w:sz w:val="21"/>
          <w:szCs w:val="21"/>
        </w:rPr>
        <w:t>少于三个固定点。</w:t>
      </w:r>
    </w:p>
    <w:p w14:paraId="530A6A02">
      <w:pPr>
        <w:spacing w:before="65" w:line="219" w:lineRule="auto"/>
        <w:ind w:left="1489"/>
        <w:rPr>
          <w:rFonts w:ascii="宋体" w:hAnsi="宋体" w:eastAsia="宋体" w:cs="宋体"/>
          <w:sz w:val="21"/>
          <w:szCs w:val="21"/>
        </w:rPr>
      </w:pPr>
      <w:r>
        <w:rPr>
          <w:rFonts w:ascii="宋体" w:hAnsi="宋体" w:eastAsia="宋体" w:cs="宋体"/>
          <w:spacing w:val="1"/>
          <w:sz w:val="21"/>
          <w:szCs w:val="21"/>
        </w:rPr>
        <w:t>(2)测点的选择与埋设，应符合下列要求：</w:t>
      </w:r>
    </w:p>
    <w:p w14:paraId="48F33339">
      <w:pPr>
        <w:spacing w:before="67" w:line="257" w:lineRule="auto"/>
        <w:ind w:left="1099" w:right="1397" w:firstLine="389"/>
        <w:rPr>
          <w:rFonts w:ascii="宋体" w:hAnsi="宋体" w:eastAsia="宋体" w:cs="宋体"/>
          <w:sz w:val="21"/>
          <w:szCs w:val="21"/>
        </w:rPr>
      </w:pPr>
      <w:r>
        <w:rPr>
          <w:rFonts w:ascii="宋体" w:hAnsi="宋体" w:eastAsia="宋体" w:cs="宋体"/>
          <w:spacing w:val="2"/>
          <w:sz w:val="21"/>
          <w:szCs w:val="21"/>
        </w:rPr>
        <w:t>①测点应与变形体牢固结合，并选在变形幅度、变形速率大的部位，且能</w:t>
      </w:r>
      <w:r>
        <w:rPr>
          <w:rFonts w:ascii="宋体" w:hAnsi="宋体" w:eastAsia="宋体" w:cs="宋体"/>
          <w:spacing w:val="1"/>
          <w:sz w:val="21"/>
          <w:szCs w:val="21"/>
        </w:rPr>
        <w:t>控制变</w:t>
      </w:r>
      <w:r>
        <w:rPr>
          <w:rFonts w:ascii="宋体" w:hAnsi="宋体" w:eastAsia="宋体" w:cs="宋体"/>
          <w:sz w:val="21"/>
          <w:szCs w:val="21"/>
        </w:rPr>
        <w:t xml:space="preserve"> </w:t>
      </w:r>
      <w:r>
        <w:rPr>
          <w:rFonts w:ascii="宋体" w:hAnsi="宋体" w:eastAsia="宋体" w:cs="宋体"/>
          <w:spacing w:val="-6"/>
          <w:sz w:val="21"/>
          <w:szCs w:val="21"/>
        </w:rPr>
        <w:t>形体的范围。</w:t>
      </w:r>
    </w:p>
    <w:p w14:paraId="55F5CE5B">
      <w:pPr>
        <w:spacing w:before="57" w:line="217" w:lineRule="auto"/>
        <w:ind w:left="1489"/>
        <w:rPr>
          <w:rFonts w:ascii="宋体" w:hAnsi="宋体" w:eastAsia="宋体" w:cs="宋体"/>
          <w:sz w:val="21"/>
          <w:szCs w:val="21"/>
        </w:rPr>
      </w:pPr>
      <w:r>
        <w:rPr>
          <w:rFonts w:ascii="宋体" w:hAnsi="宋体" w:eastAsia="宋体" w:cs="宋体"/>
          <w:spacing w:val="-3"/>
          <w:sz w:val="21"/>
          <w:szCs w:val="21"/>
        </w:rPr>
        <w:t>②滑坡测点宜设在滑动量大、滑动速度快的轴线方向和滑坡前沿区等部位。</w:t>
      </w:r>
    </w:p>
    <w:p w14:paraId="1895379E">
      <w:pPr>
        <w:spacing w:before="84" w:line="251" w:lineRule="auto"/>
        <w:ind w:left="1099" w:right="1309" w:firstLine="389"/>
        <w:rPr>
          <w:rFonts w:ascii="宋体" w:hAnsi="宋体" w:eastAsia="宋体" w:cs="宋体"/>
          <w:sz w:val="21"/>
          <w:szCs w:val="21"/>
        </w:rPr>
      </w:pPr>
      <w:r>
        <w:rPr>
          <w:rFonts w:ascii="宋体" w:hAnsi="宋体" w:eastAsia="宋体" w:cs="宋体"/>
          <w:spacing w:val="-2"/>
          <w:sz w:val="21"/>
          <w:szCs w:val="21"/>
        </w:rPr>
        <w:t>③高边坡稳定监测点，宜呈断面形式布置在不同的高程面上，其标志应明显可见，</w:t>
      </w:r>
      <w:r>
        <w:rPr>
          <w:rFonts w:ascii="宋体" w:hAnsi="宋体" w:eastAsia="宋体" w:cs="宋体"/>
          <w:spacing w:val="17"/>
          <w:sz w:val="21"/>
          <w:szCs w:val="21"/>
        </w:rPr>
        <w:t xml:space="preserve"> </w:t>
      </w:r>
      <w:r>
        <w:rPr>
          <w:rFonts w:ascii="宋体" w:hAnsi="宋体" w:eastAsia="宋体" w:cs="宋体"/>
          <w:spacing w:val="-4"/>
          <w:sz w:val="21"/>
          <w:szCs w:val="21"/>
        </w:rPr>
        <w:t>尽量做到无人立标。</w:t>
      </w:r>
    </w:p>
    <w:p w14:paraId="0488B9C1">
      <w:pPr>
        <w:spacing w:before="58" w:line="258" w:lineRule="auto"/>
        <w:ind w:left="1099" w:right="1395" w:firstLine="389"/>
        <w:rPr>
          <w:rFonts w:ascii="宋体" w:hAnsi="宋体" w:eastAsia="宋体" w:cs="宋体"/>
          <w:sz w:val="21"/>
          <w:szCs w:val="21"/>
        </w:rPr>
      </w:pPr>
      <w:r>
        <w:rPr>
          <w:rFonts w:ascii="宋体" w:hAnsi="宋体" w:eastAsia="宋体" w:cs="宋体"/>
          <w:spacing w:val="-1"/>
          <w:sz w:val="21"/>
          <w:szCs w:val="21"/>
        </w:rPr>
        <w:t>④采用视准线监测的围堰变形点，其偏离视准线的距离不应大</w:t>
      </w:r>
      <w:r>
        <w:rPr>
          <w:rFonts w:ascii="宋体" w:hAnsi="宋体" w:eastAsia="宋体" w:cs="宋体"/>
          <w:spacing w:val="-2"/>
          <w:sz w:val="21"/>
          <w:szCs w:val="21"/>
        </w:rPr>
        <w:t>于20</w:t>
      </w:r>
      <w:r>
        <w:rPr>
          <w:rFonts w:ascii="Times New Roman" w:hAnsi="Times New Roman" w:eastAsia="Times New Roman" w:cs="Times New Roman"/>
          <w:spacing w:val="-2"/>
          <w:sz w:val="21"/>
          <w:szCs w:val="21"/>
        </w:rPr>
        <w:t>mm</w:t>
      </w:r>
      <w:r>
        <w:rPr>
          <w:rFonts w:ascii="宋体" w:hAnsi="宋体" w:eastAsia="宋体" w:cs="宋体"/>
          <w:spacing w:val="-2"/>
          <w:sz w:val="21"/>
          <w:szCs w:val="21"/>
        </w:rPr>
        <w:t>。垂直位移</w:t>
      </w:r>
      <w:r>
        <w:rPr>
          <w:rFonts w:ascii="宋体" w:hAnsi="宋体" w:eastAsia="宋体" w:cs="宋体"/>
          <w:sz w:val="21"/>
          <w:szCs w:val="21"/>
        </w:rPr>
        <w:t xml:space="preserve"> </w:t>
      </w:r>
      <w:r>
        <w:rPr>
          <w:rFonts w:ascii="宋体" w:hAnsi="宋体" w:eastAsia="宋体" w:cs="宋体"/>
          <w:spacing w:val="-5"/>
          <w:sz w:val="21"/>
          <w:szCs w:val="21"/>
        </w:rPr>
        <w:t>测点宜与水平位移测点合用。围堰变形观测点的密度，应根据变形特征确定：险要地段</w:t>
      </w:r>
      <w:r>
        <w:rPr>
          <w:rFonts w:ascii="宋体" w:hAnsi="宋体" w:eastAsia="宋体" w:cs="宋体"/>
          <w:spacing w:val="17"/>
          <w:sz w:val="21"/>
          <w:szCs w:val="21"/>
        </w:rPr>
        <w:t xml:space="preserve"> </w:t>
      </w:r>
      <w:r>
        <w:rPr>
          <w:rFonts w:ascii="Times New Roman" w:hAnsi="Times New Roman" w:eastAsia="Times New Roman" w:cs="Times New Roman"/>
          <w:spacing w:val="-1"/>
          <w:sz w:val="21"/>
          <w:szCs w:val="21"/>
        </w:rPr>
        <w:t>20</w:t>
      </w:r>
      <w:r>
        <w:rPr>
          <w:rFonts w:ascii="宋体" w:hAnsi="宋体" w:eastAsia="宋体" w:cs="宋体"/>
          <w:spacing w:val="-1"/>
          <w:sz w:val="21"/>
          <w:szCs w:val="21"/>
        </w:rPr>
        <w:t>～</w:t>
      </w:r>
      <w:r>
        <w:rPr>
          <w:rFonts w:ascii="Times New Roman" w:hAnsi="Times New Roman" w:eastAsia="Times New Roman" w:cs="Times New Roman"/>
          <w:spacing w:val="-1"/>
          <w:sz w:val="21"/>
          <w:szCs w:val="21"/>
        </w:rPr>
        <w:t>30m</w:t>
      </w:r>
      <w:r>
        <w:rPr>
          <w:rFonts w:ascii="Times New Roman" w:hAnsi="Times New Roman" w:eastAsia="Times New Roman" w:cs="Times New Roman"/>
          <w:spacing w:val="-10"/>
          <w:sz w:val="21"/>
          <w:szCs w:val="21"/>
        </w:rPr>
        <w:t xml:space="preserve"> </w:t>
      </w:r>
      <w:r>
        <w:rPr>
          <w:rFonts w:ascii="宋体" w:hAnsi="宋体" w:eastAsia="宋体" w:cs="宋体"/>
          <w:spacing w:val="-1"/>
          <w:sz w:val="21"/>
          <w:szCs w:val="21"/>
        </w:rPr>
        <w:t>布设一个测点；一般地段50～80</w:t>
      </w:r>
      <w:r>
        <w:rPr>
          <w:rFonts w:ascii="Times New Roman" w:hAnsi="Times New Roman" w:eastAsia="Times New Roman" w:cs="Times New Roman"/>
          <w:spacing w:val="-1"/>
          <w:sz w:val="21"/>
          <w:szCs w:val="21"/>
        </w:rPr>
        <w:t>m</w:t>
      </w:r>
      <w:r>
        <w:rPr>
          <w:rFonts w:ascii="Times New Roman" w:hAnsi="Times New Roman" w:eastAsia="Times New Roman" w:cs="Times New Roman"/>
          <w:spacing w:val="-24"/>
          <w:sz w:val="21"/>
          <w:szCs w:val="21"/>
        </w:rPr>
        <w:t xml:space="preserve"> </w:t>
      </w:r>
      <w:r>
        <w:rPr>
          <w:rFonts w:ascii="宋体" w:hAnsi="宋体" w:eastAsia="宋体" w:cs="宋体"/>
          <w:spacing w:val="-1"/>
          <w:sz w:val="21"/>
          <w:szCs w:val="21"/>
        </w:rPr>
        <w:t>布设一个测点。</w:t>
      </w:r>
    </w:p>
    <w:p w14:paraId="71D38F76">
      <w:pPr>
        <w:spacing w:before="60" w:line="217" w:lineRule="auto"/>
        <w:ind w:left="1489"/>
        <w:rPr>
          <w:rFonts w:ascii="宋体" w:hAnsi="宋体" w:eastAsia="宋体" w:cs="宋体"/>
          <w:sz w:val="21"/>
          <w:szCs w:val="21"/>
        </w:rPr>
      </w:pPr>
      <w:r>
        <w:rPr>
          <w:rFonts w:ascii="宋体" w:hAnsi="宋体" w:eastAsia="宋体" w:cs="宋体"/>
          <w:spacing w:val="-3"/>
          <w:sz w:val="21"/>
          <w:szCs w:val="21"/>
        </w:rPr>
        <w:t>⑤山体或建筑物裂缝观测点，应埋设在裂缝的两侧。标志的形式应专门设计。</w:t>
      </w:r>
    </w:p>
    <w:p w14:paraId="72422C91">
      <w:pPr>
        <w:spacing w:before="81" w:line="221" w:lineRule="auto"/>
        <w:ind w:left="1492"/>
        <w:rPr>
          <w:rFonts w:ascii="黑体" w:hAnsi="黑体" w:eastAsia="黑体" w:cs="黑体"/>
          <w:sz w:val="21"/>
          <w:szCs w:val="21"/>
        </w:rPr>
      </w:pPr>
      <w:r>
        <w:rPr>
          <w:rFonts w:ascii="黑体" w:hAnsi="黑体" w:eastAsia="黑体" w:cs="黑体"/>
          <w:b/>
          <w:bCs/>
          <w:color w:val="3090A0"/>
          <w:spacing w:val="12"/>
          <w:sz w:val="21"/>
          <w:szCs w:val="21"/>
        </w:rPr>
        <w:t>3)监测方法的选择</w:t>
      </w:r>
    </w:p>
    <w:p w14:paraId="2A59566F">
      <w:pPr>
        <w:spacing w:before="72" w:line="219" w:lineRule="auto"/>
        <w:ind w:left="1489"/>
        <w:rPr>
          <w:rFonts w:ascii="宋体" w:hAnsi="宋体" w:eastAsia="宋体" w:cs="宋体"/>
          <w:sz w:val="21"/>
          <w:szCs w:val="21"/>
        </w:rPr>
      </w:pPr>
      <w:r>
        <w:rPr>
          <w:rFonts w:ascii="宋体" w:hAnsi="宋体" w:eastAsia="宋体" w:cs="宋体"/>
          <w:spacing w:val="-1"/>
          <w:sz w:val="21"/>
          <w:szCs w:val="21"/>
        </w:rPr>
        <w:t>一般情况下，滑坡、高边坡稳定监测采用交会法；水平位移监测采用视准线法</w:t>
      </w:r>
      <w:r>
        <w:rPr>
          <w:rFonts w:ascii="宋体" w:hAnsi="宋体" w:eastAsia="宋体" w:cs="宋体"/>
          <w:spacing w:val="-2"/>
          <w:sz w:val="21"/>
          <w:szCs w:val="21"/>
        </w:rPr>
        <w:t>(活</w:t>
      </w:r>
    </w:p>
    <w:p w14:paraId="4D5A6248">
      <w:pPr>
        <w:spacing w:line="219" w:lineRule="auto"/>
        <w:rPr>
          <w:rFonts w:ascii="宋体" w:hAnsi="宋体" w:eastAsia="宋体" w:cs="宋体"/>
          <w:sz w:val="21"/>
          <w:szCs w:val="21"/>
        </w:rPr>
        <w:sectPr>
          <w:footerReference r:id="rId13" w:type="default"/>
          <w:pgSz w:w="10500" w:h="14710"/>
          <w:pgMar w:top="104" w:right="193" w:bottom="305" w:left="0" w:header="0" w:footer="64" w:gutter="0"/>
          <w:cols w:space="720" w:num="1"/>
        </w:sectPr>
      </w:pPr>
    </w:p>
    <w:p w14:paraId="3C54FA88">
      <w:pPr>
        <w:spacing w:line="212" w:lineRule="auto"/>
        <w:ind w:left="293"/>
        <w:rPr>
          <w:rFonts w:ascii="宋体" w:hAnsi="宋体" w:eastAsia="宋体" w:cs="宋体"/>
          <w:sz w:val="24"/>
          <w:szCs w:val="24"/>
        </w:rPr>
      </w:pPr>
      <w:r>
        <w:rPr>
          <w:rFonts w:hint="eastAsia" w:ascii="宋体" w:hAnsi="宋体" w:eastAsia="宋体" w:cs="宋体"/>
          <w:b/>
          <w:bCs/>
          <w:spacing w:val="3"/>
          <w:sz w:val="24"/>
          <w:szCs w:val="24"/>
          <w:lang w:eastAsia="zh-CN"/>
        </w:rPr>
        <w:t>大鱼社区</w:t>
      </w:r>
      <w:r>
        <w:rPr>
          <w:rFonts w:ascii="宋体" w:hAnsi="宋体" w:eastAsia="宋体" w:cs="宋体"/>
          <w:b/>
          <w:bCs/>
          <w:spacing w:val="3"/>
          <w:sz w:val="24"/>
          <w:szCs w:val="24"/>
        </w:rPr>
        <w:t>助你备考：少走弯路，快速通关!认准</w:t>
      </w:r>
      <w:r>
        <w:rPr>
          <w:rFonts w:ascii="Times New Roman" w:hAnsi="Times New Roman" w:eastAsia="Times New Roman" w:cs="Times New Roman"/>
          <w:b/>
          <w:bCs/>
          <w:sz w:val="24"/>
          <w:szCs w:val="24"/>
        </w:rPr>
        <w:t>VX</w:t>
      </w:r>
      <w:r>
        <w:rPr>
          <w:rFonts w:ascii="Times New Roman" w:hAnsi="Times New Roman" w:eastAsia="Times New Roman" w:cs="Times New Roman"/>
          <w:b/>
          <w:bCs/>
          <w:spacing w:val="3"/>
          <w:sz w:val="24"/>
          <w:szCs w:val="24"/>
        </w:rPr>
        <w:t>:</w:t>
      </w:r>
      <w:r>
        <w:rPr>
          <w:rFonts w:hint="eastAsia" w:ascii="Times New Roman" w:hAnsi="Times New Roman" w:eastAsia="宋体" w:cs="Times New Roman"/>
          <w:b/>
          <w:bCs/>
          <w:sz w:val="24"/>
          <w:szCs w:val="24"/>
          <w:lang w:eastAsia="zh-CN"/>
        </w:rPr>
        <w:t>dayu_nm_cn</w:t>
      </w:r>
      <w:r>
        <w:rPr>
          <w:rFonts w:ascii="Times New Roman" w:hAnsi="Times New Roman" w:eastAsia="Times New Roman" w:cs="Times New Roman"/>
          <w:b/>
          <w:bCs/>
          <w:spacing w:val="3"/>
          <w:sz w:val="24"/>
          <w:szCs w:val="24"/>
        </w:rPr>
        <w:t xml:space="preserve">  </w:t>
      </w:r>
      <w:r>
        <w:rPr>
          <w:rFonts w:ascii="宋体" w:hAnsi="宋体" w:eastAsia="宋体" w:cs="宋体"/>
          <w:b/>
          <w:bCs/>
          <w:spacing w:val="3"/>
          <w:sz w:val="24"/>
          <w:szCs w:val="24"/>
        </w:rPr>
        <w:t>(天道酬勤，白嫖勿扰)</w:t>
      </w:r>
    </w:p>
    <w:p w14:paraId="3A61251C">
      <w:pPr>
        <w:pStyle w:val="2"/>
        <w:spacing w:line="341" w:lineRule="auto"/>
      </w:pPr>
    </w:p>
    <w:p w14:paraId="5B7AE748">
      <w:pPr>
        <w:tabs>
          <w:tab w:val="left" w:pos="6439"/>
        </w:tabs>
        <w:spacing w:before="65" w:line="222" w:lineRule="auto"/>
        <w:ind w:left="1479"/>
        <w:rPr>
          <w:rFonts w:ascii="宋体" w:hAnsi="宋体" w:eastAsia="宋体" w:cs="宋体"/>
          <w:sz w:val="20"/>
          <w:szCs w:val="20"/>
        </w:rPr>
      </w:pPr>
      <w:r>
        <w:rPr>
          <w:rFonts w:ascii="黑体" w:hAnsi="黑体" w:eastAsia="黑体" w:cs="黑体"/>
          <w:sz w:val="20"/>
          <w:szCs w:val="20"/>
          <w:u w:val="single" w:color="auto"/>
        </w:rPr>
        <w:tab/>
      </w:r>
      <w:r>
        <w:rPr>
          <w:rFonts w:ascii="黑体" w:hAnsi="黑体" w:eastAsia="黑体" w:cs="黑体"/>
          <w:spacing w:val="-20"/>
          <w:sz w:val="20"/>
          <w:szCs w:val="20"/>
          <w:u w:val="single" w:color="auto"/>
        </w:rPr>
        <w:t>第1章 水利水电工程勘测与设计</w:t>
      </w:r>
      <w:r>
        <w:rPr>
          <w:rFonts w:ascii="黑体" w:hAnsi="黑体" w:eastAsia="黑体" w:cs="黑体"/>
          <w:spacing w:val="10"/>
          <w:sz w:val="20"/>
          <w:szCs w:val="20"/>
          <w:u w:val="single" w:color="auto"/>
        </w:rPr>
        <w:t xml:space="preserve">   </w:t>
      </w:r>
      <w:r>
        <w:rPr>
          <w:rFonts w:ascii="宋体" w:hAnsi="宋体" w:eastAsia="宋体" w:cs="宋体"/>
          <w:spacing w:val="-20"/>
          <w:sz w:val="20"/>
          <w:szCs w:val="20"/>
          <w:u w:val="single" w:color="auto"/>
        </w:rPr>
        <w:t>9</w:t>
      </w:r>
    </w:p>
    <w:p w14:paraId="15953080">
      <w:pPr>
        <w:spacing w:before="239" w:line="219" w:lineRule="auto"/>
        <w:ind w:left="1469"/>
        <w:rPr>
          <w:rFonts w:ascii="宋体" w:hAnsi="宋体" w:eastAsia="宋体" w:cs="宋体"/>
          <w:sz w:val="20"/>
          <w:szCs w:val="20"/>
        </w:rPr>
      </w:pPr>
      <w:r>
        <w:rPr>
          <w:rFonts w:ascii="宋体" w:hAnsi="宋体" w:eastAsia="宋体" w:cs="宋体"/>
          <w:spacing w:val="13"/>
          <w:sz w:val="20"/>
          <w:szCs w:val="20"/>
        </w:rPr>
        <w:t>动觇牌法和小角度法);垂直位移监测，宜采用水准监测法，也</w:t>
      </w:r>
      <w:r>
        <w:rPr>
          <w:rFonts w:ascii="宋体" w:hAnsi="宋体" w:eastAsia="宋体" w:cs="宋体"/>
          <w:spacing w:val="12"/>
          <w:sz w:val="20"/>
          <w:szCs w:val="20"/>
        </w:rPr>
        <w:t>可采用满足精度要求的</w:t>
      </w:r>
    </w:p>
    <w:p w14:paraId="598EAF48">
      <w:pPr>
        <w:spacing w:before="92" w:line="219" w:lineRule="auto"/>
        <w:ind w:left="1469"/>
        <w:rPr>
          <w:rFonts w:ascii="宋体" w:hAnsi="宋体" w:eastAsia="宋体" w:cs="宋体"/>
          <w:sz w:val="20"/>
          <w:szCs w:val="20"/>
        </w:rPr>
      </w:pPr>
      <w:r>
        <w:rPr>
          <w:rFonts w:ascii="宋体" w:hAnsi="宋体" w:eastAsia="宋体" w:cs="宋体"/>
          <w:spacing w:val="5"/>
          <w:sz w:val="20"/>
          <w:szCs w:val="20"/>
        </w:rPr>
        <w:t>光电测距三角高程法；地基回弹宜采用水准仪与悬挂钢尺相配合的监测方法。</w:t>
      </w:r>
    </w:p>
    <w:p w14:paraId="6FEAE635">
      <w:pPr>
        <w:spacing w:before="100" w:line="222" w:lineRule="auto"/>
        <w:ind w:left="1842"/>
        <w:rPr>
          <w:rFonts w:ascii="黑体" w:hAnsi="黑体" w:eastAsia="黑体" w:cs="黑体"/>
          <w:sz w:val="20"/>
          <w:szCs w:val="20"/>
        </w:rPr>
      </w:pPr>
      <w:r>
        <w:rPr>
          <w:rFonts w:ascii="黑体" w:hAnsi="黑体" w:eastAsia="黑体" w:cs="黑体"/>
          <w:b/>
          <w:bCs/>
          <w:color w:val="407090"/>
          <w:spacing w:val="26"/>
          <w:sz w:val="20"/>
          <w:szCs w:val="20"/>
        </w:rPr>
        <w:t>4)资料整理</w:t>
      </w:r>
    </w:p>
    <w:p w14:paraId="4261BDEE">
      <w:pPr>
        <w:spacing w:before="43" w:line="219" w:lineRule="auto"/>
        <w:ind w:left="1839"/>
        <w:rPr>
          <w:rFonts w:ascii="宋体" w:hAnsi="宋体" w:eastAsia="宋体" w:cs="宋体"/>
          <w:sz w:val="20"/>
          <w:szCs w:val="20"/>
        </w:rPr>
      </w:pPr>
      <w:r>
        <w:rPr>
          <w:rFonts w:ascii="宋体" w:hAnsi="宋体" w:eastAsia="宋体" w:cs="宋体"/>
          <w:spacing w:val="11"/>
          <w:sz w:val="20"/>
          <w:szCs w:val="20"/>
        </w:rPr>
        <w:t>(1)监测资料整理应包括下列内容：</w:t>
      </w:r>
    </w:p>
    <w:p w14:paraId="7B87AA58">
      <w:pPr>
        <w:spacing w:before="91" w:line="217" w:lineRule="auto"/>
        <w:ind w:left="1839"/>
        <w:rPr>
          <w:rFonts w:ascii="宋体" w:hAnsi="宋体" w:eastAsia="宋体" w:cs="宋体"/>
          <w:sz w:val="20"/>
          <w:szCs w:val="20"/>
        </w:rPr>
      </w:pPr>
      <w:r>
        <w:rPr>
          <w:rFonts w:ascii="宋体" w:hAnsi="宋体" w:eastAsia="宋体" w:cs="宋体"/>
          <w:spacing w:val="8"/>
          <w:sz w:val="20"/>
          <w:szCs w:val="20"/>
        </w:rPr>
        <w:t>①外业监测资料的检查，测站平差和平均值的计算。</w:t>
      </w:r>
    </w:p>
    <w:p w14:paraId="06663C5A">
      <w:pPr>
        <w:spacing w:before="85" w:line="217" w:lineRule="auto"/>
        <w:ind w:left="1839"/>
        <w:rPr>
          <w:rFonts w:ascii="宋体" w:hAnsi="宋体" w:eastAsia="宋体" w:cs="宋体"/>
          <w:sz w:val="20"/>
          <w:szCs w:val="20"/>
        </w:rPr>
      </w:pPr>
      <w:r>
        <w:rPr>
          <w:rFonts w:ascii="宋体" w:hAnsi="宋体" w:eastAsia="宋体" w:cs="宋体"/>
          <w:spacing w:val="8"/>
          <w:sz w:val="20"/>
          <w:szCs w:val="20"/>
        </w:rPr>
        <w:t>②平差计算，求得未知数的最或是值。</w:t>
      </w:r>
    </w:p>
    <w:p w14:paraId="495F1AD9">
      <w:pPr>
        <w:spacing w:before="75" w:line="217" w:lineRule="auto"/>
        <w:ind w:left="1839"/>
        <w:rPr>
          <w:rFonts w:ascii="宋体" w:hAnsi="宋体" w:eastAsia="宋体" w:cs="宋体"/>
          <w:sz w:val="20"/>
          <w:szCs w:val="20"/>
        </w:rPr>
      </w:pPr>
      <w:r>
        <w:rPr>
          <w:rFonts w:ascii="宋体" w:hAnsi="宋体" w:eastAsia="宋体" w:cs="宋体"/>
          <w:spacing w:val="8"/>
          <w:sz w:val="20"/>
          <w:szCs w:val="20"/>
        </w:rPr>
        <w:t>③位移量计算，编制累计位移量一览表。</w:t>
      </w:r>
    </w:p>
    <w:p w14:paraId="78C6A3CD">
      <w:pPr>
        <w:spacing w:before="85" w:line="217" w:lineRule="auto"/>
        <w:ind w:left="1839"/>
        <w:rPr>
          <w:rFonts w:ascii="宋体" w:hAnsi="宋体" w:eastAsia="宋体" w:cs="宋体"/>
          <w:sz w:val="20"/>
          <w:szCs w:val="20"/>
        </w:rPr>
      </w:pPr>
      <w:r>
        <w:rPr>
          <w:rFonts w:ascii="宋体" w:hAnsi="宋体" w:eastAsia="宋体" w:cs="宋体"/>
          <w:spacing w:val="8"/>
          <w:sz w:val="20"/>
          <w:szCs w:val="20"/>
        </w:rPr>
        <w:t>④绘制位移量与相关因素的关系曲线图。</w:t>
      </w:r>
    </w:p>
    <w:p w14:paraId="16F0C64D">
      <w:pPr>
        <w:spacing w:before="77" w:line="219" w:lineRule="auto"/>
        <w:ind w:left="1839"/>
        <w:rPr>
          <w:rFonts w:ascii="宋体" w:hAnsi="宋体" w:eastAsia="宋体" w:cs="宋体"/>
          <w:sz w:val="20"/>
          <w:szCs w:val="20"/>
        </w:rPr>
      </w:pPr>
      <w:r>
        <w:rPr>
          <w:rFonts w:ascii="宋体" w:hAnsi="宋体" w:eastAsia="宋体" w:cs="宋体"/>
          <w:spacing w:val="12"/>
          <w:sz w:val="20"/>
          <w:szCs w:val="20"/>
        </w:rPr>
        <w:t>(2)成果分析包括下列内容：</w:t>
      </w:r>
    </w:p>
    <w:p w14:paraId="546BE8FD">
      <w:pPr>
        <w:spacing w:before="80" w:line="217" w:lineRule="auto"/>
        <w:ind w:left="1839"/>
        <w:rPr>
          <w:rFonts w:ascii="宋体" w:hAnsi="宋体" w:eastAsia="宋体" w:cs="宋体"/>
          <w:sz w:val="20"/>
          <w:szCs w:val="20"/>
        </w:rPr>
      </w:pPr>
      <w:r>
        <w:rPr>
          <w:rFonts w:ascii="宋体" w:hAnsi="宋体" w:eastAsia="宋体" w:cs="宋体"/>
          <w:spacing w:val="11"/>
          <w:sz w:val="20"/>
          <w:szCs w:val="20"/>
        </w:rPr>
        <w:t>①评定监测精度。</w:t>
      </w:r>
    </w:p>
    <w:p w14:paraId="471DC287">
      <w:pPr>
        <w:spacing w:before="95" w:line="217" w:lineRule="auto"/>
        <w:ind w:left="1839"/>
        <w:rPr>
          <w:rFonts w:ascii="宋体" w:hAnsi="宋体" w:eastAsia="宋体" w:cs="宋体"/>
          <w:sz w:val="20"/>
          <w:szCs w:val="20"/>
        </w:rPr>
      </w:pPr>
      <w:r>
        <w:rPr>
          <w:rFonts w:ascii="宋体" w:hAnsi="宋体" w:eastAsia="宋体" w:cs="宋体"/>
          <w:spacing w:val="8"/>
          <w:sz w:val="20"/>
          <w:szCs w:val="20"/>
        </w:rPr>
        <w:t>②分析监测成果是否符合正常变化规律。</w:t>
      </w:r>
    </w:p>
    <w:p w14:paraId="4AD0F1D7">
      <w:pPr>
        <w:spacing w:before="85" w:line="217" w:lineRule="auto"/>
        <w:ind w:left="1839"/>
        <w:rPr>
          <w:rFonts w:ascii="宋体" w:hAnsi="宋体" w:eastAsia="宋体" w:cs="宋体"/>
          <w:sz w:val="20"/>
          <w:szCs w:val="20"/>
        </w:rPr>
      </w:pPr>
      <w:r>
        <w:rPr>
          <w:rFonts w:ascii="宋体" w:hAnsi="宋体" w:eastAsia="宋体" w:cs="宋体"/>
          <w:spacing w:val="8"/>
          <w:sz w:val="20"/>
          <w:szCs w:val="20"/>
        </w:rPr>
        <w:t>③对异常监测值和异常变化，应认真分析原因，辨别真伪。</w:t>
      </w:r>
    </w:p>
    <w:p w14:paraId="2020C394">
      <w:pPr>
        <w:spacing w:before="75" w:line="217" w:lineRule="auto"/>
        <w:ind w:left="1839"/>
        <w:rPr>
          <w:rFonts w:ascii="宋体" w:hAnsi="宋体" w:eastAsia="宋体" w:cs="宋体"/>
          <w:sz w:val="20"/>
          <w:szCs w:val="20"/>
        </w:rPr>
      </w:pPr>
      <w:r>
        <w:rPr>
          <w:rFonts w:ascii="宋体" w:hAnsi="宋体" w:eastAsia="宋体" w:cs="宋体"/>
          <w:spacing w:val="7"/>
          <w:sz w:val="20"/>
          <w:szCs w:val="20"/>
        </w:rPr>
        <w:t>④重点部位应与其他监测资料综合分析。</w:t>
      </w:r>
    </w:p>
    <w:p w14:paraId="7C11788E">
      <w:pPr>
        <w:spacing w:before="95" w:line="217" w:lineRule="auto"/>
        <w:ind w:left="1839"/>
        <w:rPr>
          <w:rFonts w:ascii="宋体" w:hAnsi="宋体" w:eastAsia="宋体" w:cs="宋体"/>
          <w:sz w:val="20"/>
          <w:szCs w:val="20"/>
        </w:rPr>
      </w:pPr>
      <w:r>
        <w:rPr>
          <w:rFonts w:ascii="宋体" w:hAnsi="宋体" w:eastAsia="宋体" w:cs="宋体"/>
          <w:spacing w:val="10"/>
          <w:sz w:val="20"/>
          <w:szCs w:val="20"/>
        </w:rPr>
        <w:t>⑤寻找影响位移的相关因素。</w:t>
      </w:r>
    </w:p>
    <w:p w14:paraId="54AE6625">
      <w:pPr>
        <w:spacing w:before="115" w:line="221" w:lineRule="auto"/>
        <w:ind w:left="1839"/>
        <w:rPr>
          <w:rFonts w:ascii="黑体" w:hAnsi="黑体" w:eastAsia="黑体" w:cs="黑体"/>
          <w:sz w:val="20"/>
          <w:szCs w:val="20"/>
        </w:rPr>
      </w:pPr>
      <w:r>
        <w:rPr>
          <w:rFonts w:ascii="宋体" w:hAnsi="宋体" w:eastAsia="宋体" w:cs="宋体"/>
          <w:color w:val="306080"/>
          <w:spacing w:val="12"/>
          <w:sz w:val="20"/>
          <w:szCs w:val="20"/>
        </w:rPr>
        <w:t>6.</w:t>
      </w:r>
      <w:r>
        <w:rPr>
          <w:rFonts w:ascii="宋体" w:hAnsi="宋体" w:eastAsia="宋体" w:cs="宋体"/>
          <w:color w:val="306080"/>
          <w:spacing w:val="-41"/>
          <w:sz w:val="20"/>
          <w:szCs w:val="20"/>
        </w:rPr>
        <w:t xml:space="preserve"> </w:t>
      </w:r>
      <w:r>
        <w:rPr>
          <w:rFonts w:ascii="黑体" w:hAnsi="黑体" w:eastAsia="黑体" w:cs="黑体"/>
          <w:color w:val="306080"/>
          <w:spacing w:val="12"/>
          <w:sz w:val="20"/>
          <w:szCs w:val="20"/>
        </w:rPr>
        <w:t>竣工测量</w:t>
      </w:r>
    </w:p>
    <w:p w14:paraId="588A20CF">
      <w:pPr>
        <w:spacing w:before="78" w:line="221" w:lineRule="auto"/>
        <w:ind w:left="1842"/>
        <w:rPr>
          <w:rFonts w:ascii="黑体" w:hAnsi="黑体" w:eastAsia="黑体" w:cs="黑体"/>
          <w:sz w:val="20"/>
          <w:szCs w:val="20"/>
        </w:rPr>
      </w:pPr>
      <w:r>
        <w:rPr>
          <w:rFonts w:ascii="黑体" w:hAnsi="黑体" w:eastAsia="黑体" w:cs="黑体"/>
          <w:b/>
          <w:bCs/>
          <w:color w:val="4080A0"/>
          <w:spacing w:val="16"/>
          <w:sz w:val="20"/>
          <w:szCs w:val="20"/>
        </w:rPr>
        <w:t>1)竣工测量的内容和方法</w:t>
      </w:r>
    </w:p>
    <w:p w14:paraId="1B7469F5">
      <w:pPr>
        <w:spacing w:before="35" w:line="219" w:lineRule="auto"/>
        <w:ind w:left="1839"/>
        <w:rPr>
          <w:rFonts w:ascii="宋体" w:hAnsi="宋体" w:eastAsia="宋体" w:cs="宋体"/>
          <w:sz w:val="20"/>
          <w:szCs w:val="20"/>
        </w:rPr>
      </w:pPr>
      <w:r>
        <w:rPr>
          <w:rFonts w:ascii="宋体" w:hAnsi="宋体" w:eastAsia="宋体" w:cs="宋体"/>
          <w:spacing w:val="11"/>
          <w:sz w:val="20"/>
          <w:szCs w:val="20"/>
        </w:rPr>
        <w:t>(1)竣工测量包括下列主要项目：</w:t>
      </w:r>
    </w:p>
    <w:p w14:paraId="5E30B922">
      <w:pPr>
        <w:spacing w:before="91" w:line="249" w:lineRule="auto"/>
        <w:ind w:left="1469" w:right="923" w:firstLine="369"/>
        <w:rPr>
          <w:rFonts w:ascii="宋体" w:hAnsi="宋体" w:eastAsia="宋体" w:cs="宋体"/>
          <w:sz w:val="20"/>
          <w:szCs w:val="20"/>
        </w:rPr>
      </w:pPr>
      <w:r>
        <w:rPr>
          <w:rFonts w:ascii="宋体" w:hAnsi="宋体" w:eastAsia="宋体" w:cs="宋体"/>
          <w:spacing w:val="19"/>
          <w:sz w:val="20"/>
          <w:szCs w:val="20"/>
        </w:rPr>
        <w:t>①主要水工建筑物基础开挖建基面的1:2</w:t>
      </w:r>
      <w:r>
        <w:rPr>
          <w:rFonts w:ascii="宋体" w:hAnsi="宋体" w:eastAsia="宋体" w:cs="宋体"/>
          <w:spacing w:val="18"/>
          <w:sz w:val="20"/>
          <w:szCs w:val="20"/>
        </w:rPr>
        <w:t>00～1:500地形图(高程平面图)或纵、</w:t>
      </w:r>
      <w:r>
        <w:rPr>
          <w:rFonts w:ascii="宋体" w:hAnsi="宋体" w:eastAsia="宋体" w:cs="宋体"/>
          <w:sz w:val="20"/>
          <w:szCs w:val="20"/>
        </w:rPr>
        <w:t xml:space="preserve"> </w:t>
      </w:r>
      <w:r>
        <w:rPr>
          <w:rFonts w:ascii="宋体" w:hAnsi="宋体" w:eastAsia="宋体" w:cs="宋体"/>
          <w:spacing w:val="2"/>
          <w:sz w:val="20"/>
          <w:szCs w:val="20"/>
        </w:rPr>
        <w:t>横断面图。</w:t>
      </w:r>
    </w:p>
    <w:p w14:paraId="25865591">
      <w:pPr>
        <w:spacing w:before="90" w:line="217" w:lineRule="auto"/>
        <w:ind w:left="1839"/>
        <w:rPr>
          <w:rFonts w:ascii="宋体" w:hAnsi="宋体" w:eastAsia="宋体" w:cs="宋体"/>
          <w:sz w:val="20"/>
          <w:szCs w:val="20"/>
        </w:rPr>
      </w:pPr>
      <w:r>
        <w:rPr>
          <w:rFonts w:ascii="宋体" w:hAnsi="宋体" w:eastAsia="宋体" w:cs="宋体"/>
          <w:spacing w:val="8"/>
          <w:sz w:val="20"/>
          <w:szCs w:val="20"/>
        </w:rPr>
        <w:t>②建筑物过流部位或隐蔽部位形体测量。</w:t>
      </w:r>
    </w:p>
    <w:p w14:paraId="376A25DF">
      <w:pPr>
        <w:spacing w:before="75" w:line="217" w:lineRule="auto"/>
        <w:ind w:left="1839"/>
        <w:rPr>
          <w:rFonts w:ascii="宋体" w:hAnsi="宋体" w:eastAsia="宋体" w:cs="宋体"/>
          <w:sz w:val="20"/>
          <w:szCs w:val="20"/>
        </w:rPr>
      </w:pPr>
      <w:r>
        <w:rPr>
          <w:rFonts w:ascii="宋体" w:hAnsi="宋体" w:eastAsia="宋体" w:cs="宋体"/>
          <w:spacing w:val="8"/>
          <w:sz w:val="20"/>
          <w:szCs w:val="20"/>
        </w:rPr>
        <w:t>③外部变形监测设备埋设安装竣工图。</w:t>
      </w:r>
    </w:p>
    <w:p w14:paraId="0D6C4415">
      <w:pPr>
        <w:spacing w:before="95" w:line="217" w:lineRule="auto"/>
        <w:ind w:left="1839"/>
        <w:rPr>
          <w:rFonts w:ascii="宋体" w:hAnsi="宋体" w:eastAsia="宋体" w:cs="宋体"/>
          <w:sz w:val="20"/>
          <w:szCs w:val="20"/>
        </w:rPr>
      </w:pPr>
      <w:r>
        <w:rPr>
          <w:rFonts w:ascii="宋体" w:hAnsi="宋体" w:eastAsia="宋体" w:cs="宋体"/>
          <w:spacing w:val="12"/>
          <w:sz w:val="20"/>
          <w:szCs w:val="20"/>
        </w:rPr>
        <w:t>④建筑物的各种重要孔、洞的形体测量(如电梯井、倒垂孔等)。</w:t>
      </w:r>
    </w:p>
    <w:p w14:paraId="4FA796FF">
      <w:pPr>
        <w:spacing w:before="75" w:line="217" w:lineRule="auto"/>
        <w:ind w:left="1839"/>
        <w:rPr>
          <w:rFonts w:ascii="宋体" w:hAnsi="宋体" w:eastAsia="宋体" w:cs="宋体"/>
          <w:sz w:val="20"/>
          <w:szCs w:val="20"/>
        </w:rPr>
      </w:pPr>
      <w:r>
        <w:rPr>
          <w:rFonts w:ascii="宋体" w:hAnsi="宋体" w:eastAsia="宋体" w:cs="宋体"/>
          <w:spacing w:val="9"/>
          <w:sz w:val="20"/>
          <w:szCs w:val="20"/>
        </w:rPr>
        <w:t>⑤视需要测绘施工区竣工平面图。</w:t>
      </w:r>
    </w:p>
    <w:p w14:paraId="7E823223">
      <w:pPr>
        <w:spacing w:before="87" w:line="219" w:lineRule="auto"/>
        <w:ind w:left="1839"/>
        <w:rPr>
          <w:rFonts w:ascii="宋体" w:hAnsi="宋体" w:eastAsia="宋体" w:cs="宋体"/>
          <w:sz w:val="20"/>
          <w:szCs w:val="20"/>
        </w:rPr>
      </w:pPr>
      <w:r>
        <w:rPr>
          <w:rFonts w:ascii="宋体" w:hAnsi="宋体" w:eastAsia="宋体" w:cs="宋体"/>
          <w:spacing w:val="17"/>
          <w:sz w:val="20"/>
          <w:szCs w:val="20"/>
        </w:rPr>
        <w:t>(2)竣工测量作业方法</w:t>
      </w:r>
    </w:p>
    <w:p w14:paraId="76CE0989">
      <w:pPr>
        <w:spacing w:before="81" w:line="217" w:lineRule="auto"/>
        <w:ind w:left="1839"/>
        <w:rPr>
          <w:rFonts w:ascii="宋体" w:hAnsi="宋体" w:eastAsia="宋体" w:cs="宋体"/>
          <w:sz w:val="20"/>
          <w:szCs w:val="20"/>
        </w:rPr>
      </w:pPr>
      <w:r>
        <w:rPr>
          <w:rFonts w:ascii="宋体" w:hAnsi="宋体" w:eastAsia="宋体" w:cs="宋体"/>
          <w:spacing w:val="8"/>
          <w:sz w:val="20"/>
          <w:szCs w:val="20"/>
        </w:rPr>
        <w:t>①随着施工的进程，按竣工测量的要求，逐</w:t>
      </w:r>
      <w:r>
        <w:rPr>
          <w:rFonts w:ascii="宋体" w:hAnsi="宋体" w:eastAsia="宋体" w:cs="宋体"/>
          <w:spacing w:val="7"/>
          <w:sz w:val="20"/>
          <w:szCs w:val="20"/>
        </w:rPr>
        <w:t>渐积累竣工资料。</w:t>
      </w:r>
    </w:p>
    <w:p w14:paraId="485AD332">
      <w:pPr>
        <w:spacing w:before="75" w:line="217" w:lineRule="auto"/>
        <w:ind w:left="1839"/>
        <w:rPr>
          <w:rFonts w:ascii="宋体" w:hAnsi="宋体" w:eastAsia="宋体" w:cs="宋体"/>
          <w:sz w:val="20"/>
          <w:szCs w:val="20"/>
        </w:rPr>
      </w:pPr>
      <w:r>
        <w:rPr>
          <w:rFonts w:ascii="宋体" w:hAnsi="宋体" w:eastAsia="宋体" w:cs="宋体"/>
          <w:spacing w:val="8"/>
          <w:sz w:val="20"/>
          <w:szCs w:val="20"/>
        </w:rPr>
        <w:t>②待单项工程完工后，进行一次性的测量。</w:t>
      </w:r>
    </w:p>
    <w:p w14:paraId="38C6DB4F">
      <w:pPr>
        <w:spacing w:before="105" w:line="219" w:lineRule="auto"/>
        <w:ind w:left="1839"/>
        <w:rPr>
          <w:rFonts w:ascii="宋体" w:hAnsi="宋体" w:eastAsia="宋体" w:cs="宋体"/>
          <w:sz w:val="20"/>
          <w:szCs w:val="20"/>
        </w:rPr>
      </w:pPr>
      <w:r>
        <w:rPr>
          <w:rFonts w:ascii="宋体" w:hAnsi="宋体" w:eastAsia="宋体" w:cs="宋体"/>
          <w:spacing w:val="6"/>
          <w:sz w:val="20"/>
          <w:szCs w:val="20"/>
        </w:rPr>
        <w:t>对于隐蔽工程、水下工程以及垂直临空面的竣工测量，宜采用第一种作业方法。</w:t>
      </w:r>
    </w:p>
    <w:p w14:paraId="02FCEB03">
      <w:pPr>
        <w:spacing w:before="102" w:line="219" w:lineRule="auto"/>
        <w:ind w:left="1842"/>
        <w:rPr>
          <w:rFonts w:ascii="宋体" w:hAnsi="宋体" w:eastAsia="宋体" w:cs="宋体"/>
          <w:sz w:val="20"/>
          <w:szCs w:val="20"/>
        </w:rPr>
      </w:pPr>
      <w:r>
        <w:rPr>
          <w:rFonts w:ascii="宋体" w:hAnsi="宋体" w:eastAsia="宋体" w:cs="宋体"/>
          <w:b/>
          <w:bCs/>
          <w:color w:val="307080"/>
          <w:spacing w:val="21"/>
          <w:sz w:val="20"/>
          <w:szCs w:val="20"/>
        </w:rPr>
        <w:t>2)开挖竣工测量</w:t>
      </w:r>
    </w:p>
    <w:p w14:paraId="4823B9B0">
      <w:pPr>
        <w:spacing w:before="44" w:line="297" w:lineRule="auto"/>
        <w:ind w:left="1410" w:right="1011" w:firstLine="429"/>
        <w:rPr>
          <w:rFonts w:ascii="宋体" w:hAnsi="宋体" w:eastAsia="宋体" w:cs="宋体"/>
          <w:sz w:val="20"/>
          <w:szCs w:val="20"/>
        </w:rPr>
      </w:pPr>
      <w:r>
        <w:rPr>
          <w:rFonts w:ascii="宋体" w:hAnsi="宋体" w:eastAsia="宋体" w:cs="宋体"/>
          <w:spacing w:val="13"/>
          <w:sz w:val="20"/>
          <w:szCs w:val="20"/>
        </w:rPr>
        <w:t>主体工程开挖到建基面时，应及时实测建基面地形图，亦可测绘高程平</w:t>
      </w:r>
      <w:r>
        <w:rPr>
          <w:rFonts w:ascii="宋体" w:hAnsi="宋体" w:eastAsia="宋体" w:cs="宋体"/>
          <w:spacing w:val="12"/>
          <w:sz w:val="20"/>
          <w:szCs w:val="20"/>
        </w:rPr>
        <w:t>面图，比</w:t>
      </w:r>
      <w:r>
        <w:rPr>
          <w:rFonts w:ascii="宋体" w:hAnsi="宋体" w:eastAsia="宋体" w:cs="宋体"/>
          <w:sz w:val="20"/>
          <w:szCs w:val="20"/>
        </w:rPr>
        <w:t xml:space="preserve"> </w:t>
      </w:r>
      <w:r>
        <w:rPr>
          <w:rFonts w:ascii="宋体" w:hAnsi="宋体" w:eastAsia="宋体" w:cs="宋体"/>
          <w:spacing w:val="11"/>
          <w:sz w:val="20"/>
          <w:szCs w:val="20"/>
        </w:rPr>
        <w:t>例尺一般为1:200。图上应标有建筑物开挖设计边线。</w:t>
      </w:r>
    </w:p>
    <w:p w14:paraId="2DC1C411">
      <w:pPr>
        <w:spacing w:before="3" w:line="221" w:lineRule="auto"/>
        <w:ind w:left="1842"/>
        <w:rPr>
          <w:rFonts w:ascii="黑体" w:hAnsi="黑体" w:eastAsia="黑体" w:cs="黑体"/>
          <w:sz w:val="20"/>
          <w:szCs w:val="20"/>
        </w:rPr>
      </w:pPr>
      <w:r>
        <w:rPr>
          <w:rFonts w:ascii="黑体" w:hAnsi="黑体" w:eastAsia="黑体" w:cs="黑体"/>
          <w:b/>
          <w:bCs/>
          <w:color w:val="407090"/>
          <w:spacing w:val="22"/>
          <w:sz w:val="20"/>
          <w:szCs w:val="20"/>
        </w:rPr>
        <w:t>3)填筑竣工测量</w:t>
      </w:r>
    </w:p>
    <w:p w14:paraId="6865DC60">
      <w:pPr>
        <w:spacing w:before="65" w:line="291" w:lineRule="auto"/>
        <w:ind w:left="1410" w:right="1014" w:firstLine="429"/>
        <w:rPr>
          <w:rFonts w:ascii="宋体" w:hAnsi="宋体" w:eastAsia="宋体" w:cs="宋体"/>
          <w:sz w:val="20"/>
          <w:szCs w:val="20"/>
        </w:rPr>
      </w:pPr>
      <w:r>
        <w:rPr>
          <w:rFonts w:ascii="宋体" w:hAnsi="宋体" w:eastAsia="宋体" w:cs="宋体"/>
          <w:spacing w:val="13"/>
          <w:sz w:val="20"/>
          <w:szCs w:val="20"/>
        </w:rPr>
        <w:t>单项填筑工程竣工时，应测绘建筑物的高程平面图或纵横断面</w:t>
      </w:r>
      <w:r>
        <w:rPr>
          <w:rFonts w:ascii="宋体" w:hAnsi="宋体" w:eastAsia="宋体" w:cs="宋体"/>
          <w:spacing w:val="12"/>
          <w:sz w:val="20"/>
          <w:szCs w:val="20"/>
        </w:rPr>
        <w:t>图，其比例尺不应</w:t>
      </w:r>
      <w:r>
        <w:rPr>
          <w:rFonts w:ascii="宋体" w:hAnsi="宋体" w:eastAsia="宋体" w:cs="宋体"/>
          <w:sz w:val="20"/>
          <w:szCs w:val="20"/>
        </w:rPr>
        <w:t xml:space="preserve"> </w:t>
      </w:r>
      <w:r>
        <w:rPr>
          <w:rFonts w:ascii="宋体" w:hAnsi="宋体" w:eastAsia="宋体" w:cs="宋体"/>
          <w:spacing w:val="5"/>
          <w:sz w:val="20"/>
          <w:szCs w:val="20"/>
        </w:rPr>
        <w:t>小于施工详图。</w:t>
      </w:r>
    </w:p>
    <w:p w14:paraId="1BFF8AC6">
      <w:pPr>
        <w:spacing w:before="10" w:line="288" w:lineRule="auto"/>
        <w:ind w:left="1410" w:right="1015" w:firstLine="429"/>
        <w:rPr>
          <w:rFonts w:ascii="宋体" w:hAnsi="宋体" w:eastAsia="宋体" w:cs="宋体"/>
          <w:sz w:val="20"/>
          <w:szCs w:val="20"/>
        </w:rPr>
      </w:pPr>
      <w:r>
        <w:rPr>
          <w:rFonts w:ascii="宋体" w:hAnsi="宋体" w:eastAsia="宋体" w:cs="宋体"/>
          <w:spacing w:val="13"/>
          <w:sz w:val="20"/>
          <w:szCs w:val="20"/>
        </w:rPr>
        <w:t>土、石坝在心墙、斜墙、坝壳填筑过程中，每上料两层，须进</w:t>
      </w:r>
      <w:r>
        <w:rPr>
          <w:rFonts w:ascii="宋体" w:hAnsi="宋体" w:eastAsia="宋体" w:cs="宋体"/>
          <w:spacing w:val="12"/>
          <w:sz w:val="20"/>
          <w:szCs w:val="20"/>
        </w:rPr>
        <w:t>行一次边线测量并</w:t>
      </w:r>
      <w:r>
        <w:rPr>
          <w:rFonts w:ascii="宋体" w:hAnsi="宋体" w:eastAsia="宋体" w:cs="宋体"/>
          <w:sz w:val="20"/>
          <w:szCs w:val="20"/>
        </w:rPr>
        <w:t xml:space="preserve"> </w:t>
      </w:r>
      <w:r>
        <w:rPr>
          <w:rFonts w:ascii="宋体" w:hAnsi="宋体" w:eastAsia="宋体" w:cs="宋体"/>
          <w:spacing w:val="4"/>
          <w:sz w:val="20"/>
          <w:szCs w:val="20"/>
        </w:rPr>
        <w:t>绘成图表为竣工时备用。</w:t>
      </w:r>
    </w:p>
    <w:p w14:paraId="297B9CC1">
      <w:pPr>
        <w:spacing w:before="41" w:line="221" w:lineRule="auto"/>
        <w:ind w:left="1842"/>
        <w:rPr>
          <w:rFonts w:ascii="黑体" w:hAnsi="黑体" w:eastAsia="黑体" w:cs="黑体"/>
          <w:sz w:val="20"/>
          <w:szCs w:val="20"/>
        </w:rPr>
      </w:pPr>
      <w:r>
        <w:rPr>
          <w:rFonts w:ascii="黑体" w:hAnsi="黑体" w:eastAsia="黑体" w:cs="黑体"/>
          <w:b/>
          <w:bCs/>
          <w:color w:val="4080A0"/>
          <w:spacing w:val="18"/>
          <w:sz w:val="20"/>
          <w:szCs w:val="20"/>
        </w:rPr>
        <w:t>4)过流部位的形体测量</w:t>
      </w:r>
    </w:p>
    <w:p w14:paraId="232220F6">
      <w:pPr>
        <w:spacing w:before="44" w:line="288" w:lineRule="auto"/>
        <w:ind w:left="1410" w:right="1012" w:firstLine="429"/>
        <w:jc w:val="both"/>
        <w:rPr>
          <w:rFonts w:ascii="宋体" w:hAnsi="宋体" w:eastAsia="宋体" w:cs="宋体"/>
          <w:sz w:val="20"/>
          <w:szCs w:val="20"/>
        </w:rPr>
      </w:pPr>
      <w:r>
        <w:rPr>
          <w:rFonts w:ascii="宋体" w:hAnsi="宋体" w:eastAsia="宋体" w:cs="宋体"/>
          <w:spacing w:val="9"/>
          <w:sz w:val="20"/>
          <w:szCs w:val="20"/>
        </w:rPr>
        <w:t>(1)需要进行形体测量的部位有：溢洪道、泄水坝段的溢流面、机组的进水口、蜗</w:t>
      </w:r>
      <w:r>
        <w:rPr>
          <w:rFonts w:ascii="宋体" w:hAnsi="宋体" w:eastAsia="宋体" w:cs="宋体"/>
          <w:spacing w:val="16"/>
          <w:sz w:val="20"/>
          <w:szCs w:val="20"/>
        </w:rPr>
        <w:t xml:space="preserve"> </w:t>
      </w:r>
      <w:r>
        <w:rPr>
          <w:rFonts w:ascii="宋体" w:hAnsi="宋体" w:eastAsia="宋体" w:cs="宋体"/>
          <w:spacing w:val="7"/>
          <w:sz w:val="20"/>
          <w:szCs w:val="20"/>
        </w:rPr>
        <w:t>壳锥管、扩散段；闸孔的门槽附近，闸墩尾部，护坦曲线段、斜坡段，闸室底板及闸墩</w:t>
      </w:r>
      <w:r>
        <w:rPr>
          <w:rFonts w:ascii="宋体" w:hAnsi="宋体" w:eastAsia="宋体" w:cs="宋体"/>
          <w:spacing w:val="10"/>
          <w:sz w:val="20"/>
          <w:szCs w:val="20"/>
        </w:rPr>
        <w:t xml:space="preserve"> </w:t>
      </w:r>
      <w:r>
        <w:rPr>
          <w:rFonts w:ascii="宋体" w:hAnsi="宋体" w:eastAsia="宋体" w:cs="宋体"/>
          <w:spacing w:val="23"/>
          <w:sz w:val="20"/>
          <w:szCs w:val="20"/>
        </w:rPr>
        <w:t>(岸墙)等。</w:t>
      </w:r>
    </w:p>
    <w:p w14:paraId="2E6AF4C6">
      <w:pPr>
        <w:pStyle w:val="2"/>
        <w:spacing w:line="241" w:lineRule="auto"/>
      </w:pPr>
    </w:p>
    <w:p w14:paraId="2B031FF2">
      <w:pPr>
        <w:pStyle w:val="2"/>
        <w:spacing w:line="241" w:lineRule="auto"/>
      </w:pPr>
    </w:p>
    <w:p w14:paraId="4B67A5CB">
      <w:pPr>
        <w:spacing w:line="189" w:lineRule="auto"/>
        <w:rPr>
          <w:rFonts w:ascii="宋体" w:hAnsi="宋体" w:eastAsia="宋体" w:cs="宋体"/>
          <w:sz w:val="20"/>
          <w:szCs w:val="20"/>
        </w:rPr>
        <w:sectPr>
          <w:pgSz w:w="10320" w:h="14590"/>
          <w:pgMar w:top="22" w:right="16" w:bottom="10" w:left="0" w:header="0" w:footer="0" w:gutter="0"/>
          <w:cols w:space="720" w:num="1"/>
        </w:sectPr>
      </w:pPr>
    </w:p>
    <w:p w14:paraId="47D0D30A">
      <w:pPr>
        <w:pStyle w:val="2"/>
        <w:spacing w:line="439" w:lineRule="auto"/>
      </w:pPr>
    </w:p>
    <w:p w14:paraId="274D0EC0">
      <w:pPr>
        <w:spacing w:before="55" w:line="222" w:lineRule="auto"/>
        <w:ind w:left="979"/>
        <w:rPr>
          <w:rFonts w:ascii="黑体" w:hAnsi="黑体" w:eastAsia="黑体" w:cs="黑体"/>
          <w:sz w:val="17"/>
          <w:szCs w:val="17"/>
        </w:rPr>
      </w:pPr>
      <w:r>
        <w:rPr>
          <w:rFonts w:ascii="黑体" w:hAnsi="黑体" w:eastAsia="黑体" w:cs="黑体"/>
          <w:spacing w:val="-8"/>
          <w:sz w:val="17"/>
          <w:szCs w:val="17"/>
          <w:u w:val="single" w:color="auto"/>
        </w:rPr>
        <w:t>1 0</w:t>
      </w:r>
      <w:r>
        <w:rPr>
          <w:rFonts w:ascii="黑体" w:hAnsi="黑体" w:eastAsia="黑体" w:cs="黑体"/>
          <w:spacing w:val="4"/>
          <w:sz w:val="17"/>
          <w:szCs w:val="17"/>
          <w:u w:val="single" w:color="auto"/>
        </w:rPr>
        <w:t xml:space="preserve">      </w:t>
      </w:r>
      <w:r>
        <w:rPr>
          <w:rFonts w:ascii="黑体" w:hAnsi="黑体" w:eastAsia="黑体" w:cs="黑体"/>
          <w:spacing w:val="-8"/>
          <w:sz w:val="17"/>
          <w:szCs w:val="17"/>
          <w:u w:val="single" w:color="auto"/>
        </w:rPr>
        <w:t>第 1 篇</w:t>
      </w:r>
      <w:r>
        <w:rPr>
          <w:rFonts w:ascii="黑体" w:hAnsi="黑体" w:eastAsia="黑体" w:cs="黑体"/>
          <w:spacing w:val="12"/>
          <w:sz w:val="17"/>
          <w:szCs w:val="17"/>
          <w:u w:val="single" w:color="auto"/>
        </w:rPr>
        <w:t xml:space="preserve">    </w:t>
      </w:r>
      <w:r>
        <w:rPr>
          <w:rFonts w:ascii="黑体" w:hAnsi="黑体" w:eastAsia="黑体" w:cs="黑体"/>
          <w:spacing w:val="-8"/>
          <w:sz w:val="17"/>
          <w:szCs w:val="17"/>
          <w:u w:val="single" w:color="auto"/>
        </w:rPr>
        <w:t>水 利 水 电 工</w:t>
      </w:r>
      <w:r>
        <w:rPr>
          <w:rFonts w:ascii="黑体" w:hAnsi="黑体" w:eastAsia="黑体" w:cs="黑体"/>
          <w:spacing w:val="-9"/>
          <w:sz w:val="17"/>
          <w:szCs w:val="17"/>
          <w:u w:val="single" w:color="auto"/>
        </w:rPr>
        <w:t xml:space="preserve"> </w:t>
      </w:r>
      <w:r>
        <w:rPr>
          <w:rFonts w:ascii="黑体" w:hAnsi="黑体" w:eastAsia="黑体" w:cs="黑体"/>
          <w:spacing w:val="-8"/>
          <w:sz w:val="17"/>
          <w:szCs w:val="17"/>
          <w:u w:val="single" w:color="auto"/>
        </w:rPr>
        <w:t>程 技</w:t>
      </w:r>
      <w:r>
        <w:rPr>
          <w:rFonts w:ascii="黑体" w:hAnsi="黑体" w:eastAsia="黑体" w:cs="黑体"/>
          <w:spacing w:val="-10"/>
          <w:sz w:val="17"/>
          <w:szCs w:val="17"/>
          <w:u w:val="single" w:color="auto"/>
        </w:rPr>
        <w:t xml:space="preserve"> </w:t>
      </w:r>
      <w:r>
        <w:rPr>
          <w:rFonts w:ascii="黑体" w:hAnsi="黑体" w:eastAsia="黑体" w:cs="黑体"/>
          <w:spacing w:val="-8"/>
          <w:sz w:val="17"/>
          <w:szCs w:val="17"/>
          <w:u w:val="single" w:color="auto"/>
        </w:rPr>
        <w:t>术</w:t>
      </w:r>
      <w:r>
        <w:rPr>
          <w:rFonts w:ascii="黑体" w:hAnsi="黑体" w:eastAsia="黑体" w:cs="黑体"/>
          <w:sz w:val="17"/>
          <w:szCs w:val="17"/>
          <w:u w:val="single" w:color="auto"/>
        </w:rPr>
        <w:t xml:space="preserve">                                                   </w:t>
      </w:r>
    </w:p>
    <w:p w14:paraId="6710930B">
      <w:pPr>
        <w:spacing w:before="236" w:line="261" w:lineRule="auto"/>
        <w:ind w:left="979" w:right="1487" w:firstLine="410"/>
        <w:rPr>
          <w:rFonts w:ascii="宋体" w:hAnsi="宋体" w:eastAsia="宋体" w:cs="宋体"/>
          <w:sz w:val="21"/>
          <w:szCs w:val="21"/>
        </w:rPr>
      </w:pPr>
      <w:r>
        <w:rPr>
          <w:rFonts w:ascii="宋体" w:hAnsi="宋体" w:eastAsia="宋体" w:cs="宋体"/>
          <w:spacing w:val="5"/>
          <w:sz w:val="21"/>
          <w:szCs w:val="21"/>
        </w:rPr>
        <w:t>(2)过流部位的形体测量，除断面测量外，也可采用光电测距极坐标法，测量散</w:t>
      </w:r>
      <w:r>
        <w:rPr>
          <w:rFonts w:ascii="宋体" w:hAnsi="宋体" w:eastAsia="宋体" w:cs="宋体"/>
          <w:spacing w:val="2"/>
          <w:sz w:val="21"/>
          <w:szCs w:val="21"/>
        </w:rPr>
        <w:t xml:space="preserve"> </w:t>
      </w:r>
      <w:r>
        <w:rPr>
          <w:rFonts w:ascii="宋体" w:hAnsi="宋体" w:eastAsia="宋体" w:cs="宋体"/>
          <w:spacing w:val="-4"/>
          <w:sz w:val="21"/>
          <w:szCs w:val="21"/>
        </w:rPr>
        <w:t>点的三维坐标。散点的密度，可根据建筑物的形体特征确定，水平段可以稀</w:t>
      </w:r>
      <w:r>
        <w:rPr>
          <w:rFonts w:ascii="宋体" w:hAnsi="宋体" w:eastAsia="宋体" w:cs="宋体"/>
          <w:spacing w:val="-5"/>
          <w:sz w:val="21"/>
          <w:szCs w:val="21"/>
        </w:rPr>
        <w:t>一些，曲线</w:t>
      </w:r>
      <w:r>
        <w:rPr>
          <w:rFonts w:ascii="宋体" w:hAnsi="宋体" w:eastAsia="宋体" w:cs="宋体"/>
          <w:sz w:val="21"/>
          <w:szCs w:val="21"/>
        </w:rPr>
        <w:t xml:space="preserve"> </w:t>
      </w:r>
      <w:r>
        <w:rPr>
          <w:rFonts w:ascii="宋体" w:hAnsi="宋体" w:eastAsia="宋体" w:cs="宋体"/>
          <w:spacing w:val="-4"/>
          <w:sz w:val="21"/>
          <w:szCs w:val="21"/>
        </w:rPr>
        <w:t>段、斜坡段宜加密。</w:t>
      </w:r>
    </w:p>
    <w:p w14:paraId="6E409250">
      <w:pPr>
        <w:spacing w:before="61" w:line="258" w:lineRule="auto"/>
        <w:ind w:left="979" w:right="1478" w:firstLine="410"/>
        <w:rPr>
          <w:rFonts w:ascii="宋体" w:hAnsi="宋体" w:eastAsia="宋体" w:cs="宋体"/>
          <w:sz w:val="21"/>
          <w:szCs w:val="21"/>
        </w:rPr>
      </w:pPr>
      <w:r>
        <w:rPr>
          <w:rFonts w:ascii="宋体" w:hAnsi="宋体" w:eastAsia="宋体" w:cs="宋体"/>
          <w:spacing w:val="5"/>
          <w:sz w:val="21"/>
          <w:szCs w:val="21"/>
        </w:rPr>
        <w:t>(3)竣工测量的成果，除了整理绘制成果表外，还必须按解析法的要求计算各测</w:t>
      </w:r>
      <w:r>
        <w:rPr>
          <w:rFonts w:ascii="宋体" w:hAnsi="宋体" w:eastAsia="宋体" w:cs="宋体"/>
          <w:spacing w:val="11"/>
          <w:sz w:val="21"/>
          <w:szCs w:val="21"/>
        </w:rPr>
        <w:t xml:space="preserve"> </w:t>
      </w:r>
      <w:r>
        <w:rPr>
          <w:rFonts w:ascii="宋体" w:hAnsi="宋体" w:eastAsia="宋体" w:cs="宋体"/>
          <w:spacing w:val="-4"/>
          <w:sz w:val="21"/>
          <w:szCs w:val="21"/>
        </w:rPr>
        <w:t>点的三维坐标值。在提供成果时，除提供图纸外，还应提供坐标</w:t>
      </w:r>
      <w:r>
        <w:rPr>
          <w:rFonts w:ascii="宋体" w:hAnsi="宋体" w:eastAsia="宋体" w:cs="宋体"/>
          <w:spacing w:val="-5"/>
          <w:sz w:val="21"/>
          <w:szCs w:val="21"/>
        </w:rPr>
        <w:t>实测值。</w:t>
      </w:r>
    </w:p>
    <w:p w14:paraId="56DC6363">
      <w:pPr>
        <w:spacing w:before="58" w:line="222" w:lineRule="auto"/>
        <w:ind w:left="1393"/>
        <w:rPr>
          <w:rFonts w:ascii="黑体" w:hAnsi="黑体" w:eastAsia="黑体" w:cs="黑体"/>
          <w:sz w:val="21"/>
          <w:szCs w:val="21"/>
        </w:rPr>
      </w:pPr>
      <w:r>
        <w:rPr>
          <w:rFonts w:ascii="黑体" w:hAnsi="黑体" w:eastAsia="黑体" w:cs="黑体"/>
          <w:b/>
          <w:bCs/>
          <w:color w:val="207080"/>
          <w:spacing w:val="18"/>
          <w:sz w:val="21"/>
          <w:szCs w:val="21"/>
        </w:rPr>
        <w:t>5)测量误差</w:t>
      </w:r>
    </w:p>
    <w:p w14:paraId="54715275">
      <w:pPr>
        <w:spacing w:before="72" w:line="219" w:lineRule="auto"/>
        <w:ind w:left="1390"/>
        <w:rPr>
          <w:rFonts w:ascii="宋体" w:hAnsi="宋体" w:eastAsia="宋体" w:cs="宋体"/>
          <w:sz w:val="21"/>
          <w:szCs w:val="21"/>
        </w:rPr>
      </w:pPr>
      <w:r>
        <w:rPr>
          <w:rFonts w:ascii="宋体" w:hAnsi="宋体" w:eastAsia="宋体" w:cs="宋体"/>
          <w:spacing w:val="9"/>
          <w:sz w:val="21"/>
          <w:szCs w:val="21"/>
        </w:rPr>
        <w:t>(1)误差产生的原因</w:t>
      </w:r>
    </w:p>
    <w:p w14:paraId="2809524A">
      <w:pPr>
        <w:spacing w:before="49" w:line="285" w:lineRule="auto"/>
        <w:ind w:left="979" w:right="1390" w:firstLine="410"/>
        <w:rPr>
          <w:rFonts w:ascii="宋体" w:hAnsi="宋体" w:eastAsia="宋体" w:cs="宋体"/>
          <w:sz w:val="21"/>
          <w:szCs w:val="21"/>
        </w:rPr>
      </w:pPr>
      <w:r>
        <w:rPr>
          <w:rFonts w:ascii="宋体" w:hAnsi="宋体" w:eastAsia="宋体" w:cs="宋体"/>
          <w:spacing w:val="2"/>
          <w:sz w:val="21"/>
          <w:szCs w:val="21"/>
        </w:rPr>
        <w:t>在实际工作中真值不易测定，</w:t>
      </w:r>
      <w:r>
        <w:rPr>
          <w:rFonts w:ascii="宋体" w:hAnsi="宋体" w:eastAsia="宋体" w:cs="宋体"/>
          <w:spacing w:val="-1"/>
          <w:sz w:val="21"/>
          <w:szCs w:val="21"/>
        </w:rPr>
        <w:t xml:space="preserve"> </w:t>
      </w:r>
      <w:r>
        <w:rPr>
          <w:rFonts w:ascii="宋体" w:hAnsi="宋体" w:eastAsia="宋体" w:cs="宋体"/>
          <w:spacing w:val="2"/>
          <w:sz w:val="21"/>
          <w:szCs w:val="21"/>
        </w:rPr>
        <w:t>一般把某一量的准确值与其近似值之差称为误差。</w:t>
      </w:r>
      <w:r>
        <w:rPr>
          <w:rFonts w:ascii="宋体" w:hAnsi="宋体" w:eastAsia="宋体" w:cs="宋体"/>
          <w:sz w:val="21"/>
          <w:szCs w:val="21"/>
        </w:rPr>
        <w:t xml:space="preserve"> </w:t>
      </w:r>
      <w:r>
        <w:rPr>
          <w:rFonts w:ascii="宋体" w:hAnsi="宋体" w:eastAsia="宋体" w:cs="宋体"/>
          <w:spacing w:val="-5"/>
          <w:sz w:val="21"/>
          <w:szCs w:val="21"/>
        </w:rPr>
        <w:t>产生测量误差的原因，概括起来有以下三个方面：</w:t>
      </w:r>
    </w:p>
    <w:p w14:paraId="722679FD">
      <w:pPr>
        <w:spacing w:before="1" w:line="217" w:lineRule="auto"/>
        <w:ind w:left="1390"/>
        <w:rPr>
          <w:rFonts w:ascii="宋体" w:hAnsi="宋体" w:eastAsia="宋体" w:cs="宋体"/>
          <w:sz w:val="21"/>
          <w:szCs w:val="21"/>
        </w:rPr>
      </w:pPr>
      <w:r>
        <w:rPr>
          <w:rFonts w:ascii="宋体" w:hAnsi="宋体" w:eastAsia="宋体" w:cs="宋体"/>
          <w:spacing w:val="2"/>
          <w:sz w:val="21"/>
          <w:szCs w:val="21"/>
        </w:rPr>
        <w:t>①人的原因。</w:t>
      </w:r>
    </w:p>
    <w:p w14:paraId="51F6E141">
      <w:pPr>
        <w:spacing w:before="73" w:line="217" w:lineRule="auto"/>
        <w:ind w:left="1390"/>
        <w:rPr>
          <w:rFonts w:ascii="宋体" w:hAnsi="宋体" w:eastAsia="宋体" w:cs="宋体"/>
          <w:sz w:val="21"/>
          <w:szCs w:val="21"/>
        </w:rPr>
      </w:pPr>
      <w:r>
        <w:rPr>
          <w:rFonts w:ascii="宋体" w:hAnsi="宋体" w:eastAsia="宋体" w:cs="宋体"/>
          <w:spacing w:val="6"/>
          <w:sz w:val="21"/>
          <w:szCs w:val="21"/>
        </w:rPr>
        <w:t>②仪器的原因。</w:t>
      </w:r>
    </w:p>
    <w:p w14:paraId="7C86151D">
      <w:pPr>
        <w:spacing w:before="73" w:line="217" w:lineRule="auto"/>
        <w:ind w:left="1390"/>
        <w:rPr>
          <w:rFonts w:ascii="宋体" w:hAnsi="宋体" w:eastAsia="宋体" w:cs="宋体"/>
          <w:sz w:val="21"/>
          <w:szCs w:val="21"/>
        </w:rPr>
      </w:pPr>
      <w:r>
        <w:rPr>
          <w:rFonts w:ascii="宋体" w:hAnsi="宋体" w:eastAsia="宋体" w:cs="宋体"/>
          <w:spacing w:val="1"/>
          <w:sz w:val="21"/>
          <w:szCs w:val="21"/>
        </w:rPr>
        <w:t>③外界环境的影响。</w:t>
      </w:r>
    </w:p>
    <w:p w14:paraId="67F61BF6">
      <w:pPr>
        <w:spacing w:before="66" w:line="219" w:lineRule="auto"/>
        <w:ind w:left="1390"/>
        <w:rPr>
          <w:rFonts w:ascii="宋体" w:hAnsi="宋体" w:eastAsia="宋体" w:cs="宋体"/>
          <w:sz w:val="21"/>
          <w:szCs w:val="21"/>
        </w:rPr>
      </w:pPr>
      <w:r>
        <w:rPr>
          <w:rFonts w:ascii="宋体" w:hAnsi="宋体" w:eastAsia="宋体" w:cs="宋体"/>
          <w:spacing w:val="5"/>
          <w:sz w:val="21"/>
          <w:szCs w:val="21"/>
        </w:rPr>
        <w:t>(2)误差的分类与处理原则</w:t>
      </w:r>
    </w:p>
    <w:p w14:paraId="3A2CE2AC">
      <w:pPr>
        <w:spacing w:before="59" w:line="272" w:lineRule="auto"/>
        <w:ind w:left="979" w:right="1485" w:firstLine="410"/>
        <w:rPr>
          <w:rFonts w:ascii="宋体" w:hAnsi="宋体" w:eastAsia="宋体" w:cs="宋体"/>
          <w:sz w:val="21"/>
          <w:szCs w:val="21"/>
        </w:rPr>
      </w:pPr>
      <w:r>
        <w:rPr>
          <w:rFonts w:ascii="宋体" w:hAnsi="宋体" w:eastAsia="宋体" w:cs="宋体"/>
          <w:spacing w:val="2"/>
          <w:sz w:val="21"/>
          <w:szCs w:val="21"/>
        </w:rPr>
        <w:t>误差按其产生的原因和对观测结果影响性质的不同，可以分为系统误差、偶然误</w:t>
      </w:r>
      <w:r>
        <w:rPr>
          <w:rFonts w:ascii="宋体" w:hAnsi="宋体" w:eastAsia="宋体" w:cs="宋体"/>
          <w:spacing w:val="9"/>
          <w:sz w:val="21"/>
          <w:szCs w:val="21"/>
        </w:rPr>
        <w:t xml:space="preserve"> </w:t>
      </w:r>
      <w:r>
        <w:rPr>
          <w:rFonts w:ascii="宋体" w:hAnsi="宋体" w:eastAsia="宋体" w:cs="宋体"/>
          <w:spacing w:val="-6"/>
          <w:sz w:val="21"/>
          <w:szCs w:val="21"/>
        </w:rPr>
        <w:t>差和粗差三类。</w:t>
      </w:r>
    </w:p>
    <w:p w14:paraId="6E3D9BBD">
      <w:pPr>
        <w:spacing w:line="260" w:lineRule="auto"/>
        <w:ind w:left="979" w:right="1485" w:firstLine="410"/>
        <w:rPr>
          <w:rFonts w:ascii="宋体" w:hAnsi="宋体" w:eastAsia="宋体" w:cs="宋体"/>
          <w:sz w:val="21"/>
          <w:szCs w:val="21"/>
        </w:rPr>
      </w:pPr>
      <w:r>
        <w:rPr>
          <w:rFonts w:ascii="宋体" w:hAnsi="宋体" w:eastAsia="宋体" w:cs="宋体"/>
          <w:spacing w:val="2"/>
          <w:sz w:val="21"/>
          <w:szCs w:val="21"/>
        </w:rPr>
        <w:t>①系统误差：在相同的观测条件下，对某一量进行一系列的观测，如果出现的误</w:t>
      </w:r>
      <w:r>
        <w:rPr>
          <w:rFonts w:ascii="宋体" w:hAnsi="宋体" w:eastAsia="宋体" w:cs="宋体"/>
          <w:spacing w:val="9"/>
          <w:sz w:val="21"/>
          <w:szCs w:val="21"/>
        </w:rPr>
        <w:t xml:space="preserve"> </w:t>
      </w:r>
      <w:r>
        <w:rPr>
          <w:rFonts w:ascii="宋体" w:hAnsi="宋体" w:eastAsia="宋体" w:cs="宋体"/>
          <w:spacing w:val="-7"/>
          <w:sz w:val="21"/>
          <w:szCs w:val="21"/>
        </w:rPr>
        <w:t>差在符号和数值上都相同，或按一定的规律变化，这种误差称为“系统误差”。</w:t>
      </w:r>
    </w:p>
    <w:p w14:paraId="770640FD">
      <w:pPr>
        <w:spacing w:before="78" w:line="242" w:lineRule="auto"/>
        <w:ind w:left="979" w:right="1440" w:firstLine="410"/>
        <w:rPr>
          <w:rFonts w:ascii="宋体" w:hAnsi="宋体" w:eastAsia="宋体" w:cs="宋体"/>
          <w:sz w:val="21"/>
          <w:szCs w:val="21"/>
        </w:rPr>
      </w:pPr>
      <w:r>
        <w:rPr>
          <w:rFonts w:ascii="宋体" w:hAnsi="宋体" w:eastAsia="宋体" w:cs="宋体"/>
          <w:spacing w:val="2"/>
          <w:sz w:val="21"/>
          <w:szCs w:val="21"/>
        </w:rPr>
        <w:t>②偶然误差：在相同的观测条件下，对某一量进行一系列的观测，如果误差出现</w:t>
      </w:r>
      <w:r>
        <w:rPr>
          <w:rFonts w:ascii="宋体" w:hAnsi="宋体" w:eastAsia="宋体" w:cs="宋体"/>
          <w:spacing w:val="7"/>
          <w:sz w:val="21"/>
          <w:szCs w:val="21"/>
        </w:rPr>
        <w:t xml:space="preserve"> </w:t>
      </w:r>
      <w:r>
        <w:rPr>
          <w:rFonts w:ascii="宋体" w:hAnsi="宋体" w:eastAsia="宋体" w:cs="宋体"/>
          <w:spacing w:val="-8"/>
          <w:sz w:val="21"/>
          <w:szCs w:val="21"/>
        </w:rPr>
        <w:t>的符号和数值大小都不相同，从表面上看没有任何规律性，这种误差称为“偶然误差”。</w:t>
      </w:r>
    </w:p>
    <w:p w14:paraId="0B62E318">
      <w:pPr>
        <w:spacing w:before="80" w:line="217" w:lineRule="auto"/>
        <w:ind w:left="1390"/>
        <w:rPr>
          <w:rFonts w:ascii="宋体" w:hAnsi="宋体" w:eastAsia="宋体" w:cs="宋体"/>
          <w:sz w:val="21"/>
          <w:szCs w:val="21"/>
        </w:rPr>
      </w:pPr>
      <w:r>
        <w:rPr>
          <w:rFonts w:ascii="宋体" w:hAnsi="宋体" w:eastAsia="宋体" w:cs="宋体"/>
          <w:spacing w:val="-2"/>
          <w:sz w:val="21"/>
          <w:szCs w:val="21"/>
        </w:rPr>
        <w:t>③粗差：由于观测者粗心或者受到干扰所造成的错误。</w:t>
      </w:r>
    </w:p>
    <w:p w14:paraId="45082A04">
      <w:pPr>
        <w:spacing w:before="55" w:line="284" w:lineRule="auto"/>
        <w:ind w:left="979" w:right="1508" w:firstLine="410"/>
        <w:rPr>
          <w:rFonts w:ascii="宋体" w:hAnsi="宋体" w:eastAsia="宋体" w:cs="宋体"/>
          <w:sz w:val="21"/>
          <w:szCs w:val="21"/>
        </w:rPr>
      </w:pPr>
      <w:r>
        <w:rPr>
          <w:rFonts w:ascii="宋体" w:hAnsi="宋体" w:eastAsia="宋体" w:cs="宋体"/>
          <w:spacing w:val="2"/>
          <w:sz w:val="21"/>
          <w:szCs w:val="21"/>
        </w:rPr>
        <w:t>误差处理原则：粗差是大于限差的误差，是由于</w:t>
      </w:r>
      <w:r>
        <w:rPr>
          <w:rFonts w:ascii="宋体" w:hAnsi="宋体" w:eastAsia="宋体" w:cs="宋体"/>
          <w:spacing w:val="1"/>
          <w:sz w:val="21"/>
          <w:szCs w:val="21"/>
        </w:rPr>
        <w:t>观测者的粗心大意或受到干扰所</w:t>
      </w:r>
      <w:r>
        <w:rPr>
          <w:rFonts w:ascii="宋体" w:hAnsi="宋体" w:eastAsia="宋体" w:cs="宋体"/>
          <w:sz w:val="21"/>
          <w:szCs w:val="21"/>
        </w:rPr>
        <w:t xml:space="preserve"> </w:t>
      </w:r>
      <w:r>
        <w:rPr>
          <w:rFonts w:ascii="宋体" w:hAnsi="宋体" w:eastAsia="宋体" w:cs="宋体"/>
          <w:spacing w:val="-4"/>
          <w:sz w:val="21"/>
          <w:szCs w:val="21"/>
        </w:rPr>
        <w:t>造成的错误。错误应该可以避免，包含有错误的观测</w:t>
      </w:r>
      <w:r>
        <w:rPr>
          <w:rFonts w:ascii="宋体" w:hAnsi="宋体" w:eastAsia="宋体" w:cs="宋体"/>
          <w:spacing w:val="-5"/>
          <w:sz w:val="21"/>
          <w:szCs w:val="21"/>
        </w:rPr>
        <w:t>值应该舍弃，并重新进行观测。</w:t>
      </w:r>
    </w:p>
    <w:p w14:paraId="2F0C4CB8">
      <w:pPr>
        <w:spacing w:before="1" w:line="220" w:lineRule="auto"/>
        <w:ind w:left="1393"/>
        <w:rPr>
          <w:rFonts w:ascii="黑体" w:hAnsi="黑体" w:eastAsia="黑体" w:cs="黑体"/>
          <w:sz w:val="21"/>
          <w:szCs w:val="21"/>
        </w:rPr>
      </w:pPr>
      <w:r>
        <w:rPr>
          <w:rFonts w:ascii="黑体" w:hAnsi="黑体" w:eastAsia="黑体" w:cs="黑体"/>
          <w:b/>
          <w:bCs/>
          <w:color w:val="208090"/>
          <w:spacing w:val="18"/>
          <w:sz w:val="21"/>
          <w:szCs w:val="21"/>
        </w:rPr>
        <w:t>6)资料整编</w:t>
      </w:r>
    </w:p>
    <w:p w14:paraId="0121C1D5">
      <w:pPr>
        <w:spacing w:before="62" w:line="254" w:lineRule="auto"/>
        <w:ind w:left="979" w:right="1484" w:firstLine="410"/>
        <w:rPr>
          <w:rFonts w:ascii="宋体" w:hAnsi="宋体" w:eastAsia="宋体" w:cs="宋体"/>
          <w:sz w:val="21"/>
          <w:szCs w:val="21"/>
        </w:rPr>
      </w:pPr>
      <w:r>
        <w:rPr>
          <w:rFonts w:ascii="宋体" w:hAnsi="宋体" w:eastAsia="宋体" w:cs="宋体"/>
          <w:spacing w:val="5"/>
          <w:sz w:val="21"/>
          <w:szCs w:val="21"/>
        </w:rPr>
        <w:t xml:space="preserve">(1)竣工图的编绘，应与设计平面布置图相对应，图表应按竣工管理部门的统一 </w:t>
      </w:r>
      <w:r>
        <w:rPr>
          <w:rFonts w:ascii="宋体" w:hAnsi="宋体" w:eastAsia="宋体" w:cs="宋体"/>
          <w:spacing w:val="-5"/>
          <w:sz w:val="21"/>
          <w:szCs w:val="21"/>
        </w:rPr>
        <w:t>图幅规格选用，分类装订成册，并附必要的文字说明。</w:t>
      </w:r>
    </w:p>
    <w:p w14:paraId="1369863B">
      <w:pPr>
        <w:spacing w:before="51" w:line="261" w:lineRule="auto"/>
        <w:ind w:left="979" w:right="1478" w:firstLine="410"/>
        <w:rPr>
          <w:rFonts w:ascii="宋体" w:hAnsi="宋体" w:eastAsia="宋体" w:cs="宋体"/>
          <w:sz w:val="21"/>
          <w:szCs w:val="21"/>
        </w:rPr>
      </w:pPr>
      <w:r>
        <w:rPr>
          <w:rFonts w:ascii="宋体" w:hAnsi="宋体" w:eastAsia="宋体" w:cs="宋体"/>
          <w:spacing w:val="5"/>
          <w:sz w:val="21"/>
          <w:szCs w:val="21"/>
        </w:rPr>
        <w:t>(2)竣工地形图应该注明图幅的坐标系统、高程系统、测图方法、比例尺、制图</w:t>
      </w:r>
      <w:r>
        <w:rPr>
          <w:rFonts w:ascii="宋体" w:hAnsi="宋体" w:eastAsia="宋体" w:cs="宋体"/>
          <w:spacing w:val="11"/>
          <w:sz w:val="21"/>
          <w:szCs w:val="21"/>
        </w:rPr>
        <w:t xml:space="preserve"> </w:t>
      </w:r>
      <w:r>
        <w:rPr>
          <w:rFonts w:ascii="宋体" w:hAnsi="宋体" w:eastAsia="宋体" w:cs="宋体"/>
          <w:spacing w:val="-5"/>
          <w:sz w:val="21"/>
          <w:szCs w:val="21"/>
        </w:rPr>
        <w:t>日期等基本数据。对于竣工纵、横断面图，必须注明断面桩号、断面中心桩坐标</w:t>
      </w:r>
      <w:r>
        <w:rPr>
          <w:rFonts w:ascii="宋体" w:hAnsi="宋体" w:eastAsia="宋体" w:cs="宋体"/>
          <w:spacing w:val="-6"/>
          <w:sz w:val="21"/>
          <w:szCs w:val="21"/>
        </w:rPr>
        <w:t>、断面</w:t>
      </w:r>
      <w:r>
        <w:rPr>
          <w:rFonts w:ascii="宋体" w:hAnsi="宋体" w:eastAsia="宋体" w:cs="宋体"/>
          <w:sz w:val="21"/>
          <w:szCs w:val="21"/>
        </w:rPr>
        <w:t xml:space="preserve"> </w:t>
      </w:r>
      <w:r>
        <w:rPr>
          <w:rFonts w:ascii="宋体" w:hAnsi="宋体" w:eastAsia="宋体" w:cs="宋体"/>
          <w:spacing w:val="-5"/>
          <w:sz w:val="21"/>
          <w:szCs w:val="21"/>
        </w:rPr>
        <w:t>方向、比例尺，并附有断面位置示意图。</w:t>
      </w:r>
    </w:p>
    <w:p w14:paraId="55633BB4">
      <w:pPr>
        <w:spacing w:before="267" w:line="222" w:lineRule="auto"/>
        <w:ind w:left="982"/>
        <w:rPr>
          <w:rFonts w:ascii="黑体" w:hAnsi="黑体" w:eastAsia="黑体" w:cs="黑体"/>
          <w:sz w:val="21"/>
          <w:szCs w:val="21"/>
        </w:rPr>
      </w:pPr>
      <w:r>
        <w:rPr>
          <w:rFonts w:ascii="宋体" w:hAnsi="宋体" w:eastAsia="宋体" w:cs="宋体"/>
          <w:b/>
          <w:bCs/>
          <w:color w:val="2090B0"/>
          <w:spacing w:val="21"/>
          <w:sz w:val="21"/>
          <w:szCs w:val="21"/>
        </w:rPr>
        <w:t>1.1.3</w:t>
      </w:r>
      <w:r>
        <w:rPr>
          <w:rFonts w:ascii="宋体" w:hAnsi="宋体" w:eastAsia="宋体" w:cs="宋体"/>
          <w:color w:val="2090B0"/>
          <w:spacing w:val="21"/>
          <w:sz w:val="21"/>
          <w:szCs w:val="21"/>
        </w:rPr>
        <w:t xml:space="preserve">   </w:t>
      </w:r>
      <w:r>
        <w:rPr>
          <w:rFonts w:ascii="黑体" w:hAnsi="黑体" w:eastAsia="黑体" w:cs="黑体"/>
          <w:b/>
          <w:bCs/>
          <w:color w:val="2090B0"/>
          <w:spacing w:val="21"/>
          <w:sz w:val="21"/>
          <w:szCs w:val="21"/>
        </w:rPr>
        <w:t>水利水电工程地质与水文地</w:t>
      </w:r>
      <w:r>
        <w:rPr>
          <w:rFonts w:ascii="黑体" w:hAnsi="黑体" w:eastAsia="黑体" w:cs="黑体"/>
          <w:b/>
          <w:bCs/>
          <w:color w:val="2090B0"/>
          <w:spacing w:val="20"/>
          <w:sz w:val="21"/>
          <w:szCs w:val="21"/>
        </w:rPr>
        <w:t>质条件及分析</w:t>
      </w:r>
    </w:p>
    <w:p w14:paraId="297DC18D">
      <w:pPr>
        <w:spacing w:before="198" w:line="222" w:lineRule="auto"/>
        <w:ind w:left="1393"/>
        <w:rPr>
          <w:rFonts w:ascii="黑体" w:hAnsi="黑体" w:eastAsia="黑体" w:cs="黑体"/>
          <w:sz w:val="21"/>
          <w:szCs w:val="21"/>
        </w:rPr>
      </w:pPr>
      <w:r>
        <w:rPr>
          <w:rFonts w:ascii="宋体" w:hAnsi="宋体" w:eastAsia="宋体" w:cs="宋体"/>
          <w:b/>
          <w:bCs/>
          <w:color w:val="308090"/>
          <w:spacing w:val="7"/>
          <w:sz w:val="21"/>
          <w:szCs w:val="21"/>
        </w:rPr>
        <w:t>1.</w:t>
      </w:r>
      <w:r>
        <w:rPr>
          <w:rFonts w:ascii="黑体" w:hAnsi="黑体" w:eastAsia="黑体" w:cs="黑体"/>
          <w:b/>
          <w:bCs/>
          <w:color w:val="308090"/>
          <w:spacing w:val="7"/>
          <w:sz w:val="21"/>
          <w:szCs w:val="21"/>
        </w:rPr>
        <w:t>地质构造及地震</w:t>
      </w:r>
    </w:p>
    <w:p w14:paraId="0ABFE7E1">
      <w:pPr>
        <w:spacing w:before="52" w:line="281" w:lineRule="auto"/>
        <w:ind w:left="979" w:right="1440" w:firstLine="410"/>
        <w:jc w:val="both"/>
        <w:rPr>
          <w:rFonts w:ascii="宋体" w:hAnsi="宋体" w:eastAsia="宋体" w:cs="宋体"/>
          <w:sz w:val="21"/>
          <w:szCs w:val="21"/>
        </w:rPr>
      </w:pPr>
      <w:r>
        <w:rPr>
          <w:rFonts w:ascii="宋体" w:hAnsi="宋体" w:eastAsia="宋体" w:cs="宋体"/>
          <w:spacing w:val="4"/>
          <w:sz w:val="21"/>
          <w:szCs w:val="21"/>
        </w:rPr>
        <w:t>地质构造指由于地球内部动力引起组成岩石</w:t>
      </w:r>
      <w:r>
        <w:rPr>
          <w:rFonts w:ascii="宋体" w:hAnsi="宋体" w:eastAsia="宋体" w:cs="宋体"/>
          <w:spacing w:val="3"/>
          <w:sz w:val="21"/>
          <w:szCs w:val="21"/>
        </w:rPr>
        <w:t>圈物质机械运动而遗留下来的形态，</w:t>
      </w:r>
      <w:r>
        <w:rPr>
          <w:rFonts w:ascii="宋体" w:hAnsi="宋体" w:eastAsia="宋体" w:cs="宋体"/>
          <w:sz w:val="21"/>
          <w:szCs w:val="21"/>
        </w:rPr>
        <w:t xml:space="preserve"> </w:t>
      </w:r>
      <w:r>
        <w:rPr>
          <w:rFonts w:ascii="宋体" w:hAnsi="宋体" w:eastAsia="宋体" w:cs="宋体"/>
          <w:spacing w:val="-4"/>
          <w:sz w:val="21"/>
          <w:szCs w:val="21"/>
        </w:rPr>
        <w:t>是构造运动在岩石圈中留下的行迹。地质构造按构造形态可分为倾斜构造、褶皱构造和</w:t>
      </w:r>
      <w:r>
        <w:rPr>
          <w:rFonts w:ascii="宋体" w:hAnsi="宋体" w:eastAsia="宋体" w:cs="宋体"/>
          <w:spacing w:val="17"/>
          <w:sz w:val="21"/>
          <w:szCs w:val="21"/>
        </w:rPr>
        <w:t xml:space="preserve"> </w:t>
      </w:r>
      <w:r>
        <w:rPr>
          <w:rFonts w:ascii="宋体" w:hAnsi="宋体" w:eastAsia="宋体" w:cs="宋体"/>
          <w:spacing w:val="-5"/>
          <w:sz w:val="21"/>
          <w:szCs w:val="21"/>
        </w:rPr>
        <w:t>断裂构造三种类型。</w:t>
      </w:r>
    </w:p>
    <w:p w14:paraId="1D1202EE">
      <w:pPr>
        <w:spacing w:before="3" w:line="260" w:lineRule="auto"/>
        <w:ind w:left="979" w:right="1411" w:firstLine="410"/>
        <w:rPr>
          <w:rFonts w:ascii="宋体" w:hAnsi="宋体" w:eastAsia="宋体" w:cs="宋体"/>
          <w:sz w:val="21"/>
          <w:szCs w:val="21"/>
        </w:rPr>
      </w:pPr>
      <w:r>
        <w:rPr>
          <w:rFonts w:ascii="宋体" w:hAnsi="宋体" w:eastAsia="宋体" w:cs="宋体"/>
          <w:spacing w:val="1"/>
          <w:sz w:val="21"/>
          <w:szCs w:val="21"/>
        </w:rPr>
        <w:t>(1)经构造变动，水平状态岩层与水平面成一定角度的倾斜岩层，称为倾斜构造。</w:t>
      </w:r>
      <w:r>
        <w:rPr>
          <w:rFonts w:ascii="宋体" w:hAnsi="宋体" w:eastAsia="宋体" w:cs="宋体"/>
          <w:spacing w:val="11"/>
          <w:sz w:val="21"/>
          <w:szCs w:val="21"/>
        </w:rPr>
        <w:t xml:space="preserve"> </w:t>
      </w:r>
      <w:r>
        <w:rPr>
          <w:rFonts w:ascii="宋体" w:hAnsi="宋体" w:eastAsia="宋体" w:cs="宋体"/>
          <w:spacing w:val="-4"/>
          <w:sz w:val="21"/>
          <w:szCs w:val="21"/>
        </w:rPr>
        <w:t>当这种变形极微弱时，岩层往往保留了原始的水平状态，也称为水平构造，一般发育于</w:t>
      </w:r>
      <w:r>
        <w:rPr>
          <w:rFonts w:ascii="宋体" w:hAnsi="宋体" w:eastAsia="宋体" w:cs="宋体"/>
          <w:spacing w:val="13"/>
          <w:sz w:val="21"/>
          <w:szCs w:val="21"/>
        </w:rPr>
        <w:t xml:space="preserve"> </w:t>
      </w:r>
      <w:r>
        <w:rPr>
          <w:rFonts w:ascii="宋体" w:hAnsi="宋体" w:eastAsia="宋体" w:cs="宋体"/>
          <w:spacing w:val="-4"/>
          <w:sz w:val="21"/>
          <w:szCs w:val="21"/>
        </w:rPr>
        <w:t>地壳运动影响轻微，大面积均匀隆起或凹陷的地区。</w:t>
      </w:r>
    </w:p>
    <w:p w14:paraId="13587844">
      <w:pPr>
        <w:spacing w:before="61" w:line="254" w:lineRule="auto"/>
        <w:ind w:left="979" w:right="1485" w:firstLine="410"/>
        <w:rPr>
          <w:rFonts w:ascii="宋体" w:hAnsi="宋体" w:eastAsia="宋体" w:cs="宋体"/>
          <w:sz w:val="21"/>
          <w:szCs w:val="21"/>
        </w:rPr>
      </w:pPr>
      <w:r>
        <w:rPr>
          <w:rFonts w:ascii="宋体" w:hAnsi="宋体" w:eastAsia="宋体" w:cs="宋体"/>
          <w:spacing w:val="5"/>
          <w:sz w:val="21"/>
          <w:szCs w:val="21"/>
        </w:rPr>
        <w:t>(2)褶皱构造指组成地壳的岩层受构造应力作用，使岩层形成一系列波状弯曲而</w:t>
      </w:r>
      <w:r>
        <w:rPr>
          <w:rFonts w:ascii="宋体" w:hAnsi="宋体" w:eastAsia="宋体" w:cs="宋体"/>
          <w:spacing w:val="4"/>
          <w:sz w:val="21"/>
          <w:szCs w:val="21"/>
        </w:rPr>
        <w:t xml:space="preserve"> </w:t>
      </w:r>
      <w:r>
        <w:rPr>
          <w:rFonts w:ascii="宋体" w:hAnsi="宋体" w:eastAsia="宋体" w:cs="宋体"/>
          <w:spacing w:val="-5"/>
          <w:sz w:val="21"/>
          <w:szCs w:val="21"/>
        </w:rPr>
        <w:t>未丧失其连续性的构造，其基本类型包括背斜和向斜两种。</w:t>
      </w:r>
    </w:p>
    <w:p w14:paraId="01096BA4">
      <w:pPr>
        <w:spacing w:line="254" w:lineRule="auto"/>
        <w:rPr>
          <w:rFonts w:ascii="宋体" w:hAnsi="宋体" w:eastAsia="宋体" w:cs="宋体"/>
          <w:sz w:val="21"/>
          <w:szCs w:val="21"/>
        </w:rPr>
        <w:sectPr>
          <w:headerReference r:id="rId14" w:type="default"/>
          <w:footerReference r:id="rId15" w:type="default"/>
          <w:pgSz w:w="10320" w:h="14590"/>
          <w:pgMar w:top="328" w:right="13" w:bottom="235" w:left="0" w:header="5" w:footer="0" w:gutter="0"/>
          <w:cols w:space="720" w:num="1"/>
        </w:sectPr>
      </w:pPr>
    </w:p>
    <w:p w14:paraId="74F426C1">
      <w:pPr>
        <w:spacing w:line="212" w:lineRule="auto"/>
        <w:ind w:left="289"/>
        <w:rPr>
          <w:rFonts w:ascii="宋体" w:hAnsi="宋体" w:eastAsia="宋体" w:cs="宋体"/>
          <w:sz w:val="23"/>
          <w:szCs w:val="23"/>
        </w:rPr>
      </w:pPr>
      <w:r>
        <w:rPr>
          <w:rFonts w:hint="eastAsia" w:ascii="宋体" w:hAnsi="宋体" w:eastAsia="宋体" w:cs="宋体"/>
          <w:b/>
          <w:bCs/>
          <w:spacing w:val="11"/>
          <w:sz w:val="23"/>
          <w:szCs w:val="23"/>
          <w:lang w:eastAsia="zh-CN"/>
        </w:rPr>
        <w:t>大鱼社区</w:t>
      </w:r>
      <w:r>
        <w:rPr>
          <w:rFonts w:ascii="宋体" w:hAnsi="宋体" w:eastAsia="宋体" w:cs="宋体"/>
          <w:b/>
          <w:bCs/>
          <w:spacing w:val="11"/>
          <w:sz w:val="23"/>
          <w:szCs w:val="23"/>
        </w:rPr>
        <w:t>助你备考：少走弯路，快速通关!认准</w:t>
      </w:r>
      <w:r>
        <w:rPr>
          <w:rFonts w:ascii="Times New Roman" w:hAnsi="Times New Roman" w:eastAsia="Times New Roman" w:cs="Times New Roman"/>
          <w:b/>
          <w:bCs/>
          <w:sz w:val="23"/>
          <w:szCs w:val="23"/>
        </w:rPr>
        <w:t>VX</w:t>
      </w:r>
      <w:r>
        <w:rPr>
          <w:rFonts w:ascii="Times New Roman" w:hAnsi="Times New Roman" w:eastAsia="Times New Roman" w:cs="Times New Roman"/>
          <w:b/>
          <w:bCs/>
          <w:spacing w:val="11"/>
          <w:sz w:val="23"/>
          <w:szCs w:val="23"/>
        </w:rPr>
        <w:t>:</w:t>
      </w:r>
      <w:r>
        <w:rPr>
          <w:rFonts w:hint="eastAsia" w:ascii="Times New Roman" w:hAnsi="Times New Roman" w:eastAsia="宋体" w:cs="Times New Roman"/>
          <w:b/>
          <w:bCs/>
          <w:sz w:val="23"/>
          <w:szCs w:val="23"/>
          <w:lang w:eastAsia="zh-CN"/>
        </w:rPr>
        <w:t>dayu_nm_cn</w:t>
      </w:r>
      <w:r>
        <w:rPr>
          <w:rFonts w:ascii="Times New Roman" w:hAnsi="Times New Roman" w:eastAsia="Times New Roman" w:cs="Times New Roman"/>
          <w:b/>
          <w:bCs/>
          <w:spacing w:val="10"/>
          <w:sz w:val="23"/>
          <w:szCs w:val="23"/>
        </w:rPr>
        <w:t xml:space="preserve">   </w:t>
      </w:r>
      <w:r>
        <w:rPr>
          <w:rFonts w:ascii="宋体" w:hAnsi="宋体" w:eastAsia="宋体" w:cs="宋体"/>
          <w:b/>
          <w:bCs/>
          <w:spacing w:val="10"/>
          <w:sz w:val="23"/>
          <w:szCs w:val="23"/>
        </w:rPr>
        <w:t>(天道酬勤，白嫖勿扰</w:t>
      </w:r>
      <w:r>
        <w:rPr>
          <w:rFonts w:ascii="宋体" w:hAnsi="宋体" w:eastAsia="宋体" w:cs="宋体"/>
          <w:spacing w:val="10"/>
          <w:sz w:val="23"/>
          <w:szCs w:val="23"/>
        </w:rPr>
        <w:t>)</w:t>
      </w:r>
    </w:p>
    <w:p w14:paraId="173838C3">
      <w:pPr>
        <w:pStyle w:val="2"/>
        <w:spacing w:line="372" w:lineRule="auto"/>
      </w:pPr>
    </w:p>
    <w:p w14:paraId="23A17513">
      <w:pPr>
        <w:tabs>
          <w:tab w:val="left" w:pos="5165"/>
        </w:tabs>
        <w:spacing w:before="65" w:line="222" w:lineRule="auto"/>
        <w:ind w:left="1396"/>
        <w:rPr>
          <w:rFonts w:ascii="黑体" w:hAnsi="黑体" w:eastAsia="黑体" w:cs="黑体"/>
          <w:sz w:val="20"/>
          <w:szCs w:val="20"/>
        </w:rPr>
      </w:pPr>
      <w:r>
        <w:rPr>
          <w:rFonts w:ascii="黑体" w:hAnsi="黑体" w:eastAsia="黑体" w:cs="黑体"/>
          <w:sz w:val="20"/>
          <w:szCs w:val="20"/>
          <w:u w:val="single" w:color="auto"/>
        </w:rPr>
        <w:tab/>
      </w:r>
      <w:r>
        <w:rPr>
          <w:rFonts w:ascii="黑体" w:hAnsi="黑体" w:eastAsia="黑体" w:cs="黑体"/>
          <w:spacing w:val="32"/>
          <w:sz w:val="20"/>
          <w:szCs w:val="20"/>
          <w:u w:val="single" w:color="auto"/>
        </w:rPr>
        <w:t>第1章</w:t>
      </w:r>
      <w:r>
        <w:rPr>
          <w:rFonts w:ascii="黑体" w:hAnsi="黑体" w:eastAsia="黑体" w:cs="黑体"/>
          <w:spacing w:val="100"/>
          <w:sz w:val="20"/>
          <w:szCs w:val="20"/>
          <w:u w:val="single" w:color="auto"/>
        </w:rPr>
        <w:t xml:space="preserve"> </w:t>
      </w:r>
      <w:r>
        <w:rPr>
          <w:rFonts w:ascii="黑体" w:hAnsi="黑体" w:eastAsia="黑体" w:cs="黑体"/>
          <w:spacing w:val="32"/>
          <w:sz w:val="20"/>
          <w:szCs w:val="20"/>
          <w:u w:val="single" w:color="auto"/>
        </w:rPr>
        <w:t>水利水电工程勘测与设计    11</w:t>
      </w:r>
    </w:p>
    <w:p w14:paraId="3B1E9314">
      <w:pPr>
        <w:spacing w:before="249" w:line="289" w:lineRule="auto"/>
        <w:ind w:left="1396" w:right="1025" w:firstLine="400"/>
        <w:rPr>
          <w:rFonts w:ascii="宋体" w:hAnsi="宋体" w:eastAsia="宋体" w:cs="宋体"/>
          <w:sz w:val="20"/>
          <w:szCs w:val="20"/>
        </w:rPr>
      </w:pPr>
      <w:r>
        <w:rPr>
          <w:rFonts w:ascii="宋体" w:hAnsi="宋体" w:eastAsia="宋体" w:cs="宋体"/>
          <w:spacing w:val="16"/>
          <w:sz w:val="20"/>
          <w:szCs w:val="20"/>
        </w:rPr>
        <w:t>(3)断裂构造指岩层在构造应力作用下，岩层沿着一定方向产生机械破裂，失去</w:t>
      </w:r>
      <w:r>
        <w:rPr>
          <w:rFonts w:ascii="宋体" w:hAnsi="宋体" w:eastAsia="宋体" w:cs="宋体"/>
          <w:spacing w:val="5"/>
          <w:sz w:val="20"/>
          <w:szCs w:val="20"/>
        </w:rPr>
        <w:t xml:space="preserve"> 连续性和完整性，可分为节理、劈理、断层三</w:t>
      </w:r>
      <w:r>
        <w:rPr>
          <w:rFonts w:ascii="宋体" w:hAnsi="宋体" w:eastAsia="宋体" w:cs="宋体"/>
          <w:spacing w:val="4"/>
          <w:sz w:val="20"/>
          <w:szCs w:val="20"/>
        </w:rPr>
        <w:t>类。</w:t>
      </w:r>
    </w:p>
    <w:p w14:paraId="707B75E6">
      <w:pPr>
        <w:spacing w:before="27" w:line="286" w:lineRule="auto"/>
        <w:ind w:left="1396" w:right="937" w:firstLine="400"/>
        <w:jc w:val="both"/>
        <w:rPr>
          <w:rFonts w:ascii="宋体" w:hAnsi="宋体" w:eastAsia="宋体" w:cs="宋体"/>
          <w:sz w:val="20"/>
          <w:szCs w:val="20"/>
        </w:rPr>
      </w:pPr>
      <w:r>
        <w:rPr>
          <w:rFonts w:ascii="宋体" w:hAnsi="宋体" w:eastAsia="宋体" w:cs="宋体"/>
          <w:spacing w:val="10"/>
          <w:sz w:val="20"/>
          <w:szCs w:val="20"/>
        </w:rPr>
        <w:t>地震一般可分为天然地震、人工地震两类。对于天然地震按成因可分为构造地震、</w:t>
      </w:r>
      <w:r>
        <w:rPr>
          <w:rFonts w:ascii="宋体" w:hAnsi="宋体" w:eastAsia="宋体" w:cs="宋体"/>
          <w:spacing w:val="8"/>
          <w:sz w:val="20"/>
          <w:szCs w:val="20"/>
        </w:rPr>
        <w:t xml:space="preserve"> </w:t>
      </w:r>
      <w:r>
        <w:rPr>
          <w:rFonts w:ascii="宋体" w:hAnsi="宋体" w:eastAsia="宋体" w:cs="宋体"/>
          <w:spacing w:val="7"/>
          <w:sz w:val="20"/>
          <w:szCs w:val="20"/>
        </w:rPr>
        <w:t>火山地震、陷落地震；人工地震指由人类活动诱发的地面震动，如爆破、巨石坠落、水</w:t>
      </w:r>
      <w:r>
        <w:rPr>
          <w:rFonts w:ascii="宋体" w:hAnsi="宋体" w:eastAsia="宋体" w:cs="宋体"/>
          <w:spacing w:val="6"/>
          <w:sz w:val="20"/>
          <w:szCs w:val="20"/>
        </w:rPr>
        <w:t xml:space="preserve">  </w:t>
      </w:r>
      <w:r>
        <w:rPr>
          <w:rFonts w:ascii="宋体" w:hAnsi="宋体" w:eastAsia="宋体" w:cs="宋体"/>
          <w:spacing w:val="10"/>
          <w:sz w:val="20"/>
          <w:szCs w:val="20"/>
        </w:rPr>
        <w:t>库蓄水等。据目前统计，全世界因蓄水诱发地震的水库有110多座。因此在工程的可行</w:t>
      </w:r>
      <w:r>
        <w:rPr>
          <w:rFonts w:ascii="宋体" w:hAnsi="宋体" w:eastAsia="宋体" w:cs="宋体"/>
          <w:spacing w:val="9"/>
          <w:sz w:val="20"/>
          <w:szCs w:val="20"/>
        </w:rPr>
        <w:t xml:space="preserve"> </w:t>
      </w:r>
      <w:r>
        <w:rPr>
          <w:rFonts w:ascii="宋体" w:hAnsi="宋体" w:eastAsia="宋体" w:cs="宋体"/>
          <w:spacing w:val="7"/>
          <w:sz w:val="20"/>
          <w:szCs w:val="20"/>
        </w:rPr>
        <w:t>性研究阶段预测可能发生水库诱发地震时，应对可能性较大的地段进行工程地质和地震  地质论证，校核可能发震库段的诱震条件，预测发震地段、类型和强度，并对工程建筑</w:t>
      </w:r>
      <w:r>
        <w:rPr>
          <w:rFonts w:ascii="宋体" w:hAnsi="宋体" w:eastAsia="宋体" w:cs="宋体"/>
          <w:spacing w:val="5"/>
          <w:sz w:val="20"/>
          <w:szCs w:val="20"/>
        </w:rPr>
        <w:t xml:space="preserve">  </w:t>
      </w:r>
      <w:r>
        <w:rPr>
          <w:rFonts w:ascii="宋体" w:hAnsi="宋体" w:eastAsia="宋体" w:cs="宋体"/>
          <w:spacing w:val="3"/>
          <w:sz w:val="20"/>
          <w:szCs w:val="20"/>
        </w:rPr>
        <w:t>物的影响作出评价。</w:t>
      </w:r>
    </w:p>
    <w:p w14:paraId="189361EB">
      <w:pPr>
        <w:spacing w:before="25" w:line="222" w:lineRule="auto"/>
        <w:ind w:left="1800"/>
        <w:rPr>
          <w:rFonts w:ascii="黑体" w:hAnsi="黑体" w:eastAsia="黑体" w:cs="黑体"/>
          <w:sz w:val="23"/>
          <w:szCs w:val="23"/>
        </w:rPr>
      </w:pPr>
      <w:r>
        <w:rPr>
          <w:rFonts w:ascii="宋体" w:hAnsi="宋体" w:eastAsia="宋体" w:cs="宋体"/>
          <w:b/>
          <w:bCs/>
          <w:color w:val="5090A0"/>
          <w:spacing w:val="-8"/>
          <w:sz w:val="23"/>
          <w:szCs w:val="23"/>
        </w:rPr>
        <w:t>2.</w:t>
      </w:r>
      <w:r>
        <w:rPr>
          <w:rFonts w:ascii="黑体" w:hAnsi="黑体" w:eastAsia="黑体" w:cs="黑体"/>
          <w:b/>
          <w:bCs/>
          <w:color w:val="5090A0"/>
          <w:spacing w:val="-8"/>
          <w:sz w:val="23"/>
          <w:szCs w:val="23"/>
        </w:rPr>
        <w:t>边坡的工程地质条件分析</w:t>
      </w:r>
    </w:p>
    <w:p w14:paraId="6DCEF753">
      <w:pPr>
        <w:spacing w:before="52" w:line="221" w:lineRule="auto"/>
        <w:ind w:left="1799"/>
        <w:rPr>
          <w:rFonts w:ascii="黑体" w:hAnsi="黑体" w:eastAsia="黑体" w:cs="黑体"/>
          <w:sz w:val="20"/>
          <w:szCs w:val="20"/>
        </w:rPr>
      </w:pPr>
      <w:r>
        <w:rPr>
          <w:rFonts w:ascii="黑体" w:hAnsi="黑体" w:eastAsia="黑体" w:cs="黑体"/>
          <w:b/>
          <w:bCs/>
          <w:color w:val="4080A0"/>
          <w:spacing w:val="15"/>
          <w:sz w:val="20"/>
          <w:szCs w:val="20"/>
        </w:rPr>
        <w:t>1)边坡变形破坏的类型和特征</w:t>
      </w:r>
    </w:p>
    <w:p w14:paraId="06E9CAE1">
      <w:pPr>
        <w:spacing w:before="73" w:line="296" w:lineRule="auto"/>
        <w:ind w:left="1396" w:right="1029" w:firstLine="400"/>
        <w:rPr>
          <w:rFonts w:ascii="宋体" w:hAnsi="宋体" w:eastAsia="宋体" w:cs="宋体"/>
          <w:sz w:val="20"/>
          <w:szCs w:val="20"/>
        </w:rPr>
      </w:pPr>
      <w:r>
        <w:rPr>
          <w:rFonts w:ascii="宋体" w:hAnsi="宋体" w:eastAsia="宋体" w:cs="宋体"/>
          <w:spacing w:val="14"/>
          <w:sz w:val="20"/>
          <w:szCs w:val="20"/>
        </w:rPr>
        <w:t>常见的边坡变形破坏主要有松弛张裂、蠕变、崩</w:t>
      </w:r>
      <w:r>
        <w:rPr>
          <w:rFonts w:ascii="宋体" w:hAnsi="宋体" w:eastAsia="宋体" w:cs="宋体"/>
          <w:spacing w:val="13"/>
          <w:sz w:val="20"/>
          <w:szCs w:val="20"/>
        </w:rPr>
        <w:t>塌、滑坡四种类型。此外尚有坍</w:t>
      </w:r>
      <w:r>
        <w:rPr>
          <w:rFonts w:ascii="宋体" w:hAnsi="宋体" w:eastAsia="宋体" w:cs="宋体"/>
          <w:sz w:val="20"/>
          <w:szCs w:val="20"/>
        </w:rPr>
        <w:t xml:space="preserve"> </w:t>
      </w:r>
      <w:r>
        <w:rPr>
          <w:rFonts w:ascii="宋体" w:hAnsi="宋体" w:eastAsia="宋体" w:cs="宋体"/>
          <w:spacing w:val="5"/>
          <w:sz w:val="20"/>
          <w:szCs w:val="20"/>
        </w:rPr>
        <w:t>滑、错落、倾倒等过渡类型，另外泥石流也是一种边坡变形破坏的类型。</w:t>
      </w:r>
    </w:p>
    <w:p w14:paraId="639A11AE">
      <w:pPr>
        <w:spacing w:before="2" w:line="287" w:lineRule="auto"/>
        <w:ind w:left="1396" w:right="1005" w:firstLine="400"/>
        <w:jc w:val="both"/>
        <w:rPr>
          <w:rFonts w:ascii="宋体" w:hAnsi="宋体" w:eastAsia="宋体" w:cs="宋体"/>
          <w:sz w:val="20"/>
          <w:szCs w:val="20"/>
        </w:rPr>
      </w:pPr>
      <w:r>
        <w:rPr>
          <w:rFonts w:ascii="宋体" w:hAnsi="宋体" w:eastAsia="宋体" w:cs="宋体"/>
          <w:spacing w:val="14"/>
          <w:sz w:val="20"/>
          <w:szCs w:val="20"/>
        </w:rPr>
        <w:t>松弛张裂：是指由于临谷部位的岩体被冲刷侵蚀或人工开挖，使边坡岩</w:t>
      </w:r>
      <w:r>
        <w:rPr>
          <w:rFonts w:ascii="宋体" w:hAnsi="宋体" w:eastAsia="宋体" w:cs="宋体"/>
          <w:spacing w:val="13"/>
          <w:sz w:val="20"/>
          <w:szCs w:val="20"/>
        </w:rPr>
        <w:t>体失去约</w:t>
      </w:r>
      <w:r>
        <w:rPr>
          <w:rFonts w:ascii="宋体" w:hAnsi="宋体" w:eastAsia="宋体" w:cs="宋体"/>
          <w:sz w:val="20"/>
          <w:szCs w:val="20"/>
        </w:rPr>
        <w:t xml:space="preserve"> </w:t>
      </w:r>
      <w:r>
        <w:rPr>
          <w:rFonts w:ascii="宋体" w:hAnsi="宋体" w:eastAsia="宋体" w:cs="宋体"/>
          <w:spacing w:val="8"/>
          <w:sz w:val="20"/>
          <w:szCs w:val="20"/>
        </w:rPr>
        <w:t>束，应力重新调整分布，从而使岸坡岩体发生向临空面方向的回弹变形及产生</w:t>
      </w:r>
      <w:r>
        <w:rPr>
          <w:rFonts w:ascii="宋体" w:hAnsi="宋体" w:eastAsia="宋体" w:cs="宋体"/>
          <w:spacing w:val="7"/>
          <w:sz w:val="20"/>
          <w:szCs w:val="20"/>
        </w:rPr>
        <w:t>近平行于</w:t>
      </w:r>
      <w:r>
        <w:rPr>
          <w:rFonts w:ascii="宋体" w:hAnsi="宋体" w:eastAsia="宋体" w:cs="宋体"/>
          <w:sz w:val="20"/>
          <w:szCs w:val="20"/>
        </w:rPr>
        <w:t xml:space="preserve"> </w:t>
      </w:r>
      <w:r>
        <w:rPr>
          <w:rFonts w:ascii="宋体" w:hAnsi="宋体" w:eastAsia="宋体" w:cs="宋体"/>
          <w:spacing w:val="2"/>
          <w:sz w:val="20"/>
          <w:szCs w:val="20"/>
        </w:rPr>
        <w:t>边坡的拉张裂隙，</w:t>
      </w:r>
      <w:r>
        <w:rPr>
          <w:rFonts w:ascii="宋体" w:hAnsi="宋体" w:eastAsia="宋体" w:cs="宋体"/>
          <w:spacing w:val="-30"/>
          <w:sz w:val="20"/>
          <w:szCs w:val="20"/>
        </w:rPr>
        <w:t xml:space="preserve"> </w:t>
      </w:r>
      <w:r>
        <w:rPr>
          <w:rFonts w:ascii="宋体" w:hAnsi="宋体" w:eastAsia="宋体" w:cs="宋体"/>
          <w:spacing w:val="2"/>
          <w:sz w:val="20"/>
          <w:szCs w:val="20"/>
        </w:rPr>
        <w:t>一般称为边坡卸荷裂隙。</w:t>
      </w:r>
    </w:p>
    <w:p w14:paraId="001CBF56">
      <w:pPr>
        <w:spacing w:before="16" w:line="288" w:lineRule="auto"/>
        <w:ind w:left="1396" w:right="1027" w:firstLine="400"/>
        <w:rPr>
          <w:rFonts w:ascii="宋体" w:hAnsi="宋体" w:eastAsia="宋体" w:cs="宋体"/>
          <w:sz w:val="20"/>
          <w:szCs w:val="20"/>
        </w:rPr>
      </w:pPr>
      <w:r>
        <w:rPr>
          <w:rFonts w:ascii="宋体" w:hAnsi="宋体" w:eastAsia="宋体" w:cs="宋体"/>
          <w:spacing w:val="13"/>
          <w:sz w:val="20"/>
          <w:szCs w:val="20"/>
        </w:rPr>
        <w:t>蠕变：是指边坡岩(土)体主要在重力作用下向临空方向发生长期缓慢的塑性变形</w:t>
      </w:r>
      <w:r>
        <w:rPr>
          <w:rFonts w:ascii="宋体" w:hAnsi="宋体" w:eastAsia="宋体" w:cs="宋体"/>
          <w:spacing w:val="10"/>
          <w:sz w:val="20"/>
          <w:szCs w:val="20"/>
        </w:rPr>
        <w:t xml:space="preserve"> </w:t>
      </w:r>
      <w:r>
        <w:rPr>
          <w:rFonts w:ascii="宋体" w:hAnsi="宋体" w:eastAsia="宋体" w:cs="宋体"/>
          <w:spacing w:val="4"/>
          <w:sz w:val="20"/>
          <w:szCs w:val="20"/>
        </w:rPr>
        <w:t>的现象，有表层蠕动和深层蠕动两种类型。</w:t>
      </w:r>
    </w:p>
    <w:p w14:paraId="766EA5A1">
      <w:pPr>
        <w:spacing w:before="14" w:line="296" w:lineRule="auto"/>
        <w:ind w:left="1396" w:right="1025" w:firstLine="400"/>
        <w:rPr>
          <w:rFonts w:ascii="宋体" w:hAnsi="宋体" w:eastAsia="宋体" w:cs="宋体"/>
          <w:sz w:val="20"/>
          <w:szCs w:val="20"/>
        </w:rPr>
      </w:pPr>
      <w:r>
        <w:rPr>
          <w:rFonts w:ascii="宋体" w:hAnsi="宋体" w:eastAsia="宋体" w:cs="宋体"/>
          <w:spacing w:val="13"/>
          <w:sz w:val="20"/>
          <w:szCs w:val="20"/>
        </w:rPr>
        <w:t xml:space="preserve">崩塌：是指较陡边坡上的岩(土)体在重力作用下突然脱离母体崩落、滚动堆积于 </w:t>
      </w:r>
      <w:r>
        <w:rPr>
          <w:rFonts w:ascii="宋体" w:hAnsi="宋体" w:eastAsia="宋体" w:cs="宋体"/>
          <w:spacing w:val="7"/>
          <w:sz w:val="20"/>
          <w:szCs w:val="20"/>
        </w:rPr>
        <w:t>坡脚的地质现象。在坚硬岩体中发生的崩塌也称岩崩，而在土体中发生的则称土崩。</w:t>
      </w:r>
    </w:p>
    <w:p w14:paraId="7AF6C8F3">
      <w:pPr>
        <w:spacing w:before="2" w:line="287" w:lineRule="auto"/>
        <w:ind w:left="1396" w:right="1026" w:firstLine="400"/>
        <w:jc w:val="both"/>
        <w:rPr>
          <w:rFonts w:ascii="宋体" w:hAnsi="宋体" w:eastAsia="宋体" w:cs="宋体"/>
          <w:sz w:val="20"/>
          <w:szCs w:val="20"/>
        </w:rPr>
      </w:pPr>
      <w:r>
        <w:rPr>
          <w:rFonts w:ascii="宋体" w:hAnsi="宋体" w:eastAsia="宋体" w:cs="宋体"/>
          <w:spacing w:val="19"/>
          <w:sz w:val="20"/>
          <w:szCs w:val="20"/>
        </w:rPr>
        <w:t>滑坡：是指边坡岩(土)体主要在重力作用下沿贯通的剪切破坏面发生滑动破坏</w:t>
      </w:r>
      <w:r>
        <w:rPr>
          <w:rFonts w:ascii="宋体" w:hAnsi="宋体" w:eastAsia="宋体" w:cs="宋体"/>
          <w:spacing w:val="15"/>
          <w:sz w:val="20"/>
          <w:szCs w:val="20"/>
        </w:rPr>
        <w:t xml:space="preserve"> </w:t>
      </w:r>
      <w:r>
        <w:rPr>
          <w:rFonts w:ascii="宋体" w:hAnsi="宋体" w:eastAsia="宋体" w:cs="宋体"/>
          <w:spacing w:val="7"/>
          <w:sz w:val="20"/>
          <w:szCs w:val="20"/>
        </w:rPr>
        <w:t>的现象。在边坡的破坏形式中，滑坡是分布最广、危害最大的一种。它在坚硬或松软岩</w:t>
      </w:r>
      <w:r>
        <w:rPr>
          <w:rFonts w:ascii="宋体" w:hAnsi="宋体" w:eastAsia="宋体" w:cs="宋体"/>
          <w:spacing w:val="13"/>
          <w:sz w:val="20"/>
          <w:szCs w:val="20"/>
        </w:rPr>
        <w:t xml:space="preserve"> </w:t>
      </w:r>
      <w:r>
        <w:rPr>
          <w:rFonts w:ascii="宋体" w:hAnsi="宋体" w:eastAsia="宋体" w:cs="宋体"/>
          <w:spacing w:val="5"/>
          <w:sz w:val="20"/>
          <w:szCs w:val="20"/>
        </w:rPr>
        <w:t>层、陡倾或缓倾岩层以及陡坡或缓坡地形中均可发生。</w:t>
      </w:r>
    </w:p>
    <w:p w14:paraId="566A8658">
      <w:pPr>
        <w:spacing w:before="33" w:line="222" w:lineRule="auto"/>
        <w:ind w:left="1799"/>
        <w:rPr>
          <w:rFonts w:ascii="黑体" w:hAnsi="黑体" w:eastAsia="黑体" w:cs="黑体"/>
          <w:sz w:val="20"/>
          <w:szCs w:val="20"/>
        </w:rPr>
      </w:pPr>
      <w:r>
        <w:rPr>
          <w:rFonts w:ascii="黑体" w:hAnsi="黑体" w:eastAsia="黑体" w:cs="黑体"/>
          <w:b/>
          <w:bCs/>
          <w:color w:val="4080A0"/>
          <w:spacing w:val="19"/>
          <w:sz w:val="20"/>
          <w:szCs w:val="20"/>
        </w:rPr>
        <w:t>2)影响边坡稳定的因素</w:t>
      </w:r>
    </w:p>
    <w:p w14:paraId="17D8C695">
      <w:pPr>
        <w:spacing w:before="61" w:line="289" w:lineRule="auto"/>
        <w:ind w:left="1396" w:right="1047" w:firstLine="400"/>
        <w:rPr>
          <w:rFonts w:ascii="宋体" w:hAnsi="宋体" w:eastAsia="宋体" w:cs="宋体"/>
          <w:sz w:val="20"/>
          <w:szCs w:val="20"/>
        </w:rPr>
      </w:pPr>
      <w:r>
        <w:rPr>
          <w:rFonts w:ascii="宋体" w:hAnsi="宋体" w:eastAsia="宋体" w:cs="宋体"/>
          <w:spacing w:val="13"/>
          <w:sz w:val="20"/>
          <w:szCs w:val="20"/>
        </w:rPr>
        <w:t>地形地貌条件的影响；岩土类型和性质的影响；地质构造和岩体结构的影响；水</w:t>
      </w:r>
      <w:r>
        <w:rPr>
          <w:rFonts w:ascii="宋体" w:hAnsi="宋体" w:eastAsia="宋体" w:cs="宋体"/>
          <w:spacing w:val="3"/>
          <w:sz w:val="20"/>
          <w:szCs w:val="20"/>
        </w:rPr>
        <w:t xml:space="preserve"> </w:t>
      </w:r>
      <w:r>
        <w:rPr>
          <w:rFonts w:ascii="宋体" w:hAnsi="宋体" w:eastAsia="宋体" w:cs="宋体"/>
          <w:spacing w:val="5"/>
          <w:sz w:val="20"/>
          <w:szCs w:val="20"/>
        </w:rPr>
        <w:t>的影响；其他因素的影响，包括风化因素、人工挖掘、振动、地震等。</w:t>
      </w:r>
    </w:p>
    <w:p w14:paraId="2F6E2CAC">
      <w:pPr>
        <w:spacing w:before="31" w:line="222" w:lineRule="auto"/>
        <w:ind w:left="1799"/>
        <w:rPr>
          <w:rFonts w:ascii="黑体" w:hAnsi="黑体" w:eastAsia="黑体" w:cs="黑体"/>
          <w:sz w:val="20"/>
          <w:szCs w:val="20"/>
        </w:rPr>
      </w:pPr>
      <w:r>
        <w:rPr>
          <w:rFonts w:ascii="宋体" w:hAnsi="宋体" w:eastAsia="宋体" w:cs="宋体"/>
          <w:b/>
          <w:bCs/>
          <w:color w:val="407090"/>
          <w:spacing w:val="15"/>
          <w:sz w:val="20"/>
          <w:szCs w:val="20"/>
        </w:rPr>
        <w:t>3.</w:t>
      </w:r>
      <w:r>
        <w:rPr>
          <w:rFonts w:ascii="宋体" w:hAnsi="宋体" w:eastAsia="宋体" w:cs="宋体"/>
          <w:color w:val="407090"/>
          <w:spacing w:val="-39"/>
          <w:sz w:val="20"/>
          <w:szCs w:val="20"/>
        </w:rPr>
        <w:t xml:space="preserve"> </w:t>
      </w:r>
      <w:r>
        <w:rPr>
          <w:rFonts w:ascii="黑体" w:hAnsi="黑体" w:eastAsia="黑体" w:cs="黑体"/>
          <w:b/>
          <w:bCs/>
          <w:color w:val="407090"/>
          <w:spacing w:val="15"/>
          <w:sz w:val="20"/>
          <w:szCs w:val="20"/>
        </w:rPr>
        <w:t>土质基坑工程地质问题分析</w:t>
      </w:r>
    </w:p>
    <w:p w14:paraId="296827AB">
      <w:pPr>
        <w:spacing w:before="53" w:line="219" w:lineRule="auto"/>
        <w:ind w:left="1796"/>
        <w:rPr>
          <w:rFonts w:ascii="宋体" w:hAnsi="宋体" w:eastAsia="宋体" w:cs="宋体"/>
          <w:sz w:val="20"/>
          <w:szCs w:val="20"/>
        </w:rPr>
      </w:pPr>
      <w:r>
        <w:rPr>
          <w:rFonts w:ascii="宋体" w:hAnsi="宋体" w:eastAsia="宋体" w:cs="宋体"/>
          <w:spacing w:val="8"/>
          <w:sz w:val="20"/>
          <w:szCs w:val="20"/>
        </w:rPr>
        <w:t>1)土质基坑工程地质问题主要包括两个方面：边坡稳定和基坑降排水。</w:t>
      </w:r>
    </w:p>
    <w:p w14:paraId="72A08207">
      <w:pPr>
        <w:spacing w:before="82" w:line="253" w:lineRule="auto"/>
        <w:ind w:left="1396" w:right="1028" w:firstLine="400"/>
        <w:rPr>
          <w:rFonts w:ascii="宋体" w:hAnsi="宋体" w:eastAsia="宋体" w:cs="宋体"/>
          <w:sz w:val="20"/>
          <w:szCs w:val="20"/>
        </w:rPr>
      </w:pPr>
      <w:r>
        <w:rPr>
          <w:rFonts w:ascii="宋体" w:hAnsi="宋体" w:eastAsia="宋体" w:cs="宋体"/>
          <w:spacing w:val="13"/>
          <w:sz w:val="20"/>
          <w:szCs w:val="20"/>
        </w:rPr>
        <w:t>2)在基坑施工中，为防止边坡失稳，保证施工安全，采取的措施有：设置合理坡</w:t>
      </w:r>
      <w:r>
        <w:rPr>
          <w:rFonts w:ascii="宋体" w:hAnsi="宋体" w:eastAsia="宋体" w:cs="宋体"/>
          <w:spacing w:val="10"/>
          <w:sz w:val="20"/>
          <w:szCs w:val="20"/>
        </w:rPr>
        <w:t xml:space="preserve"> </w:t>
      </w:r>
      <w:r>
        <w:rPr>
          <w:rFonts w:ascii="宋体" w:hAnsi="宋体" w:eastAsia="宋体" w:cs="宋体"/>
          <w:spacing w:val="5"/>
          <w:sz w:val="20"/>
          <w:szCs w:val="20"/>
        </w:rPr>
        <w:t>度，设置边坡护面、基坑支护，降低地下水位</w:t>
      </w:r>
      <w:r>
        <w:rPr>
          <w:rFonts w:ascii="宋体" w:hAnsi="宋体" w:eastAsia="宋体" w:cs="宋体"/>
          <w:spacing w:val="4"/>
          <w:sz w:val="20"/>
          <w:szCs w:val="20"/>
        </w:rPr>
        <w:t>等。</w:t>
      </w:r>
    </w:p>
    <w:p w14:paraId="096F6A38">
      <w:pPr>
        <w:spacing w:before="94" w:line="263" w:lineRule="auto"/>
        <w:ind w:left="1396" w:right="977" w:firstLine="400"/>
        <w:rPr>
          <w:rFonts w:ascii="宋体" w:hAnsi="宋体" w:eastAsia="宋体" w:cs="宋体"/>
          <w:sz w:val="20"/>
          <w:szCs w:val="20"/>
        </w:rPr>
      </w:pPr>
      <w:r>
        <w:rPr>
          <w:rFonts w:ascii="宋体" w:hAnsi="宋体" w:eastAsia="宋体" w:cs="宋体"/>
          <w:spacing w:val="15"/>
          <w:sz w:val="20"/>
          <w:szCs w:val="20"/>
        </w:rPr>
        <w:t>3)基坑降排水的目的主要有：增加边坡的稳定性；对于</w:t>
      </w:r>
      <w:r>
        <w:rPr>
          <w:rFonts w:ascii="宋体" w:hAnsi="宋体" w:eastAsia="宋体" w:cs="宋体"/>
          <w:spacing w:val="14"/>
          <w:sz w:val="20"/>
          <w:szCs w:val="20"/>
        </w:rPr>
        <w:t>细砂和粉砂土层的边坡，</w:t>
      </w:r>
      <w:r>
        <w:rPr>
          <w:rFonts w:ascii="宋体" w:hAnsi="宋体" w:eastAsia="宋体" w:cs="宋体"/>
          <w:sz w:val="20"/>
          <w:szCs w:val="20"/>
        </w:rPr>
        <w:t xml:space="preserve"> </w:t>
      </w:r>
      <w:r>
        <w:rPr>
          <w:rFonts w:ascii="宋体" w:hAnsi="宋体" w:eastAsia="宋体" w:cs="宋体"/>
          <w:spacing w:val="7"/>
          <w:sz w:val="20"/>
          <w:szCs w:val="20"/>
        </w:rPr>
        <w:t>防止流砂和管涌的发生；对下卧承压含水层的黏性土基坑，防止基坑底部隆起；保持基</w:t>
      </w:r>
      <w:r>
        <w:rPr>
          <w:rFonts w:ascii="宋体" w:hAnsi="宋体" w:eastAsia="宋体" w:cs="宋体"/>
          <w:spacing w:val="11"/>
          <w:sz w:val="20"/>
          <w:szCs w:val="20"/>
        </w:rPr>
        <w:t xml:space="preserve"> </w:t>
      </w:r>
      <w:r>
        <w:rPr>
          <w:rFonts w:ascii="宋体" w:hAnsi="宋体" w:eastAsia="宋体" w:cs="宋体"/>
          <w:spacing w:val="5"/>
          <w:sz w:val="20"/>
          <w:szCs w:val="20"/>
        </w:rPr>
        <w:t>坑土体干燥，方便施工。</w:t>
      </w:r>
    </w:p>
    <w:p w14:paraId="294BE050">
      <w:pPr>
        <w:spacing w:before="94" w:line="252" w:lineRule="auto"/>
        <w:ind w:left="1396" w:right="1026" w:firstLine="400"/>
        <w:rPr>
          <w:rFonts w:ascii="宋体" w:hAnsi="宋体" w:eastAsia="宋体" w:cs="宋体"/>
          <w:sz w:val="20"/>
          <w:szCs w:val="20"/>
        </w:rPr>
      </w:pPr>
      <w:r>
        <w:rPr>
          <w:rFonts w:ascii="宋体" w:hAnsi="宋体" w:eastAsia="宋体" w:cs="宋体"/>
          <w:spacing w:val="13"/>
          <w:sz w:val="20"/>
          <w:szCs w:val="20"/>
        </w:rPr>
        <w:t>4)基坑开挖的降排水一般有两种途径：明排法和人工降水。其中，人工降水经常</w:t>
      </w:r>
      <w:r>
        <w:rPr>
          <w:rFonts w:ascii="宋体" w:hAnsi="宋体" w:eastAsia="宋体" w:cs="宋体"/>
          <w:spacing w:val="11"/>
          <w:sz w:val="20"/>
          <w:szCs w:val="20"/>
        </w:rPr>
        <w:t xml:space="preserve"> </w:t>
      </w:r>
      <w:r>
        <w:rPr>
          <w:rFonts w:ascii="宋体" w:hAnsi="宋体" w:eastAsia="宋体" w:cs="宋体"/>
          <w:spacing w:val="5"/>
          <w:sz w:val="20"/>
          <w:szCs w:val="20"/>
        </w:rPr>
        <w:t>采用轻型井点或管井井点降水方式。</w:t>
      </w:r>
    </w:p>
    <w:p w14:paraId="20605C0B">
      <w:pPr>
        <w:spacing w:before="74" w:line="219" w:lineRule="auto"/>
        <w:ind w:left="1796"/>
        <w:rPr>
          <w:rFonts w:ascii="宋体" w:hAnsi="宋体" w:eastAsia="宋体" w:cs="宋体"/>
          <w:sz w:val="20"/>
          <w:szCs w:val="20"/>
        </w:rPr>
      </w:pPr>
      <w:r>
        <w:rPr>
          <w:rFonts w:ascii="宋体" w:hAnsi="宋体" w:eastAsia="宋体" w:cs="宋体"/>
          <w:spacing w:val="18"/>
          <w:sz w:val="20"/>
          <w:szCs w:val="20"/>
        </w:rPr>
        <w:t>(1)明排法的适用条件</w:t>
      </w:r>
    </w:p>
    <w:p w14:paraId="7F176B82">
      <w:pPr>
        <w:spacing w:before="91" w:line="249" w:lineRule="auto"/>
        <w:ind w:left="1396" w:right="1047" w:firstLine="400"/>
        <w:rPr>
          <w:rFonts w:ascii="宋体" w:hAnsi="宋体" w:eastAsia="宋体" w:cs="宋体"/>
          <w:sz w:val="20"/>
          <w:szCs w:val="20"/>
        </w:rPr>
      </w:pPr>
      <w:r>
        <w:rPr>
          <w:rFonts w:ascii="宋体" w:hAnsi="宋体" w:eastAsia="宋体" w:cs="宋体"/>
          <w:spacing w:val="13"/>
          <w:sz w:val="20"/>
          <w:szCs w:val="20"/>
        </w:rPr>
        <w:t>①不易产生流砂、流土、潜蚀、管涌、淘空、塌陷等现象的黏性土、砂土、碎石</w:t>
      </w:r>
      <w:r>
        <w:rPr>
          <w:rFonts w:ascii="宋体" w:hAnsi="宋体" w:eastAsia="宋体" w:cs="宋体"/>
          <w:spacing w:val="4"/>
          <w:sz w:val="20"/>
          <w:szCs w:val="20"/>
        </w:rPr>
        <w:t xml:space="preserve"> </w:t>
      </w:r>
      <w:r>
        <w:rPr>
          <w:rFonts w:ascii="宋体" w:hAnsi="宋体" w:eastAsia="宋体" w:cs="宋体"/>
          <w:spacing w:val="2"/>
          <w:sz w:val="20"/>
          <w:szCs w:val="20"/>
        </w:rPr>
        <w:t>土的地层。</w:t>
      </w:r>
    </w:p>
    <w:p w14:paraId="1FEC5510">
      <w:pPr>
        <w:spacing w:before="80" w:line="217" w:lineRule="auto"/>
        <w:ind w:left="1796"/>
        <w:rPr>
          <w:rFonts w:ascii="宋体" w:hAnsi="宋体" w:eastAsia="宋体" w:cs="宋体"/>
          <w:sz w:val="20"/>
          <w:szCs w:val="20"/>
        </w:rPr>
      </w:pPr>
      <w:r>
        <w:rPr>
          <w:rFonts w:ascii="宋体" w:hAnsi="宋体" w:eastAsia="宋体" w:cs="宋体"/>
          <w:spacing w:val="7"/>
          <w:sz w:val="20"/>
          <w:szCs w:val="20"/>
        </w:rPr>
        <w:t>②基坑地下水位超出基础底板或洞底标高不大于2.0m。</w:t>
      </w:r>
    </w:p>
    <w:p w14:paraId="76BB4A5A">
      <w:pPr>
        <w:spacing w:before="97" w:line="219" w:lineRule="auto"/>
        <w:ind w:left="1796"/>
        <w:rPr>
          <w:rFonts w:ascii="宋体" w:hAnsi="宋体" w:eastAsia="宋体" w:cs="宋体"/>
          <w:sz w:val="20"/>
          <w:szCs w:val="20"/>
        </w:rPr>
      </w:pPr>
      <w:r>
        <w:rPr>
          <w:rFonts w:ascii="宋体" w:hAnsi="宋体" w:eastAsia="宋体" w:cs="宋体"/>
          <w:spacing w:val="13"/>
          <w:sz w:val="20"/>
          <w:szCs w:val="20"/>
        </w:rPr>
        <w:t>(2)轻型井点降水的适用条件</w:t>
      </w:r>
    </w:p>
    <w:p w14:paraId="3F82B849">
      <w:pPr>
        <w:pStyle w:val="2"/>
        <w:spacing w:line="354" w:lineRule="auto"/>
      </w:pPr>
    </w:p>
    <w:p w14:paraId="3BB39B2B">
      <w:pPr>
        <w:spacing w:line="190" w:lineRule="auto"/>
        <w:rPr>
          <w:rFonts w:ascii="宋体" w:hAnsi="宋体" w:eastAsia="宋体" w:cs="宋体"/>
          <w:sz w:val="23"/>
          <w:szCs w:val="23"/>
        </w:rPr>
        <w:sectPr>
          <w:pgSz w:w="10320" w:h="14590"/>
          <w:pgMar w:top="32" w:right="12" w:bottom="10" w:left="3" w:header="0" w:footer="0" w:gutter="0"/>
          <w:cols w:space="720" w:num="1"/>
        </w:sectPr>
      </w:pPr>
    </w:p>
    <w:p w14:paraId="742742D4">
      <w:pPr>
        <w:spacing w:before="1" w:line="241" w:lineRule="auto"/>
        <w:ind w:left="1371" w:right="360" w:hanging="1082"/>
        <w:rPr>
          <w:rFonts w:ascii="Times New Roman" w:hAnsi="Times New Roman" w:eastAsia="Times New Roman" w:cs="Times New Roman"/>
          <w:sz w:val="21"/>
          <w:szCs w:val="21"/>
        </w:rPr>
      </w:pPr>
      <w:r>
        <w:rPr>
          <w:rFonts w:hint="eastAsia" w:ascii="宋体" w:hAnsi="宋体" w:eastAsia="宋体" w:cs="宋体"/>
          <w:spacing w:val="22"/>
          <w:sz w:val="21"/>
          <w:szCs w:val="21"/>
          <w:lang w:eastAsia="zh-CN"/>
        </w:rPr>
        <w:t>大鱼社区</w:t>
      </w:r>
      <w:r>
        <w:rPr>
          <w:rFonts w:ascii="宋体" w:hAnsi="宋体" w:eastAsia="宋体" w:cs="宋体"/>
          <w:b/>
          <w:bCs/>
          <w:spacing w:val="22"/>
          <w:sz w:val="21"/>
          <w:szCs w:val="21"/>
        </w:rPr>
        <w:t>助你备考：少走弯路，快速通关!认</w:t>
      </w:r>
      <w:r>
        <w:rPr>
          <w:rFonts w:ascii="宋体" w:hAnsi="宋体" w:eastAsia="宋体" w:cs="宋体"/>
          <w:b/>
          <w:bCs/>
          <w:spacing w:val="21"/>
          <w:sz w:val="21"/>
          <w:szCs w:val="21"/>
        </w:rPr>
        <w:t>准</w:t>
      </w:r>
      <w:r>
        <w:rPr>
          <w:rFonts w:ascii="Times New Roman" w:hAnsi="Times New Roman" w:eastAsia="Times New Roman" w:cs="Times New Roman"/>
          <w:b/>
          <w:bCs/>
          <w:sz w:val="21"/>
          <w:szCs w:val="21"/>
        </w:rPr>
        <w:t>VX</w:t>
      </w:r>
      <w:r>
        <w:rPr>
          <w:rFonts w:ascii="Times New Roman" w:hAnsi="Times New Roman" w:eastAsia="Times New Roman" w:cs="Times New Roman"/>
          <w:b/>
          <w:bCs/>
          <w:spacing w:val="21"/>
          <w:sz w:val="21"/>
          <w:szCs w:val="21"/>
        </w:rPr>
        <w:t>:</w:t>
      </w:r>
      <w:r>
        <w:rPr>
          <w:rFonts w:hint="eastAsia" w:ascii="Times New Roman" w:hAnsi="Times New Roman" w:eastAsia="宋体" w:cs="Times New Roman"/>
          <w:b/>
          <w:bCs/>
          <w:sz w:val="21"/>
          <w:szCs w:val="21"/>
          <w:lang w:eastAsia="zh-CN"/>
        </w:rPr>
        <w:t>dayu_nm_cn</w:t>
      </w:r>
      <w:r>
        <w:rPr>
          <w:rFonts w:ascii="Times New Roman" w:hAnsi="Times New Roman" w:eastAsia="Times New Roman" w:cs="Times New Roman"/>
          <w:b/>
          <w:bCs/>
          <w:spacing w:val="21"/>
          <w:sz w:val="21"/>
          <w:szCs w:val="21"/>
        </w:rPr>
        <w:t xml:space="preserve">      </w:t>
      </w:r>
      <w:r>
        <w:rPr>
          <w:rFonts w:ascii="宋体" w:hAnsi="宋体" w:eastAsia="宋体" w:cs="宋体"/>
          <w:b/>
          <w:bCs/>
          <w:spacing w:val="21"/>
          <w:sz w:val="21"/>
          <w:szCs w:val="21"/>
        </w:rPr>
        <w:t>(天道酬勤，白</w:t>
      </w:r>
      <w:r>
        <w:rPr>
          <w:rFonts w:ascii="宋体" w:hAnsi="宋体" w:eastAsia="宋体" w:cs="宋体"/>
          <w:spacing w:val="21"/>
          <w:sz w:val="21"/>
          <w:szCs w:val="21"/>
        </w:rPr>
        <w:t>嫖</w:t>
      </w:r>
      <w:r>
        <w:rPr>
          <w:rFonts w:ascii="宋体" w:hAnsi="宋体" w:eastAsia="宋体" w:cs="宋体"/>
          <w:spacing w:val="-31"/>
          <w:sz w:val="21"/>
          <w:szCs w:val="21"/>
        </w:rPr>
        <w:t xml:space="preserve"> </w:t>
      </w:r>
      <w:r>
        <w:rPr>
          <w:rFonts w:ascii="宋体" w:hAnsi="宋体" w:eastAsia="宋体" w:cs="宋体"/>
          <w:spacing w:val="21"/>
          <w:sz w:val="21"/>
          <w:szCs w:val="21"/>
        </w:rPr>
        <w:t>勿</w:t>
      </w:r>
      <w:r>
        <w:rPr>
          <w:rFonts w:ascii="宋体" w:hAnsi="宋体" w:eastAsia="宋体" w:cs="宋体"/>
          <w:spacing w:val="-37"/>
          <w:sz w:val="21"/>
          <w:szCs w:val="21"/>
        </w:rPr>
        <w:t xml:space="preserve"> </w:t>
      </w:r>
      <w:r>
        <w:rPr>
          <w:rFonts w:ascii="宋体" w:hAnsi="宋体" w:eastAsia="宋体" w:cs="宋体"/>
          <w:spacing w:val="21"/>
          <w:sz w:val="21"/>
          <w:szCs w:val="21"/>
        </w:rPr>
        <w:t>扰</w:t>
      </w:r>
      <w:r>
        <w:rPr>
          <w:rFonts w:ascii="宋体" w:hAnsi="宋体" w:eastAsia="宋体" w:cs="宋体"/>
          <w:spacing w:val="-36"/>
          <w:sz w:val="21"/>
          <w:szCs w:val="21"/>
        </w:rPr>
        <w:t xml:space="preserve"> </w:t>
      </w:r>
      <w:r>
        <w:rPr>
          <w:rFonts w:ascii="宋体" w:hAnsi="宋体" w:eastAsia="宋体" w:cs="宋体"/>
          <w:spacing w:val="21"/>
          <w:sz w:val="21"/>
          <w:szCs w:val="21"/>
        </w:rPr>
        <w:t>)</w:t>
      </w:r>
      <w:r>
        <w:rPr>
          <w:rFonts w:ascii="宋体" w:hAnsi="宋体" w:eastAsia="宋体" w:cs="宋体"/>
          <w:sz w:val="21"/>
          <w:szCs w:val="21"/>
        </w:rPr>
        <w:t xml:space="preserve"> </w:t>
      </w:r>
      <w:r>
        <w:rPr>
          <w:rFonts w:ascii="宋体" w:hAnsi="宋体" w:eastAsia="宋体" w:cs="宋体"/>
          <w:b/>
          <w:bCs/>
          <w:spacing w:val="-1"/>
          <w:sz w:val="21"/>
          <w:szCs w:val="21"/>
        </w:rPr>
        <w:t>一</w:t>
      </w:r>
    </w:p>
    <w:p w14:paraId="4B9DC0B5">
      <w:pPr>
        <w:spacing w:before="281" w:line="222" w:lineRule="auto"/>
        <w:ind w:left="1020"/>
        <w:rPr>
          <w:rFonts w:ascii="黑体" w:hAnsi="黑体" w:eastAsia="黑体" w:cs="黑体"/>
          <w:sz w:val="16"/>
          <w:szCs w:val="16"/>
        </w:rPr>
      </w:pPr>
      <w:r>
        <w:drawing>
          <wp:anchor distT="0" distB="0" distL="0" distR="0" simplePos="0" relativeHeight="251661312" behindDoc="0" locked="0" layoutInCell="1" allowOverlap="1">
            <wp:simplePos x="0" y="0"/>
            <wp:positionH relativeFrom="column">
              <wp:posOffset>638175</wp:posOffset>
            </wp:positionH>
            <wp:positionV relativeFrom="paragraph">
              <wp:posOffset>273685</wp:posOffset>
            </wp:positionV>
            <wp:extent cx="4961890" cy="635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6"/>
                    <a:stretch>
                      <a:fillRect/>
                    </a:stretch>
                  </pic:blipFill>
                  <pic:spPr>
                    <a:xfrm>
                      <a:off x="0" y="0"/>
                      <a:ext cx="4962118" cy="6350"/>
                    </a:xfrm>
                    <a:prstGeom prst="rect">
                      <a:avLst/>
                    </a:prstGeom>
                  </pic:spPr>
                </pic:pic>
              </a:graphicData>
            </a:graphic>
          </wp:anchor>
        </w:drawing>
      </w:r>
      <w:r>
        <w:rPr>
          <w:rFonts w:ascii="黑体" w:hAnsi="黑体" w:eastAsia="黑体" w:cs="黑体"/>
          <w:spacing w:val="-7"/>
          <w:sz w:val="16"/>
          <w:szCs w:val="16"/>
        </w:rPr>
        <w:t>1 2</w:t>
      </w:r>
      <w:r>
        <w:rPr>
          <w:rFonts w:ascii="黑体" w:hAnsi="黑体" w:eastAsia="黑体" w:cs="黑体"/>
          <w:spacing w:val="2"/>
          <w:sz w:val="16"/>
          <w:szCs w:val="16"/>
        </w:rPr>
        <w:t xml:space="preserve">     </w:t>
      </w:r>
      <w:r>
        <w:rPr>
          <w:rFonts w:ascii="黑体" w:hAnsi="黑体" w:eastAsia="黑体" w:cs="黑体"/>
          <w:spacing w:val="-7"/>
          <w:sz w:val="16"/>
          <w:szCs w:val="16"/>
        </w:rPr>
        <w:t>第</w:t>
      </w:r>
      <w:r>
        <w:rPr>
          <w:rFonts w:ascii="黑体" w:hAnsi="黑体" w:eastAsia="黑体" w:cs="黑体"/>
          <w:spacing w:val="18"/>
          <w:sz w:val="16"/>
          <w:szCs w:val="16"/>
        </w:rPr>
        <w:t xml:space="preserve"> </w:t>
      </w:r>
      <w:r>
        <w:rPr>
          <w:rFonts w:ascii="黑体" w:hAnsi="黑体" w:eastAsia="黑体" w:cs="黑体"/>
          <w:spacing w:val="-7"/>
          <w:sz w:val="16"/>
          <w:szCs w:val="16"/>
        </w:rPr>
        <w:t>1</w:t>
      </w:r>
      <w:r>
        <w:rPr>
          <w:rFonts w:ascii="黑体" w:hAnsi="黑体" w:eastAsia="黑体" w:cs="黑体"/>
          <w:spacing w:val="8"/>
          <w:sz w:val="16"/>
          <w:szCs w:val="16"/>
        </w:rPr>
        <w:t xml:space="preserve"> </w:t>
      </w:r>
      <w:r>
        <w:rPr>
          <w:rFonts w:ascii="黑体" w:hAnsi="黑体" w:eastAsia="黑体" w:cs="黑体"/>
          <w:spacing w:val="-7"/>
          <w:sz w:val="16"/>
          <w:szCs w:val="16"/>
        </w:rPr>
        <w:t>篇</w:t>
      </w:r>
      <w:r>
        <w:rPr>
          <w:rFonts w:ascii="黑体" w:hAnsi="黑体" w:eastAsia="黑体" w:cs="黑体"/>
          <w:spacing w:val="2"/>
          <w:sz w:val="16"/>
          <w:szCs w:val="16"/>
        </w:rPr>
        <w:t xml:space="preserve">   </w:t>
      </w:r>
      <w:r>
        <w:rPr>
          <w:rFonts w:ascii="黑体" w:hAnsi="黑体" w:eastAsia="黑体" w:cs="黑体"/>
          <w:spacing w:val="-7"/>
          <w:sz w:val="16"/>
          <w:szCs w:val="16"/>
        </w:rPr>
        <w:t>水</w:t>
      </w:r>
      <w:r>
        <w:rPr>
          <w:rFonts w:ascii="黑体" w:hAnsi="黑体" w:eastAsia="黑体" w:cs="黑体"/>
          <w:spacing w:val="11"/>
          <w:sz w:val="16"/>
          <w:szCs w:val="16"/>
        </w:rPr>
        <w:t xml:space="preserve"> </w:t>
      </w:r>
      <w:r>
        <w:rPr>
          <w:rFonts w:ascii="黑体" w:hAnsi="黑体" w:eastAsia="黑体" w:cs="黑体"/>
          <w:spacing w:val="-7"/>
          <w:sz w:val="16"/>
          <w:szCs w:val="16"/>
        </w:rPr>
        <w:t>利</w:t>
      </w:r>
      <w:r>
        <w:rPr>
          <w:rFonts w:ascii="黑体" w:hAnsi="黑体" w:eastAsia="黑体" w:cs="黑体"/>
          <w:spacing w:val="7"/>
          <w:sz w:val="16"/>
          <w:szCs w:val="16"/>
        </w:rPr>
        <w:t xml:space="preserve"> </w:t>
      </w:r>
      <w:r>
        <w:rPr>
          <w:rFonts w:ascii="黑体" w:hAnsi="黑体" w:eastAsia="黑体" w:cs="黑体"/>
          <w:spacing w:val="-7"/>
          <w:sz w:val="16"/>
          <w:szCs w:val="16"/>
        </w:rPr>
        <w:t>水</w:t>
      </w:r>
      <w:r>
        <w:rPr>
          <w:rFonts w:ascii="黑体" w:hAnsi="黑体" w:eastAsia="黑体" w:cs="黑体"/>
          <w:spacing w:val="17"/>
          <w:sz w:val="16"/>
          <w:szCs w:val="16"/>
        </w:rPr>
        <w:t xml:space="preserve"> </w:t>
      </w:r>
      <w:r>
        <w:rPr>
          <w:rFonts w:ascii="黑体" w:hAnsi="黑体" w:eastAsia="黑体" w:cs="黑体"/>
          <w:spacing w:val="-7"/>
          <w:sz w:val="16"/>
          <w:szCs w:val="16"/>
        </w:rPr>
        <w:t>电</w:t>
      </w:r>
      <w:r>
        <w:rPr>
          <w:rFonts w:ascii="黑体" w:hAnsi="黑体" w:eastAsia="黑体" w:cs="黑体"/>
          <w:spacing w:val="8"/>
          <w:sz w:val="16"/>
          <w:szCs w:val="16"/>
        </w:rPr>
        <w:t xml:space="preserve"> </w:t>
      </w:r>
      <w:r>
        <w:rPr>
          <w:rFonts w:ascii="黑体" w:hAnsi="黑体" w:eastAsia="黑体" w:cs="黑体"/>
          <w:spacing w:val="-7"/>
          <w:sz w:val="16"/>
          <w:szCs w:val="16"/>
        </w:rPr>
        <w:t>工</w:t>
      </w:r>
      <w:r>
        <w:rPr>
          <w:rFonts w:ascii="黑体" w:hAnsi="黑体" w:eastAsia="黑体" w:cs="黑体"/>
          <w:spacing w:val="7"/>
          <w:sz w:val="16"/>
          <w:szCs w:val="16"/>
        </w:rPr>
        <w:t xml:space="preserve"> </w:t>
      </w:r>
      <w:r>
        <w:rPr>
          <w:rFonts w:ascii="黑体" w:hAnsi="黑体" w:eastAsia="黑体" w:cs="黑体"/>
          <w:spacing w:val="-7"/>
          <w:sz w:val="16"/>
          <w:szCs w:val="16"/>
        </w:rPr>
        <w:t>程</w:t>
      </w:r>
      <w:r>
        <w:rPr>
          <w:rFonts w:ascii="黑体" w:hAnsi="黑体" w:eastAsia="黑体" w:cs="黑体"/>
          <w:spacing w:val="8"/>
          <w:sz w:val="16"/>
          <w:szCs w:val="16"/>
        </w:rPr>
        <w:t xml:space="preserve"> </w:t>
      </w:r>
      <w:r>
        <w:rPr>
          <w:rFonts w:ascii="黑体" w:hAnsi="黑体" w:eastAsia="黑体" w:cs="黑体"/>
          <w:spacing w:val="-7"/>
          <w:sz w:val="16"/>
          <w:szCs w:val="16"/>
        </w:rPr>
        <w:t>技</w:t>
      </w:r>
      <w:r>
        <w:rPr>
          <w:rFonts w:ascii="黑体" w:hAnsi="黑体" w:eastAsia="黑体" w:cs="黑体"/>
          <w:spacing w:val="7"/>
          <w:sz w:val="16"/>
          <w:szCs w:val="16"/>
        </w:rPr>
        <w:t xml:space="preserve"> </w:t>
      </w:r>
      <w:r>
        <w:rPr>
          <w:rFonts w:ascii="黑体" w:hAnsi="黑体" w:eastAsia="黑体" w:cs="黑体"/>
          <w:spacing w:val="-7"/>
          <w:sz w:val="16"/>
          <w:szCs w:val="16"/>
        </w:rPr>
        <w:t>术</w:t>
      </w:r>
    </w:p>
    <w:p w14:paraId="29702A1D">
      <w:pPr>
        <w:spacing w:before="248" w:line="217" w:lineRule="auto"/>
        <w:ind w:left="1439"/>
        <w:rPr>
          <w:rFonts w:ascii="宋体" w:hAnsi="宋体" w:eastAsia="宋体" w:cs="宋体"/>
          <w:sz w:val="21"/>
          <w:szCs w:val="21"/>
        </w:rPr>
      </w:pPr>
      <w:r>
        <w:rPr>
          <w:rFonts w:ascii="宋体" w:hAnsi="宋体" w:eastAsia="宋体" w:cs="宋体"/>
          <w:spacing w:val="-1"/>
          <w:sz w:val="21"/>
          <w:szCs w:val="21"/>
        </w:rPr>
        <w:t>①黏土、粉质黏土、粉土的地层。</w:t>
      </w:r>
    </w:p>
    <w:p w14:paraId="3C53072E">
      <w:pPr>
        <w:spacing w:before="73" w:line="217" w:lineRule="auto"/>
        <w:ind w:left="1439"/>
        <w:rPr>
          <w:rFonts w:ascii="宋体" w:hAnsi="宋体" w:eastAsia="宋体" w:cs="宋体"/>
          <w:sz w:val="21"/>
          <w:szCs w:val="21"/>
        </w:rPr>
      </w:pPr>
      <w:r>
        <w:rPr>
          <w:rFonts w:ascii="宋体" w:hAnsi="宋体" w:eastAsia="宋体" w:cs="宋体"/>
          <w:spacing w:val="-2"/>
          <w:sz w:val="21"/>
          <w:szCs w:val="21"/>
        </w:rPr>
        <w:t>②基坑边坡不稳，易产生流土、流砂、管涌等现象。</w:t>
      </w:r>
    </w:p>
    <w:p w14:paraId="58AF4A93">
      <w:pPr>
        <w:spacing w:before="62" w:line="256" w:lineRule="auto"/>
        <w:ind w:left="1020" w:right="1474" w:firstLine="419"/>
        <w:rPr>
          <w:rFonts w:ascii="宋体" w:hAnsi="宋体" w:eastAsia="宋体" w:cs="宋体"/>
          <w:sz w:val="21"/>
          <w:szCs w:val="21"/>
        </w:rPr>
      </w:pPr>
      <w:r>
        <w:rPr>
          <w:rFonts w:ascii="宋体" w:hAnsi="宋体" w:eastAsia="宋体" w:cs="宋体"/>
          <w:spacing w:val="3"/>
          <w:sz w:val="21"/>
          <w:szCs w:val="21"/>
        </w:rPr>
        <w:t>③地下水位埋藏小于6.0</w:t>
      </w:r>
      <w:r>
        <w:rPr>
          <w:rFonts w:ascii="Times New Roman" w:hAnsi="Times New Roman" w:eastAsia="Times New Roman" w:cs="Times New Roman"/>
          <w:spacing w:val="3"/>
          <w:sz w:val="21"/>
          <w:szCs w:val="21"/>
        </w:rPr>
        <w:t>m,</w:t>
      </w:r>
      <w:r>
        <w:rPr>
          <w:rFonts w:ascii="Times New Roman" w:hAnsi="Times New Roman" w:eastAsia="Times New Roman" w:cs="Times New Roman"/>
          <w:spacing w:val="22"/>
          <w:sz w:val="21"/>
          <w:szCs w:val="21"/>
        </w:rPr>
        <w:t xml:space="preserve">  </w:t>
      </w:r>
      <w:r>
        <w:rPr>
          <w:rFonts w:ascii="宋体" w:hAnsi="宋体" w:eastAsia="宋体" w:cs="宋体"/>
          <w:spacing w:val="3"/>
          <w:sz w:val="21"/>
          <w:szCs w:val="21"/>
        </w:rPr>
        <w:t>宜用单级真空井点；当大于6.0</w:t>
      </w:r>
      <w:r>
        <w:rPr>
          <w:rFonts w:ascii="Times New Roman" w:hAnsi="Times New Roman" w:eastAsia="Times New Roman" w:cs="Times New Roman"/>
          <w:spacing w:val="3"/>
          <w:sz w:val="21"/>
          <w:szCs w:val="21"/>
        </w:rPr>
        <w:t>m</w:t>
      </w:r>
      <w:r>
        <w:rPr>
          <w:rFonts w:ascii="Times New Roman" w:hAnsi="Times New Roman" w:eastAsia="Times New Roman" w:cs="Times New Roman"/>
          <w:spacing w:val="-24"/>
          <w:sz w:val="21"/>
          <w:szCs w:val="21"/>
        </w:rPr>
        <w:t xml:space="preserve"> </w:t>
      </w:r>
      <w:r>
        <w:rPr>
          <w:rFonts w:ascii="宋体" w:hAnsi="宋体" w:eastAsia="宋体" w:cs="宋体"/>
          <w:spacing w:val="3"/>
          <w:sz w:val="21"/>
          <w:szCs w:val="21"/>
        </w:rPr>
        <w:t>时，场地条件有限</w:t>
      </w:r>
      <w:r>
        <w:rPr>
          <w:rFonts w:ascii="宋体" w:hAnsi="宋体" w:eastAsia="宋体" w:cs="宋体"/>
          <w:sz w:val="21"/>
          <w:szCs w:val="21"/>
        </w:rPr>
        <w:t xml:space="preserve"> </w:t>
      </w:r>
      <w:r>
        <w:rPr>
          <w:rFonts w:ascii="宋体" w:hAnsi="宋体" w:eastAsia="宋体" w:cs="宋体"/>
          <w:spacing w:val="-4"/>
          <w:sz w:val="21"/>
          <w:szCs w:val="21"/>
        </w:rPr>
        <w:t>宜用喷射井点、接力井点；场地条件允许宜用多级井</w:t>
      </w:r>
      <w:r>
        <w:rPr>
          <w:rFonts w:ascii="宋体" w:hAnsi="宋体" w:eastAsia="宋体" w:cs="宋体"/>
          <w:spacing w:val="-5"/>
          <w:sz w:val="21"/>
          <w:szCs w:val="21"/>
        </w:rPr>
        <w:t>点。</w:t>
      </w:r>
    </w:p>
    <w:p w14:paraId="35B9AEC5">
      <w:pPr>
        <w:spacing w:before="60" w:line="219" w:lineRule="auto"/>
        <w:ind w:left="1439"/>
        <w:rPr>
          <w:rFonts w:ascii="宋体" w:hAnsi="宋体" w:eastAsia="宋体" w:cs="宋体"/>
          <w:sz w:val="21"/>
          <w:szCs w:val="21"/>
        </w:rPr>
      </w:pPr>
      <w:r>
        <w:rPr>
          <w:rFonts w:ascii="宋体" w:hAnsi="宋体" w:eastAsia="宋体" w:cs="宋体"/>
          <w:spacing w:val="5"/>
          <w:sz w:val="21"/>
          <w:szCs w:val="21"/>
        </w:rPr>
        <w:t>(3)管井井点降水适用条件</w:t>
      </w:r>
    </w:p>
    <w:p w14:paraId="254B96E6">
      <w:pPr>
        <w:spacing w:before="68" w:line="217" w:lineRule="auto"/>
        <w:ind w:left="1439"/>
        <w:rPr>
          <w:rFonts w:ascii="宋体" w:hAnsi="宋体" w:eastAsia="宋体" w:cs="宋体"/>
          <w:sz w:val="21"/>
          <w:szCs w:val="21"/>
        </w:rPr>
      </w:pPr>
      <w:r>
        <w:rPr>
          <w:rFonts w:ascii="宋体" w:hAnsi="宋体" w:eastAsia="宋体" w:cs="宋体"/>
          <w:sz w:val="21"/>
          <w:szCs w:val="21"/>
        </w:rPr>
        <w:t>①第四系含水层厚度大于5.0m。</w:t>
      </w:r>
    </w:p>
    <w:p w14:paraId="7C2C6E06">
      <w:pPr>
        <w:spacing w:before="84" w:line="217" w:lineRule="auto"/>
        <w:ind w:left="1439"/>
        <w:rPr>
          <w:rFonts w:ascii="宋体" w:hAnsi="宋体" w:eastAsia="宋体" w:cs="宋体"/>
          <w:sz w:val="21"/>
          <w:szCs w:val="21"/>
        </w:rPr>
      </w:pPr>
      <w:r>
        <w:rPr>
          <w:rFonts w:ascii="宋体" w:hAnsi="宋体" w:eastAsia="宋体" w:cs="宋体"/>
          <w:spacing w:val="1"/>
          <w:sz w:val="21"/>
          <w:szCs w:val="21"/>
        </w:rPr>
        <w:t>②含水层渗透系数K 宜大于1.0m/d。</w:t>
      </w:r>
    </w:p>
    <w:p w14:paraId="7C2038F3">
      <w:pPr>
        <w:pStyle w:val="2"/>
        <w:spacing w:line="282" w:lineRule="auto"/>
      </w:pPr>
    </w:p>
    <w:p w14:paraId="09DBFA5D">
      <w:pPr>
        <w:spacing w:before="101" w:line="219" w:lineRule="auto"/>
        <w:ind w:left="1024"/>
        <w:rPr>
          <w:rFonts w:ascii="宋体" w:hAnsi="宋体" w:eastAsia="宋体" w:cs="宋体"/>
          <w:sz w:val="31"/>
          <w:szCs w:val="31"/>
        </w:rPr>
      </w:pPr>
      <w:r>
        <w:rPr>
          <w:rFonts w:ascii="宋体" w:hAnsi="宋体" w:eastAsia="宋体" w:cs="宋体"/>
          <w:b/>
          <w:bCs/>
          <w:color w:val="2090A0"/>
          <w:spacing w:val="-13"/>
          <w:sz w:val="31"/>
          <w:szCs w:val="31"/>
        </w:rPr>
        <w:t>1.2</w:t>
      </w:r>
      <w:r>
        <w:rPr>
          <w:rFonts w:ascii="宋体" w:hAnsi="宋体" w:eastAsia="宋体" w:cs="宋体"/>
          <w:color w:val="2090A0"/>
          <w:spacing w:val="27"/>
          <w:sz w:val="31"/>
          <w:szCs w:val="31"/>
        </w:rPr>
        <w:t xml:space="preserve">  </w:t>
      </w:r>
      <w:r>
        <w:rPr>
          <w:rFonts w:ascii="宋体" w:hAnsi="宋体" w:eastAsia="宋体" w:cs="宋体"/>
          <w:b/>
          <w:bCs/>
          <w:color w:val="2090A0"/>
          <w:spacing w:val="-13"/>
          <w:sz w:val="31"/>
          <w:szCs w:val="31"/>
        </w:rPr>
        <w:t>水利水电工程设计</w:t>
      </w:r>
    </w:p>
    <w:p w14:paraId="76EAC32C">
      <w:pPr>
        <w:spacing w:before="148" w:line="221" w:lineRule="auto"/>
        <w:ind w:left="1023"/>
        <w:rPr>
          <w:rFonts w:ascii="黑体" w:hAnsi="黑体" w:eastAsia="黑体" w:cs="黑体"/>
          <w:sz w:val="21"/>
          <w:szCs w:val="21"/>
        </w:rPr>
      </w:pPr>
      <w:r>
        <w:rPr>
          <w:rFonts w:ascii="宋体" w:hAnsi="宋体" w:eastAsia="宋体" w:cs="宋体"/>
          <w:b/>
          <w:bCs/>
          <w:color w:val="2090A0"/>
          <w:spacing w:val="20"/>
          <w:sz w:val="21"/>
          <w:szCs w:val="21"/>
        </w:rPr>
        <w:t>1.2.1</w:t>
      </w:r>
      <w:r>
        <w:rPr>
          <w:rFonts w:ascii="宋体" w:hAnsi="宋体" w:eastAsia="宋体" w:cs="宋体"/>
          <w:color w:val="2090A0"/>
          <w:spacing w:val="20"/>
          <w:sz w:val="21"/>
          <w:szCs w:val="21"/>
        </w:rPr>
        <w:t xml:space="preserve">   </w:t>
      </w:r>
      <w:r>
        <w:rPr>
          <w:rFonts w:ascii="黑体" w:hAnsi="黑体" w:eastAsia="黑体" w:cs="黑体"/>
          <w:b/>
          <w:bCs/>
          <w:color w:val="2090A0"/>
          <w:spacing w:val="20"/>
          <w:sz w:val="21"/>
          <w:szCs w:val="21"/>
        </w:rPr>
        <w:t>水利水电工程等级划分及工程特征水位</w:t>
      </w:r>
    </w:p>
    <w:p w14:paraId="7293E78E">
      <w:pPr>
        <w:spacing w:before="200" w:line="219" w:lineRule="auto"/>
        <w:ind w:left="1442"/>
        <w:rPr>
          <w:rFonts w:ascii="宋体" w:hAnsi="宋体" w:eastAsia="宋体" w:cs="宋体"/>
          <w:sz w:val="21"/>
          <w:szCs w:val="21"/>
        </w:rPr>
      </w:pPr>
      <w:r>
        <w:rPr>
          <w:rFonts w:ascii="宋体" w:hAnsi="宋体" w:eastAsia="宋体" w:cs="宋体"/>
          <w:b/>
          <w:bCs/>
          <w:color w:val="2090A0"/>
          <w:spacing w:val="6"/>
          <w:sz w:val="21"/>
          <w:szCs w:val="21"/>
        </w:rPr>
        <w:t>1.水利水电工程等别划分</w:t>
      </w:r>
    </w:p>
    <w:p w14:paraId="51B59912">
      <w:pPr>
        <w:spacing w:before="15" w:line="291" w:lineRule="auto"/>
        <w:ind w:left="1020" w:right="1454" w:firstLine="419"/>
        <w:jc w:val="both"/>
        <w:rPr>
          <w:rFonts w:ascii="宋体" w:hAnsi="宋体" w:eastAsia="宋体" w:cs="宋体"/>
          <w:sz w:val="21"/>
          <w:szCs w:val="21"/>
        </w:rPr>
      </w:pPr>
      <w:r>
        <w:rPr>
          <w:rFonts w:ascii="宋体" w:hAnsi="宋体" w:eastAsia="宋体" w:cs="宋体"/>
          <w:spacing w:val="1"/>
          <w:sz w:val="21"/>
          <w:szCs w:val="21"/>
        </w:rPr>
        <w:t>根据《水利水电工程等级划分及洪水标准》</w:t>
      </w:r>
      <w:r>
        <w:rPr>
          <w:rFonts w:ascii="Times New Roman" w:hAnsi="Times New Roman" w:eastAsia="Times New Roman" w:cs="Times New Roman"/>
          <w:sz w:val="21"/>
          <w:szCs w:val="21"/>
        </w:rPr>
        <w:t>SL</w:t>
      </w:r>
      <w:r>
        <w:rPr>
          <w:rFonts w:ascii="Times New Roman" w:hAnsi="Times New Roman" w:eastAsia="Times New Roman" w:cs="Times New Roman"/>
          <w:spacing w:val="44"/>
          <w:w w:val="101"/>
          <w:sz w:val="21"/>
          <w:szCs w:val="21"/>
        </w:rPr>
        <w:t xml:space="preserve"> </w:t>
      </w:r>
      <w:r>
        <w:rPr>
          <w:rFonts w:ascii="Times New Roman" w:hAnsi="Times New Roman" w:eastAsia="Times New Roman" w:cs="Times New Roman"/>
          <w:spacing w:val="1"/>
          <w:sz w:val="21"/>
          <w:szCs w:val="21"/>
        </w:rPr>
        <w:t>252—2017</w:t>
      </w:r>
      <w:r>
        <w:rPr>
          <w:rFonts w:ascii="宋体" w:hAnsi="宋体" w:eastAsia="宋体" w:cs="宋体"/>
          <w:spacing w:val="1"/>
          <w:sz w:val="21"/>
          <w:szCs w:val="21"/>
        </w:rPr>
        <w:t>的规</w:t>
      </w:r>
      <w:r>
        <w:rPr>
          <w:rFonts w:ascii="宋体" w:hAnsi="宋体" w:eastAsia="宋体" w:cs="宋体"/>
          <w:sz w:val="21"/>
          <w:szCs w:val="21"/>
        </w:rPr>
        <w:t xml:space="preserve">定，水利水电工程 </w:t>
      </w:r>
      <w:r>
        <w:rPr>
          <w:rFonts w:ascii="宋体" w:hAnsi="宋体" w:eastAsia="宋体" w:cs="宋体"/>
          <w:spacing w:val="-3"/>
          <w:sz w:val="21"/>
          <w:szCs w:val="21"/>
        </w:rPr>
        <w:t>的等别根据其工程规模、效益和在经济社会中的重要性，划分为I、Ⅱ、Ⅲ、IV、V</w:t>
      </w:r>
      <w:r>
        <w:rPr>
          <w:rFonts w:ascii="宋体" w:hAnsi="宋体" w:eastAsia="宋体" w:cs="宋体"/>
          <w:spacing w:val="49"/>
          <w:sz w:val="21"/>
          <w:szCs w:val="21"/>
        </w:rPr>
        <w:t xml:space="preserve"> </w:t>
      </w:r>
      <w:r>
        <w:rPr>
          <w:rFonts w:ascii="宋体" w:hAnsi="宋体" w:eastAsia="宋体" w:cs="宋体"/>
          <w:spacing w:val="-3"/>
          <w:sz w:val="21"/>
          <w:szCs w:val="21"/>
        </w:rPr>
        <w:t>五</w:t>
      </w:r>
      <w:r>
        <w:rPr>
          <w:rFonts w:ascii="宋体" w:hAnsi="宋体" w:eastAsia="宋体" w:cs="宋体"/>
          <w:sz w:val="21"/>
          <w:szCs w:val="21"/>
        </w:rPr>
        <w:t xml:space="preserve"> </w:t>
      </w:r>
      <w:r>
        <w:rPr>
          <w:rFonts w:ascii="宋体" w:hAnsi="宋体" w:eastAsia="宋体" w:cs="宋体"/>
          <w:spacing w:val="-4"/>
          <w:sz w:val="21"/>
          <w:szCs w:val="21"/>
        </w:rPr>
        <w:t>等，适用于不同地区、不同条件下建设的防洪、治涝、灌溉、供水和发电等水利水电工</w:t>
      </w:r>
      <w:r>
        <w:rPr>
          <w:rFonts w:ascii="宋体" w:hAnsi="宋体" w:eastAsia="宋体" w:cs="宋体"/>
          <w:spacing w:val="2"/>
          <w:sz w:val="21"/>
          <w:szCs w:val="21"/>
        </w:rPr>
        <w:t xml:space="preserve"> </w:t>
      </w:r>
      <w:r>
        <w:rPr>
          <w:rFonts w:ascii="宋体" w:hAnsi="宋体" w:eastAsia="宋体" w:cs="宋体"/>
          <w:spacing w:val="1"/>
          <w:sz w:val="21"/>
          <w:szCs w:val="21"/>
        </w:rPr>
        <w:t>程，按表1.2-1确定。</w:t>
      </w:r>
    </w:p>
    <w:p w14:paraId="513F3430">
      <w:pPr>
        <w:spacing w:before="151" w:line="219" w:lineRule="auto"/>
        <w:ind w:left="3662"/>
        <w:rPr>
          <w:rFonts w:ascii="宋体" w:hAnsi="宋体" w:eastAsia="宋体" w:cs="宋体"/>
          <w:sz w:val="18"/>
          <w:szCs w:val="18"/>
        </w:rPr>
      </w:pPr>
      <w:r>
        <w:rPr>
          <w:rFonts w:ascii="宋体" w:hAnsi="宋体" w:eastAsia="宋体" w:cs="宋体"/>
          <w:b/>
          <w:bCs/>
          <w:spacing w:val="-3"/>
          <w:sz w:val="18"/>
          <w:szCs w:val="18"/>
        </w:rPr>
        <w:t>表1.2-1水利水电工程分等指标</w:t>
      </w:r>
    </w:p>
    <w:p w14:paraId="2DF72D43">
      <w:pPr>
        <w:spacing w:line="57" w:lineRule="exact"/>
      </w:pPr>
    </w:p>
    <w:tbl>
      <w:tblPr>
        <w:tblStyle w:val="5"/>
        <w:tblW w:w="7809" w:type="dxa"/>
        <w:tblInd w:w="10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4"/>
        <w:gridCol w:w="849"/>
        <w:gridCol w:w="719"/>
        <w:gridCol w:w="729"/>
        <w:gridCol w:w="719"/>
        <w:gridCol w:w="729"/>
        <w:gridCol w:w="719"/>
        <w:gridCol w:w="729"/>
        <w:gridCol w:w="719"/>
        <w:gridCol w:w="729"/>
        <w:gridCol w:w="734"/>
      </w:tblGrid>
      <w:tr w14:paraId="21B5C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34" w:type="dxa"/>
            <w:vMerge w:val="restart"/>
            <w:tcBorders>
              <w:bottom w:val="nil"/>
            </w:tcBorders>
            <w:vAlign w:val="top"/>
          </w:tcPr>
          <w:p w14:paraId="13F79F2F">
            <w:pPr>
              <w:spacing w:line="419" w:lineRule="auto"/>
              <w:rPr>
                <w:rFonts w:ascii="Arial"/>
                <w:sz w:val="21"/>
              </w:rPr>
            </w:pPr>
          </w:p>
          <w:p w14:paraId="3FCB3D1C">
            <w:pPr>
              <w:pStyle w:val="6"/>
              <w:spacing w:before="62" w:line="234" w:lineRule="auto"/>
              <w:ind w:left="15" w:right="13"/>
            </w:pPr>
            <w:r>
              <w:rPr>
                <w:spacing w:val="-5"/>
              </w:rPr>
              <w:t>工程</w:t>
            </w:r>
            <w:r>
              <w:t xml:space="preserve"> </w:t>
            </w:r>
            <w:r>
              <w:rPr>
                <w:spacing w:val="7"/>
              </w:rPr>
              <w:t>等别</w:t>
            </w:r>
          </w:p>
        </w:tc>
        <w:tc>
          <w:tcPr>
            <w:tcW w:w="849" w:type="dxa"/>
            <w:vMerge w:val="restart"/>
            <w:tcBorders>
              <w:bottom w:val="nil"/>
            </w:tcBorders>
            <w:vAlign w:val="top"/>
          </w:tcPr>
          <w:p w14:paraId="3EC933E2">
            <w:pPr>
              <w:spacing w:line="263" w:lineRule="auto"/>
              <w:rPr>
                <w:rFonts w:ascii="Arial"/>
                <w:sz w:val="21"/>
              </w:rPr>
            </w:pPr>
          </w:p>
          <w:p w14:paraId="015513A3">
            <w:pPr>
              <w:spacing w:line="264" w:lineRule="auto"/>
              <w:rPr>
                <w:rFonts w:ascii="Arial"/>
                <w:sz w:val="21"/>
              </w:rPr>
            </w:pPr>
          </w:p>
          <w:p w14:paraId="5350912D">
            <w:pPr>
              <w:pStyle w:val="6"/>
              <w:spacing w:before="62" w:line="219" w:lineRule="auto"/>
              <w:ind w:left="30"/>
            </w:pPr>
            <w:r>
              <w:rPr>
                <w:spacing w:val="-2"/>
              </w:rPr>
              <w:t>工程规模</w:t>
            </w:r>
          </w:p>
        </w:tc>
        <w:tc>
          <w:tcPr>
            <w:tcW w:w="719" w:type="dxa"/>
            <w:vMerge w:val="restart"/>
            <w:tcBorders>
              <w:bottom w:val="nil"/>
            </w:tcBorders>
            <w:vAlign w:val="top"/>
          </w:tcPr>
          <w:p w14:paraId="0D8A698E">
            <w:pPr>
              <w:spacing w:line="288" w:lineRule="auto"/>
              <w:rPr>
                <w:rFonts w:ascii="Arial"/>
                <w:sz w:val="21"/>
              </w:rPr>
            </w:pPr>
          </w:p>
          <w:p w14:paraId="4CCA4B21">
            <w:pPr>
              <w:pStyle w:val="6"/>
              <w:spacing w:before="62" w:line="223" w:lineRule="auto"/>
              <w:ind w:left="12" w:right="15" w:firstLine="149"/>
              <w:rPr>
                <w:sz w:val="18"/>
                <w:szCs w:val="18"/>
              </w:rPr>
            </w:pPr>
            <w:r>
              <w:rPr>
                <w:spacing w:val="6"/>
              </w:rPr>
              <w:t>水库</w:t>
            </w:r>
            <w:r>
              <w:t xml:space="preserve">  </w:t>
            </w:r>
            <w:r>
              <w:rPr>
                <w:spacing w:val="19"/>
              </w:rPr>
              <w:t>总库容</w:t>
            </w:r>
            <w:r>
              <w:rPr>
                <w:spacing w:val="1"/>
              </w:rPr>
              <w:t xml:space="preserve"> </w:t>
            </w:r>
            <w:r>
              <w:rPr>
                <w:spacing w:val="-6"/>
                <w:sz w:val="18"/>
                <w:szCs w:val="18"/>
              </w:rPr>
              <w:t>(10°m³)</w:t>
            </w:r>
          </w:p>
        </w:tc>
        <w:tc>
          <w:tcPr>
            <w:tcW w:w="2177" w:type="dxa"/>
            <w:gridSpan w:val="3"/>
            <w:vAlign w:val="top"/>
          </w:tcPr>
          <w:p w14:paraId="32E0401B">
            <w:pPr>
              <w:pStyle w:val="6"/>
              <w:spacing w:before="63" w:line="220" w:lineRule="auto"/>
              <w:ind w:left="922"/>
            </w:pPr>
            <w:r>
              <w:rPr>
                <w:spacing w:val="5"/>
              </w:rPr>
              <w:t>防洪</w:t>
            </w:r>
          </w:p>
        </w:tc>
        <w:tc>
          <w:tcPr>
            <w:tcW w:w="719" w:type="dxa"/>
            <w:vAlign w:val="top"/>
          </w:tcPr>
          <w:p w14:paraId="259C672B">
            <w:pPr>
              <w:pStyle w:val="6"/>
              <w:spacing w:before="63" w:line="219" w:lineRule="auto"/>
              <w:ind w:left="165"/>
            </w:pPr>
            <w:r>
              <w:rPr>
                <w:spacing w:val="4"/>
              </w:rPr>
              <w:t>治涝</w:t>
            </w:r>
          </w:p>
        </w:tc>
        <w:tc>
          <w:tcPr>
            <w:tcW w:w="729" w:type="dxa"/>
            <w:vAlign w:val="top"/>
          </w:tcPr>
          <w:p w14:paraId="0727ACA4">
            <w:pPr>
              <w:pStyle w:val="6"/>
              <w:spacing w:before="63" w:line="219" w:lineRule="auto"/>
              <w:ind w:left="167"/>
            </w:pPr>
            <w:r>
              <w:rPr>
                <w:spacing w:val="-3"/>
              </w:rPr>
              <w:t>灌溉</w:t>
            </w:r>
          </w:p>
        </w:tc>
        <w:tc>
          <w:tcPr>
            <w:tcW w:w="1448" w:type="dxa"/>
            <w:gridSpan w:val="2"/>
            <w:vAlign w:val="top"/>
          </w:tcPr>
          <w:p w14:paraId="7CC002D2">
            <w:pPr>
              <w:pStyle w:val="6"/>
              <w:spacing w:before="61" w:line="219" w:lineRule="auto"/>
              <w:ind w:left="558"/>
            </w:pPr>
            <w:r>
              <w:rPr>
                <w:spacing w:val="-2"/>
              </w:rPr>
              <w:t>供水</w:t>
            </w:r>
          </w:p>
        </w:tc>
        <w:tc>
          <w:tcPr>
            <w:tcW w:w="734" w:type="dxa"/>
            <w:vAlign w:val="top"/>
          </w:tcPr>
          <w:p w14:paraId="5D4E4569">
            <w:pPr>
              <w:pStyle w:val="6"/>
              <w:spacing w:before="63" w:line="220" w:lineRule="auto"/>
              <w:ind w:left="170"/>
            </w:pPr>
            <w:r>
              <w:rPr>
                <w:spacing w:val="5"/>
              </w:rPr>
              <w:t>发电</w:t>
            </w:r>
          </w:p>
        </w:tc>
      </w:tr>
      <w:tr w14:paraId="52D1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7" w:hRule="atLeast"/>
        </w:trPr>
        <w:tc>
          <w:tcPr>
            <w:tcW w:w="434" w:type="dxa"/>
            <w:vMerge w:val="continue"/>
            <w:tcBorders>
              <w:top w:val="nil"/>
            </w:tcBorders>
            <w:vAlign w:val="top"/>
          </w:tcPr>
          <w:p w14:paraId="34DDBC89">
            <w:pPr>
              <w:rPr>
                <w:rFonts w:ascii="Arial"/>
                <w:sz w:val="21"/>
              </w:rPr>
            </w:pPr>
          </w:p>
        </w:tc>
        <w:tc>
          <w:tcPr>
            <w:tcW w:w="849" w:type="dxa"/>
            <w:vMerge w:val="continue"/>
            <w:tcBorders>
              <w:top w:val="nil"/>
            </w:tcBorders>
            <w:vAlign w:val="top"/>
          </w:tcPr>
          <w:p w14:paraId="35A4A39F">
            <w:pPr>
              <w:rPr>
                <w:rFonts w:ascii="Arial"/>
                <w:sz w:val="21"/>
              </w:rPr>
            </w:pPr>
          </w:p>
        </w:tc>
        <w:tc>
          <w:tcPr>
            <w:tcW w:w="719" w:type="dxa"/>
            <w:vMerge w:val="continue"/>
            <w:tcBorders>
              <w:top w:val="nil"/>
            </w:tcBorders>
            <w:vAlign w:val="top"/>
          </w:tcPr>
          <w:p w14:paraId="6BAAA6E7">
            <w:pPr>
              <w:rPr>
                <w:rFonts w:ascii="Arial"/>
                <w:sz w:val="21"/>
              </w:rPr>
            </w:pPr>
          </w:p>
        </w:tc>
        <w:tc>
          <w:tcPr>
            <w:tcW w:w="729" w:type="dxa"/>
            <w:vAlign w:val="top"/>
          </w:tcPr>
          <w:p w14:paraId="1A82726D">
            <w:pPr>
              <w:pStyle w:val="6"/>
              <w:spacing w:before="189" w:line="220" w:lineRule="auto"/>
              <w:ind w:left="162"/>
            </w:pPr>
            <w:r>
              <w:rPr>
                <w:spacing w:val="7"/>
              </w:rPr>
              <w:t>保护</w:t>
            </w:r>
          </w:p>
          <w:p w14:paraId="3AC78757">
            <w:pPr>
              <w:pStyle w:val="6"/>
              <w:spacing w:before="16" w:line="222" w:lineRule="auto"/>
              <w:ind w:left="162"/>
            </w:pPr>
            <w:r>
              <w:rPr>
                <w:spacing w:val="14"/>
              </w:rPr>
              <w:t>人口</w:t>
            </w:r>
          </w:p>
          <w:p w14:paraId="5A4FB381">
            <w:pPr>
              <w:pStyle w:val="6"/>
              <w:spacing w:before="1" w:line="222" w:lineRule="auto"/>
              <w:ind w:left="13"/>
            </w:pPr>
            <w:r>
              <w:rPr>
                <w:spacing w:val="7"/>
              </w:rPr>
              <w:t>(10</w:t>
            </w:r>
            <w:r>
              <w:rPr>
                <w:rFonts w:ascii="Calibri" w:hAnsi="Calibri" w:eastAsia="Calibri" w:cs="Calibri"/>
                <w:spacing w:val="7"/>
              </w:rPr>
              <w:t>⁴</w:t>
            </w:r>
            <w:r>
              <w:rPr>
                <w:spacing w:val="7"/>
              </w:rPr>
              <w:t>人)</w:t>
            </w:r>
          </w:p>
        </w:tc>
        <w:tc>
          <w:tcPr>
            <w:tcW w:w="719" w:type="dxa"/>
            <w:vAlign w:val="top"/>
          </w:tcPr>
          <w:p w14:paraId="714C95FD">
            <w:pPr>
              <w:pStyle w:val="6"/>
              <w:spacing w:before="179" w:line="220" w:lineRule="auto"/>
              <w:ind w:left="64"/>
            </w:pPr>
            <w:r>
              <w:rPr>
                <w:spacing w:val="-2"/>
              </w:rPr>
              <w:t>保护农</w:t>
            </w:r>
          </w:p>
          <w:p w14:paraId="3FA0A697">
            <w:pPr>
              <w:pStyle w:val="6"/>
              <w:spacing w:before="33" w:line="220" w:lineRule="auto"/>
              <w:ind w:left="64"/>
            </w:pPr>
            <w:r>
              <w:rPr>
                <w:spacing w:val="4"/>
              </w:rPr>
              <w:t>田面积</w:t>
            </w:r>
          </w:p>
          <w:p w14:paraId="18A8AEAF">
            <w:pPr>
              <w:pStyle w:val="6"/>
              <w:spacing w:before="3" w:line="220" w:lineRule="auto"/>
              <w:ind w:left="13"/>
            </w:pPr>
            <w:r>
              <w:rPr>
                <w:spacing w:val="6"/>
              </w:rPr>
              <w:t>(10</w:t>
            </w:r>
            <w:r>
              <w:rPr>
                <w:rFonts w:ascii="Calibri" w:hAnsi="Calibri" w:eastAsia="Calibri" w:cs="Calibri"/>
                <w:spacing w:val="6"/>
              </w:rPr>
              <w:t>⁴</w:t>
            </w:r>
            <w:r>
              <w:rPr>
                <w:spacing w:val="6"/>
              </w:rPr>
              <w:t>亩)</w:t>
            </w:r>
          </w:p>
        </w:tc>
        <w:tc>
          <w:tcPr>
            <w:tcW w:w="729" w:type="dxa"/>
            <w:vAlign w:val="top"/>
          </w:tcPr>
          <w:p w14:paraId="2E065AA1">
            <w:pPr>
              <w:pStyle w:val="6"/>
              <w:spacing w:before="79" w:line="228" w:lineRule="auto"/>
              <w:ind w:left="74" w:right="57"/>
            </w:pPr>
            <w:r>
              <w:rPr>
                <w:spacing w:val="5"/>
              </w:rPr>
              <w:t>保护区</w:t>
            </w:r>
            <w:r>
              <w:t xml:space="preserve"> </w:t>
            </w:r>
            <w:r>
              <w:rPr>
                <w:spacing w:val="2"/>
              </w:rPr>
              <w:t>当量经</w:t>
            </w:r>
          </w:p>
          <w:p w14:paraId="59731C97">
            <w:pPr>
              <w:pStyle w:val="6"/>
              <w:spacing w:line="216" w:lineRule="auto"/>
              <w:ind w:left="74"/>
            </w:pPr>
            <w:r>
              <w:rPr>
                <w:spacing w:val="-2"/>
              </w:rPr>
              <w:t>济规模</w:t>
            </w:r>
          </w:p>
          <w:p w14:paraId="7652E1C8">
            <w:pPr>
              <w:pStyle w:val="6"/>
              <w:spacing w:line="222" w:lineRule="auto"/>
              <w:ind w:left="14"/>
            </w:pPr>
            <w:r>
              <w:rPr>
                <w:spacing w:val="7"/>
              </w:rPr>
              <w:t>(10</w:t>
            </w:r>
            <w:r>
              <w:rPr>
                <w:rFonts w:ascii="Calibri" w:hAnsi="Calibri" w:eastAsia="Calibri" w:cs="Calibri"/>
                <w:spacing w:val="7"/>
              </w:rPr>
              <w:t>⁴</w:t>
            </w:r>
            <w:r>
              <w:rPr>
                <w:spacing w:val="7"/>
              </w:rPr>
              <w:t>人)</w:t>
            </w:r>
          </w:p>
        </w:tc>
        <w:tc>
          <w:tcPr>
            <w:tcW w:w="719" w:type="dxa"/>
            <w:vAlign w:val="top"/>
          </w:tcPr>
          <w:p w14:paraId="3757933B">
            <w:pPr>
              <w:spacing w:line="275" w:lineRule="auto"/>
              <w:rPr>
                <w:rFonts w:ascii="Arial"/>
                <w:sz w:val="21"/>
              </w:rPr>
            </w:pPr>
          </w:p>
          <w:p w14:paraId="726B5856">
            <w:pPr>
              <w:pStyle w:val="6"/>
              <w:spacing w:before="61" w:line="205" w:lineRule="auto"/>
              <w:jc w:val="right"/>
            </w:pPr>
            <w:r>
              <w:rPr>
                <w:spacing w:val="-19"/>
              </w:rPr>
              <w:t>治</w:t>
            </w:r>
            <w:r>
              <w:rPr>
                <w:spacing w:val="-18"/>
              </w:rPr>
              <w:t>涝面</w:t>
            </w:r>
            <w:r>
              <w:rPr>
                <w:spacing w:val="-13"/>
              </w:rPr>
              <w:t>积</w:t>
            </w:r>
          </w:p>
          <w:p w14:paraId="4037A0D7">
            <w:pPr>
              <w:pStyle w:val="6"/>
              <w:spacing w:line="220" w:lineRule="auto"/>
              <w:ind w:left="16"/>
            </w:pPr>
            <w:r>
              <w:rPr>
                <w:spacing w:val="6"/>
              </w:rPr>
              <w:t>(10</w:t>
            </w:r>
            <w:r>
              <w:rPr>
                <w:rFonts w:ascii="Calibri" w:hAnsi="Calibri" w:eastAsia="Calibri" w:cs="Calibri"/>
                <w:spacing w:val="6"/>
              </w:rPr>
              <w:t>⁴</w:t>
            </w:r>
            <w:r>
              <w:rPr>
                <w:spacing w:val="6"/>
              </w:rPr>
              <w:t>亩)</w:t>
            </w:r>
          </w:p>
        </w:tc>
        <w:tc>
          <w:tcPr>
            <w:tcW w:w="729" w:type="dxa"/>
            <w:vAlign w:val="top"/>
          </w:tcPr>
          <w:p w14:paraId="5818BFB8">
            <w:pPr>
              <w:pStyle w:val="6"/>
              <w:spacing w:before="199" w:line="219" w:lineRule="auto"/>
              <w:ind w:left="167"/>
            </w:pPr>
            <w:r>
              <w:rPr>
                <w:spacing w:val="-3"/>
              </w:rPr>
              <w:t>灌溉</w:t>
            </w:r>
          </w:p>
          <w:p w14:paraId="2C0BD6A5">
            <w:pPr>
              <w:pStyle w:val="6"/>
              <w:spacing w:before="14" w:line="214" w:lineRule="auto"/>
              <w:ind w:left="167"/>
            </w:pPr>
            <w:r>
              <w:rPr>
                <w:spacing w:val="6"/>
              </w:rPr>
              <w:t>面积</w:t>
            </w:r>
          </w:p>
          <w:p w14:paraId="202DB376">
            <w:pPr>
              <w:pStyle w:val="6"/>
              <w:spacing w:line="220" w:lineRule="auto"/>
              <w:ind w:left="16"/>
            </w:pPr>
            <w:r>
              <w:rPr>
                <w:spacing w:val="7"/>
              </w:rPr>
              <w:t>(10</w:t>
            </w:r>
            <w:r>
              <w:rPr>
                <w:rFonts w:ascii="Calibri" w:hAnsi="Calibri" w:eastAsia="Calibri" w:cs="Calibri"/>
                <w:spacing w:val="7"/>
              </w:rPr>
              <w:t>⁴</w:t>
            </w:r>
            <w:r>
              <w:rPr>
                <w:spacing w:val="7"/>
              </w:rPr>
              <w:t>亩)</w:t>
            </w:r>
          </w:p>
        </w:tc>
        <w:tc>
          <w:tcPr>
            <w:tcW w:w="719" w:type="dxa"/>
            <w:vAlign w:val="top"/>
          </w:tcPr>
          <w:p w14:paraId="4A6C60F0">
            <w:pPr>
              <w:spacing w:line="263" w:lineRule="auto"/>
              <w:rPr>
                <w:rFonts w:ascii="Arial"/>
                <w:sz w:val="21"/>
              </w:rPr>
            </w:pPr>
          </w:p>
          <w:p w14:paraId="0007DBA0">
            <w:pPr>
              <w:pStyle w:val="6"/>
              <w:spacing w:before="62" w:line="219" w:lineRule="auto"/>
              <w:ind w:left="66" w:hanging="49"/>
            </w:pPr>
            <w:r>
              <w:rPr>
                <w:spacing w:val="-16"/>
                <w:w w:val="98"/>
              </w:rPr>
              <w:t>供水</w:t>
            </w:r>
            <w:r>
              <w:rPr>
                <w:spacing w:val="-15"/>
                <w:w w:val="98"/>
              </w:rPr>
              <w:t>对</w:t>
            </w:r>
            <w:r>
              <w:rPr>
                <w:spacing w:val="-9"/>
                <w:w w:val="98"/>
              </w:rPr>
              <w:t>象</w:t>
            </w:r>
            <w:r>
              <w:rPr>
                <w:spacing w:val="1"/>
              </w:rPr>
              <w:t xml:space="preserve"> </w:t>
            </w:r>
            <w:r>
              <w:rPr>
                <w:spacing w:val="-3"/>
              </w:rPr>
              <w:t>重要性</w:t>
            </w:r>
          </w:p>
        </w:tc>
        <w:tc>
          <w:tcPr>
            <w:tcW w:w="729" w:type="dxa"/>
            <w:vAlign w:val="top"/>
          </w:tcPr>
          <w:p w14:paraId="2990A18C">
            <w:pPr>
              <w:spacing w:line="265" w:lineRule="auto"/>
              <w:rPr>
                <w:rFonts w:ascii="Arial"/>
                <w:sz w:val="21"/>
              </w:rPr>
            </w:pPr>
          </w:p>
          <w:p w14:paraId="42770EA0">
            <w:pPr>
              <w:pStyle w:val="6"/>
              <w:spacing w:before="61" w:line="197" w:lineRule="auto"/>
              <w:jc w:val="right"/>
            </w:pPr>
            <w:r>
              <w:rPr>
                <w:spacing w:val="-19"/>
              </w:rPr>
              <w:t>年引</w:t>
            </w:r>
            <w:r>
              <w:rPr>
                <w:spacing w:val="-18"/>
              </w:rPr>
              <w:t>水</w:t>
            </w:r>
            <w:r>
              <w:rPr>
                <w:spacing w:val="-8"/>
              </w:rPr>
              <w:t>量</w:t>
            </w:r>
          </w:p>
          <w:p w14:paraId="0EDD933E">
            <w:pPr>
              <w:pStyle w:val="6"/>
              <w:spacing w:line="222" w:lineRule="auto"/>
              <w:ind w:left="19"/>
              <w:rPr>
                <w:sz w:val="18"/>
                <w:szCs w:val="18"/>
              </w:rPr>
            </w:pPr>
            <w:r>
              <w:rPr>
                <w:spacing w:val="-5"/>
                <w:sz w:val="18"/>
                <w:szCs w:val="18"/>
              </w:rPr>
              <w:t>(10°m³)</w:t>
            </w:r>
          </w:p>
        </w:tc>
        <w:tc>
          <w:tcPr>
            <w:tcW w:w="734" w:type="dxa"/>
            <w:vAlign w:val="top"/>
          </w:tcPr>
          <w:p w14:paraId="482FCB59">
            <w:pPr>
              <w:pStyle w:val="6"/>
              <w:spacing w:before="209" w:line="220" w:lineRule="auto"/>
              <w:ind w:left="80"/>
            </w:pPr>
            <w:r>
              <w:rPr>
                <w:spacing w:val="-3"/>
              </w:rPr>
              <w:t>发电装</w:t>
            </w:r>
          </w:p>
          <w:p w14:paraId="2FC69071">
            <w:pPr>
              <w:pStyle w:val="6"/>
              <w:spacing w:before="22" w:line="217" w:lineRule="auto"/>
              <w:ind w:left="80"/>
            </w:pPr>
            <w:r>
              <w:rPr>
                <w:spacing w:val="-2"/>
              </w:rPr>
              <w:t>机容量</w:t>
            </w:r>
          </w:p>
          <w:p w14:paraId="442F1758">
            <w:pPr>
              <w:pStyle w:val="6"/>
              <w:spacing w:line="222" w:lineRule="auto"/>
              <w:ind w:left="170"/>
            </w:pPr>
            <w:r>
              <w:rPr>
                <w:spacing w:val="-8"/>
              </w:rPr>
              <w:t>(MW)</w:t>
            </w:r>
          </w:p>
        </w:tc>
      </w:tr>
      <w:tr w14:paraId="6C038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34" w:type="dxa"/>
            <w:vAlign w:val="top"/>
          </w:tcPr>
          <w:p w14:paraId="3719B61C">
            <w:pPr>
              <w:pStyle w:val="6"/>
              <w:spacing w:before="90" w:line="212" w:lineRule="auto"/>
              <w:ind w:left="154"/>
            </w:pPr>
            <w:r>
              <w:t>I</w:t>
            </w:r>
          </w:p>
        </w:tc>
        <w:tc>
          <w:tcPr>
            <w:tcW w:w="849" w:type="dxa"/>
            <w:vAlign w:val="top"/>
          </w:tcPr>
          <w:p w14:paraId="5ED4B588">
            <w:pPr>
              <w:pStyle w:val="6"/>
              <w:spacing w:before="72" w:line="220" w:lineRule="auto"/>
              <w:ind w:left="81"/>
            </w:pPr>
            <w:r>
              <w:rPr>
                <w:spacing w:val="-2"/>
              </w:rPr>
              <w:t>大(1)型</w:t>
            </w:r>
          </w:p>
        </w:tc>
        <w:tc>
          <w:tcPr>
            <w:tcW w:w="719" w:type="dxa"/>
            <w:vAlign w:val="top"/>
          </w:tcPr>
          <w:p w14:paraId="32818424">
            <w:pPr>
              <w:pStyle w:val="6"/>
              <w:spacing w:before="89" w:line="213" w:lineRule="auto"/>
              <w:ind w:left="161"/>
            </w:pPr>
            <w:r>
              <w:rPr>
                <w:spacing w:val="-7"/>
              </w:rPr>
              <w:t>≥10</w:t>
            </w:r>
          </w:p>
        </w:tc>
        <w:tc>
          <w:tcPr>
            <w:tcW w:w="729" w:type="dxa"/>
            <w:vAlign w:val="top"/>
          </w:tcPr>
          <w:p w14:paraId="039D0C9C">
            <w:pPr>
              <w:pStyle w:val="6"/>
              <w:spacing w:before="89" w:line="213" w:lineRule="auto"/>
              <w:ind w:left="113"/>
            </w:pPr>
            <w:r>
              <w:rPr>
                <w:spacing w:val="-6"/>
              </w:rPr>
              <w:t>≥150</w:t>
            </w:r>
          </w:p>
        </w:tc>
        <w:tc>
          <w:tcPr>
            <w:tcW w:w="719" w:type="dxa"/>
            <w:vAlign w:val="top"/>
          </w:tcPr>
          <w:p w14:paraId="7F7E7B5E">
            <w:pPr>
              <w:pStyle w:val="6"/>
              <w:spacing w:before="89" w:line="213" w:lineRule="auto"/>
              <w:ind w:left="113"/>
            </w:pPr>
            <w:r>
              <w:rPr>
                <w:spacing w:val="-6"/>
              </w:rPr>
              <w:t>≥500</w:t>
            </w:r>
          </w:p>
        </w:tc>
        <w:tc>
          <w:tcPr>
            <w:tcW w:w="729" w:type="dxa"/>
            <w:vAlign w:val="top"/>
          </w:tcPr>
          <w:p w14:paraId="1020D1D0">
            <w:pPr>
              <w:pStyle w:val="6"/>
              <w:spacing w:before="89" w:line="213" w:lineRule="auto"/>
              <w:ind w:left="114"/>
            </w:pPr>
            <w:r>
              <w:rPr>
                <w:spacing w:val="-6"/>
              </w:rPr>
              <w:t>≥300</w:t>
            </w:r>
          </w:p>
        </w:tc>
        <w:tc>
          <w:tcPr>
            <w:tcW w:w="719" w:type="dxa"/>
            <w:vAlign w:val="top"/>
          </w:tcPr>
          <w:p w14:paraId="6ACA8FE7">
            <w:pPr>
              <w:pStyle w:val="6"/>
              <w:spacing w:before="89" w:line="213" w:lineRule="auto"/>
              <w:ind w:left="116"/>
            </w:pPr>
            <w:r>
              <w:rPr>
                <w:spacing w:val="-6"/>
              </w:rPr>
              <w:t>≥200</w:t>
            </w:r>
          </w:p>
        </w:tc>
        <w:tc>
          <w:tcPr>
            <w:tcW w:w="729" w:type="dxa"/>
            <w:vAlign w:val="top"/>
          </w:tcPr>
          <w:p w14:paraId="0B573F59">
            <w:pPr>
              <w:pStyle w:val="6"/>
              <w:spacing w:before="89" w:line="213" w:lineRule="auto"/>
              <w:ind w:left="116"/>
            </w:pPr>
            <w:r>
              <w:rPr>
                <w:spacing w:val="-6"/>
              </w:rPr>
              <w:t>≥150</w:t>
            </w:r>
          </w:p>
        </w:tc>
        <w:tc>
          <w:tcPr>
            <w:tcW w:w="719" w:type="dxa"/>
            <w:vAlign w:val="top"/>
          </w:tcPr>
          <w:p w14:paraId="6B1811CF">
            <w:pPr>
              <w:pStyle w:val="6"/>
              <w:spacing w:before="71" w:line="219" w:lineRule="auto"/>
              <w:jc w:val="right"/>
            </w:pPr>
            <w:r>
              <w:rPr>
                <w:spacing w:val="-17"/>
                <w:w w:val="98"/>
              </w:rPr>
              <w:t>特别</w:t>
            </w:r>
            <w:r>
              <w:rPr>
                <w:spacing w:val="-16"/>
                <w:w w:val="98"/>
              </w:rPr>
              <w:t>重</w:t>
            </w:r>
            <w:r>
              <w:rPr>
                <w:spacing w:val="-10"/>
                <w:w w:val="98"/>
              </w:rPr>
              <w:t>要</w:t>
            </w:r>
          </w:p>
        </w:tc>
        <w:tc>
          <w:tcPr>
            <w:tcW w:w="729" w:type="dxa"/>
            <w:vAlign w:val="top"/>
          </w:tcPr>
          <w:p w14:paraId="34754ADB">
            <w:pPr>
              <w:pStyle w:val="6"/>
              <w:spacing w:before="89" w:line="213" w:lineRule="auto"/>
              <w:ind w:left="168"/>
            </w:pPr>
            <w:r>
              <w:rPr>
                <w:spacing w:val="-7"/>
              </w:rPr>
              <w:t>≥10</w:t>
            </w:r>
          </w:p>
        </w:tc>
        <w:tc>
          <w:tcPr>
            <w:tcW w:w="734" w:type="dxa"/>
            <w:vAlign w:val="top"/>
          </w:tcPr>
          <w:p w14:paraId="4BAD966B">
            <w:pPr>
              <w:pStyle w:val="6"/>
              <w:spacing w:before="89" w:line="213" w:lineRule="auto"/>
              <w:ind w:left="80"/>
            </w:pPr>
            <w:r>
              <w:rPr>
                <w:spacing w:val="-5"/>
              </w:rPr>
              <w:t>≥1200</w:t>
            </w:r>
          </w:p>
        </w:tc>
      </w:tr>
      <w:tr w14:paraId="27A2D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34" w:type="dxa"/>
            <w:vAlign w:val="top"/>
          </w:tcPr>
          <w:p w14:paraId="5ECC8C5E">
            <w:pPr>
              <w:pStyle w:val="6"/>
              <w:spacing w:before="209" w:line="235" w:lineRule="auto"/>
              <w:ind w:left="115"/>
            </w:pPr>
            <w:r>
              <w:t>Ⅱ</w:t>
            </w:r>
          </w:p>
        </w:tc>
        <w:tc>
          <w:tcPr>
            <w:tcW w:w="849" w:type="dxa"/>
            <w:vAlign w:val="top"/>
          </w:tcPr>
          <w:p w14:paraId="05750A79">
            <w:pPr>
              <w:pStyle w:val="6"/>
              <w:spacing w:before="193" w:line="220" w:lineRule="auto"/>
              <w:ind w:left="81"/>
            </w:pPr>
            <w:r>
              <w:rPr>
                <w:spacing w:val="-2"/>
              </w:rPr>
              <w:t>大(2)型</w:t>
            </w:r>
          </w:p>
        </w:tc>
        <w:tc>
          <w:tcPr>
            <w:tcW w:w="719" w:type="dxa"/>
            <w:vAlign w:val="top"/>
          </w:tcPr>
          <w:p w14:paraId="2435E786">
            <w:pPr>
              <w:pStyle w:val="6"/>
              <w:spacing w:before="100" w:line="216" w:lineRule="auto"/>
              <w:ind w:left="161"/>
            </w:pPr>
            <w:r>
              <w:rPr>
                <w:spacing w:val="-3"/>
              </w:rPr>
              <w:t>&lt;10,</w:t>
            </w:r>
          </w:p>
          <w:p w14:paraId="583E044F">
            <w:pPr>
              <w:pStyle w:val="6"/>
              <w:spacing w:before="28" w:line="192" w:lineRule="auto"/>
              <w:ind w:left="112"/>
            </w:pPr>
            <w:r>
              <w:rPr>
                <w:spacing w:val="-7"/>
              </w:rPr>
              <w:t>≥1.0</w:t>
            </w:r>
          </w:p>
        </w:tc>
        <w:tc>
          <w:tcPr>
            <w:tcW w:w="729" w:type="dxa"/>
            <w:vAlign w:val="top"/>
          </w:tcPr>
          <w:p w14:paraId="0487FB88">
            <w:pPr>
              <w:pStyle w:val="6"/>
              <w:spacing w:before="79" w:line="228" w:lineRule="auto"/>
              <w:ind w:left="162" w:right="142" w:hanging="49"/>
            </w:pPr>
            <w:r>
              <w:rPr>
                <w:spacing w:val="-3"/>
              </w:rPr>
              <w:t>&lt;150,</w:t>
            </w:r>
            <w:r>
              <w:rPr>
                <w:spacing w:val="2"/>
              </w:rPr>
              <w:t xml:space="preserve"> </w:t>
            </w:r>
            <w:r>
              <w:rPr>
                <w:spacing w:val="-7"/>
              </w:rPr>
              <w:t>≥50</w:t>
            </w:r>
          </w:p>
        </w:tc>
        <w:tc>
          <w:tcPr>
            <w:tcW w:w="719" w:type="dxa"/>
            <w:vAlign w:val="top"/>
          </w:tcPr>
          <w:p w14:paraId="3141E745">
            <w:pPr>
              <w:pStyle w:val="6"/>
              <w:spacing w:before="89" w:line="223" w:lineRule="auto"/>
              <w:ind w:left="113" w:right="131"/>
            </w:pPr>
            <w:r>
              <w:rPr>
                <w:spacing w:val="-3"/>
              </w:rPr>
              <w:t>&lt;500,</w:t>
            </w:r>
            <w:r>
              <w:rPr>
                <w:spacing w:val="2"/>
              </w:rPr>
              <w:t xml:space="preserve"> </w:t>
            </w:r>
            <w:r>
              <w:rPr>
                <w:spacing w:val="-6"/>
              </w:rPr>
              <w:t>≥100</w:t>
            </w:r>
          </w:p>
        </w:tc>
        <w:tc>
          <w:tcPr>
            <w:tcW w:w="729" w:type="dxa"/>
            <w:vAlign w:val="top"/>
          </w:tcPr>
          <w:p w14:paraId="277AEA3A">
            <w:pPr>
              <w:pStyle w:val="6"/>
              <w:spacing w:before="79" w:line="228" w:lineRule="auto"/>
              <w:ind w:left="114" w:right="140"/>
            </w:pPr>
            <w:r>
              <w:rPr>
                <w:spacing w:val="-3"/>
              </w:rPr>
              <w:t>&lt;300,</w:t>
            </w:r>
            <w:r>
              <w:rPr>
                <w:spacing w:val="2"/>
              </w:rPr>
              <w:t xml:space="preserve"> </w:t>
            </w:r>
            <w:r>
              <w:rPr>
                <w:spacing w:val="-6"/>
              </w:rPr>
              <w:t>≥100</w:t>
            </w:r>
          </w:p>
        </w:tc>
        <w:tc>
          <w:tcPr>
            <w:tcW w:w="719" w:type="dxa"/>
            <w:vAlign w:val="top"/>
          </w:tcPr>
          <w:p w14:paraId="7B3B3D00">
            <w:pPr>
              <w:pStyle w:val="6"/>
              <w:spacing w:before="89" w:line="223" w:lineRule="auto"/>
              <w:ind w:left="165" w:right="129" w:hanging="49"/>
            </w:pPr>
            <w:r>
              <w:rPr>
                <w:spacing w:val="-3"/>
              </w:rPr>
              <w:t>&lt;200,</w:t>
            </w:r>
            <w:r>
              <w:rPr>
                <w:spacing w:val="2"/>
              </w:rPr>
              <w:t xml:space="preserve"> </w:t>
            </w:r>
            <w:r>
              <w:rPr>
                <w:spacing w:val="-7"/>
              </w:rPr>
              <w:t>≥60</w:t>
            </w:r>
          </w:p>
        </w:tc>
        <w:tc>
          <w:tcPr>
            <w:tcW w:w="729" w:type="dxa"/>
            <w:vAlign w:val="top"/>
          </w:tcPr>
          <w:p w14:paraId="255B4D95">
            <w:pPr>
              <w:pStyle w:val="6"/>
              <w:spacing w:before="89" w:line="223" w:lineRule="auto"/>
              <w:ind w:left="166" w:right="139" w:hanging="50"/>
            </w:pPr>
            <w:r>
              <w:rPr>
                <w:spacing w:val="-3"/>
              </w:rPr>
              <w:t>&lt;150,</w:t>
            </w:r>
            <w:r>
              <w:rPr>
                <w:spacing w:val="2"/>
              </w:rPr>
              <w:t xml:space="preserve"> </w:t>
            </w:r>
            <w:r>
              <w:rPr>
                <w:spacing w:val="-7"/>
              </w:rPr>
              <w:t>≥50</w:t>
            </w:r>
          </w:p>
        </w:tc>
        <w:tc>
          <w:tcPr>
            <w:tcW w:w="719" w:type="dxa"/>
            <w:vAlign w:val="top"/>
          </w:tcPr>
          <w:p w14:paraId="5426485C">
            <w:pPr>
              <w:pStyle w:val="6"/>
              <w:spacing w:before="195" w:line="222" w:lineRule="auto"/>
              <w:ind w:left="168"/>
            </w:pPr>
            <w:r>
              <w:rPr>
                <w:spacing w:val="-3"/>
              </w:rPr>
              <w:t>重要</w:t>
            </w:r>
          </w:p>
        </w:tc>
        <w:tc>
          <w:tcPr>
            <w:tcW w:w="729" w:type="dxa"/>
            <w:vAlign w:val="top"/>
          </w:tcPr>
          <w:p w14:paraId="540A42E0">
            <w:pPr>
              <w:pStyle w:val="6"/>
              <w:spacing w:before="100" w:line="218" w:lineRule="auto"/>
              <w:ind w:left="218" w:right="182" w:hanging="50"/>
            </w:pPr>
            <w:r>
              <w:rPr>
                <w:spacing w:val="-3"/>
              </w:rPr>
              <w:t>&lt;10,</w:t>
            </w:r>
            <w:r>
              <w:t xml:space="preserve"> </w:t>
            </w:r>
            <w:r>
              <w:rPr>
                <w:spacing w:val="-9"/>
              </w:rPr>
              <w:t>≥3</w:t>
            </w:r>
          </w:p>
        </w:tc>
        <w:tc>
          <w:tcPr>
            <w:tcW w:w="734" w:type="dxa"/>
            <w:vAlign w:val="top"/>
          </w:tcPr>
          <w:p w14:paraId="5B4E56E2">
            <w:pPr>
              <w:pStyle w:val="6"/>
              <w:spacing w:before="110" w:line="213" w:lineRule="auto"/>
              <w:ind w:left="119" w:right="85" w:hanging="39"/>
            </w:pPr>
            <w:r>
              <w:rPr>
                <w:spacing w:val="-2"/>
              </w:rPr>
              <w:t>&lt;1200,</w:t>
            </w:r>
            <w:r>
              <w:t xml:space="preserve"> </w:t>
            </w:r>
            <w:r>
              <w:rPr>
                <w:spacing w:val="-6"/>
              </w:rPr>
              <w:t>≥300</w:t>
            </w:r>
          </w:p>
        </w:tc>
      </w:tr>
      <w:tr w14:paraId="3D30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34" w:type="dxa"/>
            <w:vAlign w:val="top"/>
          </w:tcPr>
          <w:p w14:paraId="04FF85E8">
            <w:pPr>
              <w:pStyle w:val="6"/>
              <w:spacing w:before="210" w:line="235" w:lineRule="auto"/>
              <w:ind w:left="115"/>
            </w:pPr>
            <w:r>
              <w:t>Ⅲ</w:t>
            </w:r>
          </w:p>
        </w:tc>
        <w:tc>
          <w:tcPr>
            <w:tcW w:w="849" w:type="dxa"/>
            <w:vAlign w:val="top"/>
          </w:tcPr>
          <w:p w14:paraId="02B96AFB">
            <w:pPr>
              <w:pStyle w:val="6"/>
              <w:spacing w:before="194" w:line="220" w:lineRule="auto"/>
              <w:ind w:left="220"/>
            </w:pPr>
            <w:r>
              <w:rPr>
                <w:spacing w:val="6"/>
              </w:rPr>
              <w:t>中型</w:t>
            </w:r>
          </w:p>
        </w:tc>
        <w:tc>
          <w:tcPr>
            <w:tcW w:w="719" w:type="dxa"/>
            <w:vAlign w:val="top"/>
          </w:tcPr>
          <w:p w14:paraId="0274F72D">
            <w:pPr>
              <w:pStyle w:val="6"/>
              <w:spacing w:before="81" w:line="216" w:lineRule="auto"/>
              <w:ind w:left="112"/>
            </w:pPr>
            <w:r>
              <w:rPr>
                <w:spacing w:val="-2"/>
              </w:rPr>
              <w:t>&lt;1.0,</w:t>
            </w:r>
          </w:p>
          <w:p w14:paraId="3A2D4E34">
            <w:pPr>
              <w:pStyle w:val="6"/>
              <w:spacing w:before="48" w:line="191" w:lineRule="auto"/>
              <w:ind w:left="61"/>
            </w:pPr>
            <w:r>
              <w:rPr>
                <w:spacing w:val="-6"/>
              </w:rPr>
              <w:t>≥0.10</w:t>
            </w:r>
          </w:p>
        </w:tc>
        <w:tc>
          <w:tcPr>
            <w:tcW w:w="729" w:type="dxa"/>
            <w:vAlign w:val="top"/>
          </w:tcPr>
          <w:p w14:paraId="512C992C">
            <w:pPr>
              <w:pStyle w:val="6"/>
              <w:spacing w:before="89" w:line="223" w:lineRule="auto"/>
              <w:ind w:left="162" w:right="187"/>
            </w:pPr>
            <w:r>
              <w:rPr>
                <w:spacing w:val="-3"/>
              </w:rPr>
              <w:t>&lt;50,</w:t>
            </w:r>
            <w:r>
              <w:t xml:space="preserve"> </w:t>
            </w:r>
            <w:r>
              <w:rPr>
                <w:spacing w:val="-7"/>
              </w:rPr>
              <w:t>≥20</w:t>
            </w:r>
          </w:p>
        </w:tc>
        <w:tc>
          <w:tcPr>
            <w:tcW w:w="719" w:type="dxa"/>
            <w:vAlign w:val="top"/>
          </w:tcPr>
          <w:p w14:paraId="77869482">
            <w:pPr>
              <w:pStyle w:val="6"/>
              <w:spacing w:before="71" w:line="232" w:lineRule="auto"/>
              <w:ind w:left="163" w:right="131" w:hanging="50"/>
            </w:pPr>
            <w:r>
              <w:rPr>
                <w:spacing w:val="-3"/>
              </w:rPr>
              <w:t>&lt;100,</w:t>
            </w:r>
            <w:r>
              <w:rPr>
                <w:spacing w:val="2"/>
              </w:rPr>
              <w:t xml:space="preserve"> </w:t>
            </w:r>
            <w:r>
              <w:rPr>
                <w:spacing w:val="-7"/>
              </w:rPr>
              <w:t>≥30</w:t>
            </w:r>
          </w:p>
        </w:tc>
        <w:tc>
          <w:tcPr>
            <w:tcW w:w="729" w:type="dxa"/>
            <w:vAlign w:val="top"/>
          </w:tcPr>
          <w:p w14:paraId="3F34CD9F">
            <w:pPr>
              <w:pStyle w:val="6"/>
              <w:spacing w:before="81" w:line="227" w:lineRule="auto"/>
              <w:ind w:left="164" w:right="140" w:hanging="50"/>
            </w:pPr>
            <w:r>
              <w:rPr>
                <w:spacing w:val="-3"/>
              </w:rPr>
              <w:t>&lt;100,</w:t>
            </w:r>
            <w:r>
              <w:rPr>
                <w:spacing w:val="2"/>
              </w:rPr>
              <w:t xml:space="preserve"> </w:t>
            </w:r>
            <w:r>
              <w:rPr>
                <w:spacing w:val="-7"/>
              </w:rPr>
              <w:t>≥40</w:t>
            </w:r>
          </w:p>
        </w:tc>
        <w:tc>
          <w:tcPr>
            <w:tcW w:w="719" w:type="dxa"/>
            <w:vAlign w:val="top"/>
          </w:tcPr>
          <w:p w14:paraId="7950E7AB">
            <w:pPr>
              <w:pStyle w:val="6"/>
              <w:spacing w:before="89" w:line="223" w:lineRule="auto"/>
              <w:ind w:left="165" w:right="174"/>
            </w:pPr>
            <w:r>
              <w:rPr>
                <w:spacing w:val="-3"/>
              </w:rPr>
              <w:t>&lt;60,</w:t>
            </w:r>
            <w:r>
              <w:t xml:space="preserve"> </w:t>
            </w:r>
            <w:r>
              <w:rPr>
                <w:spacing w:val="-7"/>
              </w:rPr>
              <w:t>≥15</w:t>
            </w:r>
          </w:p>
        </w:tc>
        <w:tc>
          <w:tcPr>
            <w:tcW w:w="729" w:type="dxa"/>
            <w:vAlign w:val="top"/>
          </w:tcPr>
          <w:p w14:paraId="0FC13F78">
            <w:pPr>
              <w:pStyle w:val="6"/>
              <w:spacing w:before="89" w:line="223" w:lineRule="auto"/>
              <w:ind w:left="216" w:right="183" w:hanging="49"/>
            </w:pPr>
            <w:r>
              <w:rPr>
                <w:spacing w:val="-3"/>
              </w:rPr>
              <w:t>&lt;50,</w:t>
            </w:r>
            <w:r>
              <w:t xml:space="preserve"> </w:t>
            </w:r>
            <w:r>
              <w:rPr>
                <w:spacing w:val="-9"/>
              </w:rPr>
              <w:t>≥5</w:t>
            </w:r>
          </w:p>
        </w:tc>
        <w:tc>
          <w:tcPr>
            <w:tcW w:w="719" w:type="dxa"/>
            <w:vAlign w:val="top"/>
          </w:tcPr>
          <w:p w14:paraId="358A3645">
            <w:pPr>
              <w:pStyle w:val="6"/>
              <w:spacing w:before="196" w:line="221" w:lineRule="auto"/>
              <w:jc w:val="right"/>
            </w:pPr>
            <w:r>
              <w:rPr>
                <w:spacing w:val="-21"/>
              </w:rPr>
              <w:t>比较</w:t>
            </w:r>
            <w:r>
              <w:rPr>
                <w:spacing w:val="-20"/>
              </w:rPr>
              <w:t>重</w:t>
            </w:r>
            <w:r>
              <w:rPr>
                <w:spacing w:val="-10"/>
              </w:rPr>
              <w:t>要</w:t>
            </w:r>
          </w:p>
        </w:tc>
        <w:tc>
          <w:tcPr>
            <w:tcW w:w="729" w:type="dxa"/>
            <w:vAlign w:val="top"/>
          </w:tcPr>
          <w:p w14:paraId="17CDABFF">
            <w:pPr>
              <w:pStyle w:val="6"/>
              <w:spacing w:before="100" w:line="218" w:lineRule="auto"/>
              <w:ind w:left="219" w:right="226"/>
            </w:pPr>
            <w:r>
              <w:rPr>
                <w:spacing w:val="-4"/>
              </w:rPr>
              <w:t>&lt;3,</w:t>
            </w:r>
            <w:r>
              <w:t xml:space="preserve"> </w:t>
            </w:r>
            <w:r>
              <w:rPr>
                <w:spacing w:val="-9"/>
              </w:rPr>
              <w:t>≥1</w:t>
            </w:r>
          </w:p>
        </w:tc>
        <w:tc>
          <w:tcPr>
            <w:tcW w:w="734" w:type="dxa"/>
            <w:vAlign w:val="top"/>
          </w:tcPr>
          <w:p w14:paraId="37780F59">
            <w:pPr>
              <w:pStyle w:val="6"/>
              <w:spacing w:before="100" w:line="218" w:lineRule="auto"/>
              <w:ind w:left="169" w:right="141" w:hanging="50"/>
            </w:pPr>
            <w:r>
              <w:rPr>
                <w:spacing w:val="-3"/>
              </w:rPr>
              <w:t>&lt;300,</w:t>
            </w:r>
            <w:r>
              <w:rPr>
                <w:spacing w:val="2"/>
              </w:rPr>
              <w:t xml:space="preserve"> </w:t>
            </w:r>
            <w:r>
              <w:rPr>
                <w:spacing w:val="-7"/>
              </w:rPr>
              <w:t>≥50</w:t>
            </w:r>
          </w:p>
        </w:tc>
      </w:tr>
      <w:tr w14:paraId="4AB2D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434" w:type="dxa"/>
            <w:vAlign w:val="top"/>
          </w:tcPr>
          <w:p w14:paraId="76EF5CA9">
            <w:pPr>
              <w:pStyle w:val="6"/>
              <w:spacing w:before="244" w:line="182" w:lineRule="auto"/>
              <w:ind w:left="115"/>
            </w:pPr>
            <w:r>
              <w:rPr>
                <w:spacing w:val="-5"/>
              </w:rPr>
              <w:t>IV</w:t>
            </w:r>
          </w:p>
        </w:tc>
        <w:tc>
          <w:tcPr>
            <w:tcW w:w="849" w:type="dxa"/>
            <w:vAlign w:val="top"/>
          </w:tcPr>
          <w:p w14:paraId="601A0C6D">
            <w:pPr>
              <w:pStyle w:val="6"/>
              <w:spacing w:before="197" w:line="221" w:lineRule="auto"/>
              <w:ind w:left="81"/>
            </w:pPr>
            <w:r>
              <w:rPr>
                <w:spacing w:val="1"/>
              </w:rPr>
              <w:t>小(1)型</w:t>
            </w:r>
          </w:p>
        </w:tc>
        <w:tc>
          <w:tcPr>
            <w:tcW w:w="719" w:type="dxa"/>
            <w:vAlign w:val="top"/>
          </w:tcPr>
          <w:p w14:paraId="373FC11F">
            <w:pPr>
              <w:pStyle w:val="6"/>
              <w:spacing w:before="92" w:line="216" w:lineRule="auto"/>
              <w:ind w:left="112"/>
            </w:pPr>
            <w:r>
              <w:rPr>
                <w:spacing w:val="-1"/>
              </w:rPr>
              <w:t>&lt;0.1,</w:t>
            </w:r>
          </w:p>
          <w:p w14:paraId="256A6455">
            <w:pPr>
              <w:pStyle w:val="6"/>
              <w:spacing w:before="18" w:line="210" w:lineRule="auto"/>
              <w:ind w:left="61"/>
            </w:pPr>
            <w:r>
              <w:rPr>
                <w:spacing w:val="-6"/>
              </w:rPr>
              <w:t>≥0.01</w:t>
            </w:r>
          </w:p>
        </w:tc>
        <w:tc>
          <w:tcPr>
            <w:tcW w:w="729" w:type="dxa"/>
            <w:vAlign w:val="top"/>
          </w:tcPr>
          <w:p w14:paraId="028DC4CA">
            <w:pPr>
              <w:pStyle w:val="6"/>
              <w:spacing w:before="92" w:line="222" w:lineRule="auto"/>
              <w:ind w:left="212" w:right="187" w:hanging="50"/>
            </w:pPr>
            <w:r>
              <w:rPr>
                <w:spacing w:val="-3"/>
              </w:rPr>
              <w:t>&lt;20,</w:t>
            </w:r>
            <w:r>
              <w:t xml:space="preserve"> </w:t>
            </w:r>
            <w:r>
              <w:rPr>
                <w:spacing w:val="-9"/>
              </w:rPr>
              <w:t>≥5</w:t>
            </w:r>
          </w:p>
        </w:tc>
        <w:tc>
          <w:tcPr>
            <w:tcW w:w="719" w:type="dxa"/>
            <w:vAlign w:val="top"/>
          </w:tcPr>
          <w:p w14:paraId="6A03E8F8">
            <w:pPr>
              <w:pStyle w:val="6"/>
              <w:spacing w:before="81" w:line="227" w:lineRule="auto"/>
              <w:ind w:left="203" w:right="176" w:hanging="39"/>
            </w:pPr>
            <w:r>
              <w:rPr>
                <w:spacing w:val="-3"/>
              </w:rPr>
              <w:t>&lt;30,</w:t>
            </w:r>
            <w:r>
              <w:t xml:space="preserve"> </w:t>
            </w:r>
            <w:r>
              <w:rPr>
                <w:spacing w:val="-9"/>
              </w:rPr>
              <w:t>≥5</w:t>
            </w:r>
          </w:p>
        </w:tc>
        <w:tc>
          <w:tcPr>
            <w:tcW w:w="729" w:type="dxa"/>
            <w:vAlign w:val="top"/>
          </w:tcPr>
          <w:p w14:paraId="47BD7D1C">
            <w:pPr>
              <w:pStyle w:val="6"/>
              <w:spacing w:before="92" w:line="222" w:lineRule="auto"/>
              <w:ind w:left="165" w:right="185"/>
            </w:pPr>
            <w:r>
              <w:rPr>
                <w:spacing w:val="-3"/>
              </w:rPr>
              <w:t>&lt;40,</w:t>
            </w:r>
            <w:r>
              <w:t xml:space="preserve"> </w:t>
            </w:r>
            <w:r>
              <w:rPr>
                <w:spacing w:val="-7"/>
              </w:rPr>
              <w:t>≥10</w:t>
            </w:r>
          </w:p>
        </w:tc>
        <w:tc>
          <w:tcPr>
            <w:tcW w:w="719" w:type="dxa"/>
            <w:vAlign w:val="top"/>
          </w:tcPr>
          <w:p w14:paraId="189B64E9">
            <w:pPr>
              <w:pStyle w:val="6"/>
              <w:spacing w:before="102" w:line="217" w:lineRule="auto"/>
              <w:ind w:left="205" w:right="174" w:hanging="40"/>
            </w:pPr>
            <w:r>
              <w:rPr>
                <w:spacing w:val="-3"/>
              </w:rPr>
              <w:t>&lt;15,</w:t>
            </w:r>
            <w:r>
              <w:t xml:space="preserve"> </w:t>
            </w:r>
            <w:r>
              <w:rPr>
                <w:spacing w:val="-9"/>
              </w:rPr>
              <w:t>≥3</w:t>
            </w:r>
          </w:p>
        </w:tc>
        <w:tc>
          <w:tcPr>
            <w:tcW w:w="729" w:type="dxa"/>
            <w:vAlign w:val="top"/>
          </w:tcPr>
          <w:p w14:paraId="232240DE">
            <w:pPr>
              <w:pStyle w:val="6"/>
              <w:spacing w:before="102" w:line="217" w:lineRule="auto"/>
              <w:ind w:left="116" w:right="153" w:firstLine="100"/>
            </w:pPr>
            <w:r>
              <w:rPr>
                <w:spacing w:val="-4"/>
              </w:rPr>
              <w:t>&lt;5,</w:t>
            </w:r>
            <w:r>
              <w:t xml:space="preserve">  </w:t>
            </w:r>
            <w:r>
              <w:rPr>
                <w:spacing w:val="-7"/>
              </w:rPr>
              <w:t>≥0.5</w:t>
            </w:r>
          </w:p>
        </w:tc>
        <w:tc>
          <w:tcPr>
            <w:tcW w:w="719" w:type="dxa"/>
            <w:vMerge w:val="restart"/>
            <w:tcBorders>
              <w:bottom w:val="nil"/>
            </w:tcBorders>
            <w:vAlign w:val="top"/>
          </w:tcPr>
          <w:p w14:paraId="58C831FF">
            <w:pPr>
              <w:spacing w:line="411" w:lineRule="auto"/>
              <w:rPr>
                <w:rFonts w:ascii="Arial"/>
                <w:sz w:val="21"/>
              </w:rPr>
            </w:pPr>
          </w:p>
          <w:p w14:paraId="489978CF">
            <w:pPr>
              <w:pStyle w:val="6"/>
              <w:spacing w:before="62" w:line="221" w:lineRule="auto"/>
              <w:ind w:left="168"/>
            </w:pPr>
            <w:r>
              <w:rPr>
                <w:spacing w:val="-6"/>
              </w:rPr>
              <w:t>一般</w:t>
            </w:r>
          </w:p>
        </w:tc>
        <w:tc>
          <w:tcPr>
            <w:tcW w:w="729" w:type="dxa"/>
            <w:vAlign w:val="top"/>
          </w:tcPr>
          <w:p w14:paraId="0AE84443">
            <w:pPr>
              <w:pStyle w:val="6"/>
              <w:spacing w:before="81" w:line="227" w:lineRule="auto"/>
              <w:ind w:left="119" w:right="151" w:firstLine="100"/>
            </w:pPr>
            <w:r>
              <w:rPr>
                <w:spacing w:val="-4"/>
              </w:rPr>
              <w:t>&lt;1,</w:t>
            </w:r>
            <w:r>
              <w:t xml:space="preserve">  </w:t>
            </w:r>
            <w:r>
              <w:rPr>
                <w:spacing w:val="-7"/>
              </w:rPr>
              <w:t>≥0.3</w:t>
            </w:r>
          </w:p>
        </w:tc>
        <w:tc>
          <w:tcPr>
            <w:tcW w:w="734" w:type="dxa"/>
            <w:vAlign w:val="top"/>
          </w:tcPr>
          <w:p w14:paraId="62F23A5B">
            <w:pPr>
              <w:pStyle w:val="6"/>
              <w:spacing w:before="92" w:line="222" w:lineRule="auto"/>
              <w:ind w:left="170" w:right="185"/>
            </w:pPr>
            <w:r>
              <w:rPr>
                <w:spacing w:val="-3"/>
              </w:rPr>
              <w:t>&lt;50,</w:t>
            </w:r>
            <w:r>
              <w:t xml:space="preserve"> </w:t>
            </w:r>
            <w:r>
              <w:rPr>
                <w:spacing w:val="-7"/>
              </w:rPr>
              <w:t>≥10</w:t>
            </w:r>
          </w:p>
        </w:tc>
      </w:tr>
      <w:tr w14:paraId="5F297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434" w:type="dxa"/>
            <w:vAlign w:val="top"/>
          </w:tcPr>
          <w:p w14:paraId="3B615264">
            <w:pPr>
              <w:pStyle w:val="6"/>
              <w:spacing w:before="245" w:line="182" w:lineRule="auto"/>
              <w:ind w:left="154"/>
            </w:pPr>
            <w:r>
              <w:t>V</w:t>
            </w:r>
          </w:p>
        </w:tc>
        <w:tc>
          <w:tcPr>
            <w:tcW w:w="849" w:type="dxa"/>
            <w:vAlign w:val="top"/>
          </w:tcPr>
          <w:p w14:paraId="51D9A5B0">
            <w:pPr>
              <w:pStyle w:val="6"/>
              <w:spacing w:before="198" w:line="221" w:lineRule="auto"/>
              <w:ind w:left="81"/>
            </w:pPr>
            <w:r>
              <w:rPr>
                <w:spacing w:val="1"/>
              </w:rPr>
              <w:t>小(2)型</w:t>
            </w:r>
          </w:p>
        </w:tc>
        <w:tc>
          <w:tcPr>
            <w:tcW w:w="719" w:type="dxa"/>
            <w:vAlign w:val="top"/>
          </w:tcPr>
          <w:p w14:paraId="2B69A941">
            <w:pPr>
              <w:pStyle w:val="6"/>
              <w:spacing w:before="93" w:line="216" w:lineRule="auto"/>
              <w:ind w:left="61"/>
            </w:pPr>
            <w:r>
              <w:rPr>
                <w:spacing w:val="-2"/>
              </w:rPr>
              <w:t>&lt;0.01,</w:t>
            </w:r>
          </w:p>
          <w:p w14:paraId="0C42518D">
            <w:pPr>
              <w:pStyle w:val="6"/>
              <w:spacing w:before="19" w:line="212" w:lineRule="auto"/>
              <w:ind w:left="12"/>
            </w:pPr>
            <w:r>
              <w:rPr>
                <w:spacing w:val="-5"/>
              </w:rPr>
              <w:t>≥0.001</w:t>
            </w:r>
          </w:p>
        </w:tc>
        <w:tc>
          <w:tcPr>
            <w:tcW w:w="729" w:type="dxa"/>
            <w:vAlign w:val="top"/>
          </w:tcPr>
          <w:p w14:paraId="44FAC1DB">
            <w:pPr>
              <w:pStyle w:val="6"/>
              <w:spacing w:before="214"/>
              <w:ind w:left="262"/>
            </w:pPr>
            <w:r>
              <w:rPr>
                <w:spacing w:val="-3"/>
              </w:rPr>
              <w:t>&lt;5</w:t>
            </w:r>
          </w:p>
        </w:tc>
        <w:tc>
          <w:tcPr>
            <w:tcW w:w="719" w:type="dxa"/>
            <w:vAlign w:val="top"/>
          </w:tcPr>
          <w:p w14:paraId="443AE8D1">
            <w:pPr>
              <w:pStyle w:val="6"/>
              <w:spacing w:before="214"/>
              <w:ind w:left="254"/>
            </w:pPr>
            <w:r>
              <w:rPr>
                <w:spacing w:val="-3"/>
              </w:rPr>
              <w:t>&lt;5</w:t>
            </w:r>
          </w:p>
        </w:tc>
        <w:tc>
          <w:tcPr>
            <w:tcW w:w="729" w:type="dxa"/>
            <w:vAlign w:val="top"/>
          </w:tcPr>
          <w:p w14:paraId="0C555D4D">
            <w:pPr>
              <w:pStyle w:val="6"/>
              <w:spacing w:before="214"/>
              <w:ind w:left="214"/>
            </w:pPr>
            <w:r>
              <w:rPr>
                <w:spacing w:val="-3"/>
              </w:rPr>
              <w:t>&lt;10</w:t>
            </w:r>
          </w:p>
        </w:tc>
        <w:tc>
          <w:tcPr>
            <w:tcW w:w="719" w:type="dxa"/>
            <w:vAlign w:val="top"/>
          </w:tcPr>
          <w:p w14:paraId="358B481A">
            <w:pPr>
              <w:pStyle w:val="6"/>
              <w:spacing w:before="214"/>
              <w:ind w:left="255"/>
            </w:pPr>
            <w:r>
              <w:rPr>
                <w:spacing w:val="-3"/>
              </w:rPr>
              <w:t>&lt;3</w:t>
            </w:r>
          </w:p>
        </w:tc>
        <w:tc>
          <w:tcPr>
            <w:tcW w:w="729" w:type="dxa"/>
            <w:vAlign w:val="top"/>
          </w:tcPr>
          <w:p w14:paraId="4BAFAE55">
            <w:pPr>
              <w:pStyle w:val="6"/>
              <w:spacing w:before="214" w:line="239" w:lineRule="auto"/>
              <w:ind w:left="167"/>
            </w:pPr>
            <w:r>
              <w:rPr>
                <w:spacing w:val="-3"/>
              </w:rPr>
              <w:t>&lt;0.5</w:t>
            </w:r>
          </w:p>
        </w:tc>
        <w:tc>
          <w:tcPr>
            <w:tcW w:w="719" w:type="dxa"/>
            <w:vMerge w:val="continue"/>
            <w:tcBorders>
              <w:top w:val="nil"/>
            </w:tcBorders>
            <w:vAlign w:val="top"/>
          </w:tcPr>
          <w:p w14:paraId="09B84DA2">
            <w:pPr>
              <w:rPr>
                <w:rFonts w:ascii="Arial"/>
                <w:sz w:val="21"/>
              </w:rPr>
            </w:pPr>
          </w:p>
        </w:tc>
        <w:tc>
          <w:tcPr>
            <w:tcW w:w="729" w:type="dxa"/>
            <w:vAlign w:val="top"/>
          </w:tcPr>
          <w:p w14:paraId="47B13A58">
            <w:pPr>
              <w:pStyle w:val="6"/>
              <w:spacing w:before="214" w:line="239" w:lineRule="auto"/>
              <w:ind w:left="168"/>
            </w:pPr>
            <w:r>
              <w:rPr>
                <w:spacing w:val="-3"/>
              </w:rPr>
              <w:t>&lt;0.3</w:t>
            </w:r>
          </w:p>
        </w:tc>
        <w:tc>
          <w:tcPr>
            <w:tcW w:w="734" w:type="dxa"/>
            <w:vAlign w:val="top"/>
          </w:tcPr>
          <w:p w14:paraId="0907C910">
            <w:pPr>
              <w:pStyle w:val="6"/>
              <w:spacing w:before="214"/>
              <w:ind w:left="219"/>
            </w:pPr>
            <w:r>
              <w:rPr>
                <w:spacing w:val="-3"/>
              </w:rPr>
              <w:t>&lt;10</w:t>
            </w:r>
          </w:p>
        </w:tc>
      </w:tr>
    </w:tbl>
    <w:p w14:paraId="5A966F37">
      <w:pPr>
        <w:spacing w:before="61" w:line="219" w:lineRule="auto"/>
        <w:ind w:left="1379"/>
        <w:rPr>
          <w:rFonts w:ascii="宋体" w:hAnsi="宋体" w:eastAsia="宋体" w:cs="宋体"/>
          <w:sz w:val="18"/>
          <w:szCs w:val="18"/>
        </w:rPr>
      </w:pPr>
      <w:r>
        <w:rPr>
          <w:rFonts w:ascii="宋体" w:hAnsi="宋体" w:eastAsia="宋体" w:cs="宋体"/>
          <w:spacing w:val="-13"/>
          <w:sz w:val="18"/>
          <w:szCs w:val="18"/>
        </w:rPr>
        <w:t>注：1.水库总库容指水库最高水位以下的静库容；治涝面积指设计</w:t>
      </w:r>
      <w:r>
        <w:rPr>
          <w:rFonts w:ascii="宋体" w:hAnsi="宋体" w:eastAsia="宋体" w:cs="宋体"/>
          <w:spacing w:val="-14"/>
          <w:sz w:val="18"/>
          <w:szCs w:val="18"/>
        </w:rPr>
        <w:t>治涝面积；灌溉面积指设计灌溉面积；</w:t>
      </w:r>
    </w:p>
    <w:p w14:paraId="2F611A3F">
      <w:pPr>
        <w:spacing w:before="76" w:line="219" w:lineRule="auto"/>
        <w:ind w:left="1859"/>
        <w:rPr>
          <w:rFonts w:ascii="宋体" w:hAnsi="宋体" w:eastAsia="宋体" w:cs="宋体"/>
          <w:sz w:val="16"/>
          <w:szCs w:val="16"/>
        </w:rPr>
      </w:pPr>
      <w:r>
        <w:rPr>
          <w:rFonts w:ascii="宋体" w:hAnsi="宋体" w:eastAsia="宋体" w:cs="宋体"/>
          <w:spacing w:val="7"/>
          <w:sz w:val="16"/>
          <w:szCs w:val="16"/>
        </w:rPr>
        <w:t>年引水量指供水工程渠首设计年均引(取)水量。</w:t>
      </w:r>
    </w:p>
    <w:p w14:paraId="5787ABF2">
      <w:pPr>
        <w:spacing w:before="40" w:line="219" w:lineRule="auto"/>
        <w:ind w:left="1700"/>
        <w:rPr>
          <w:rFonts w:ascii="宋体" w:hAnsi="宋体" w:eastAsia="宋体" w:cs="宋体"/>
          <w:sz w:val="16"/>
          <w:szCs w:val="16"/>
        </w:rPr>
      </w:pPr>
      <w:r>
        <w:rPr>
          <w:rFonts w:ascii="宋体" w:hAnsi="宋体" w:eastAsia="宋体" w:cs="宋体"/>
          <w:spacing w:val="2"/>
          <w:sz w:val="16"/>
          <w:szCs w:val="16"/>
        </w:rPr>
        <w:t>2.保护区当量经济规模指标仅限于城市保护区；防洪、供水中的多项满足1项即可。</w:t>
      </w:r>
    </w:p>
    <w:p w14:paraId="0B8D1FED">
      <w:pPr>
        <w:spacing w:before="50" w:line="219" w:lineRule="auto"/>
        <w:ind w:left="1700"/>
        <w:rPr>
          <w:rFonts w:ascii="宋体" w:hAnsi="宋体" w:eastAsia="宋体" w:cs="宋体"/>
          <w:sz w:val="16"/>
          <w:szCs w:val="16"/>
        </w:rPr>
      </w:pPr>
      <w:r>
        <w:rPr>
          <w:rFonts w:ascii="宋体" w:hAnsi="宋体" w:eastAsia="宋体" w:cs="宋体"/>
          <w:sz w:val="16"/>
          <w:szCs w:val="16"/>
        </w:rPr>
        <w:t>3.按供水对象的重要性确定工程等别时，该工程应为供水对象的主要水源。</w:t>
      </w:r>
    </w:p>
    <w:p w14:paraId="0FF803BD">
      <w:pPr>
        <w:spacing w:before="244" w:line="290" w:lineRule="auto"/>
        <w:ind w:left="1020" w:right="1453" w:firstLine="419"/>
        <w:jc w:val="both"/>
        <w:rPr>
          <w:rFonts w:ascii="宋体" w:hAnsi="宋体" w:eastAsia="宋体" w:cs="宋体"/>
          <w:sz w:val="21"/>
          <w:szCs w:val="21"/>
        </w:rPr>
      </w:pPr>
      <w:r>
        <w:rPr>
          <w:rFonts w:ascii="宋体" w:hAnsi="宋体" w:eastAsia="宋体" w:cs="宋体"/>
          <w:spacing w:val="2"/>
          <w:sz w:val="21"/>
          <w:szCs w:val="21"/>
        </w:rPr>
        <w:t>水利水电工程等别的划分主要依据水库总库容、防洪、治涝</w:t>
      </w:r>
      <w:r>
        <w:rPr>
          <w:rFonts w:ascii="宋体" w:hAnsi="宋体" w:eastAsia="宋体" w:cs="宋体"/>
          <w:spacing w:val="1"/>
          <w:sz w:val="21"/>
          <w:szCs w:val="21"/>
        </w:rPr>
        <w:t>、灌溉、供水、发电</w:t>
      </w:r>
      <w:r>
        <w:rPr>
          <w:rFonts w:ascii="宋体" w:hAnsi="宋体" w:eastAsia="宋体" w:cs="宋体"/>
          <w:sz w:val="21"/>
          <w:szCs w:val="21"/>
        </w:rPr>
        <w:t xml:space="preserve"> </w:t>
      </w:r>
      <w:r>
        <w:rPr>
          <w:rFonts w:ascii="宋体" w:hAnsi="宋体" w:eastAsia="宋体" w:cs="宋体"/>
          <w:spacing w:val="-4"/>
          <w:sz w:val="21"/>
          <w:szCs w:val="21"/>
        </w:rPr>
        <w:t>等指标确定。对于综合利用的水利水电工程，如按各综合利用项目的分等指标确定的等</w:t>
      </w:r>
      <w:r>
        <w:rPr>
          <w:rFonts w:ascii="宋体" w:hAnsi="宋体" w:eastAsia="宋体" w:cs="宋体"/>
          <w:sz w:val="21"/>
          <w:szCs w:val="21"/>
        </w:rPr>
        <w:t xml:space="preserve"> </w:t>
      </w:r>
      <w:r>
        <w:rPr>
          <w:rFonts w:ascii="宋体" w:hAnsi="宋体" w:eastAsia="宋体" w:cs="宋体"/>
          <w:spacing w:val="-5"/>
          <w:sz w:val="21"/>
          <w:szCs w:val="21"/>
        </w:rPr>
        <w:t>别不同时，其工程等别应按其中的最高等别确定。</w:t>
      </w:r>
    </w:p>
    <w:p w14:paraId="42A0A14B">
      <w:pPr>
        <w:spacing w:before="1" w:line="274" w:lineRule="auto"/>
        <w:ind w:left="1020" w:right="1456" w:firstLine="419"/>
        <w:rPr>
          <w:rFonts w:ascii="宋体" w:hAnsi="宋体" w:eastAsia="宋体" w:cs="宋体"/>
          <w:sz w:val="21"/>
          <w:szCs w:val="21"/>
        </w:rPr>
      </w:pPr>
      <w:r>
        <w:rPr>
          <w:rFonts w:ascii="宋体" w:hAnsi="宋体" w:eastAsia="宋体" w:cs="宋体"/>
          <w:spacing w:val="2"/>
          <w:sz w:val="21"/>
          <w:szCs w:val="21"/>
        </w:rPr>
        <w:t>对拦河水闸、灌排泵站作为水利水电工程中的一个组</w:t>
      </w:r>
      <w:r>
        <w:rPr>
          <w:rFonts w:ascii="宋体" w:hAnsi="宋体" w:eastAsia="宋体" w:cs="宋体"/>
          <w:spacing w:val="1"/>
          <w:sz w:val="21"/>
          <w:szCs w:val="21"/>
        </w:rPr>
        <w:t>成部分或单个建筑物时不再</w:t>
      </w:r>
      <w:r>
        <w:rPr>
          <w:rFonts w:ascii="宋体" w:hAnsi="宋体" w:eastAsia="宋体" w:cs="宋体"/>
          <w:sz w:val="21"/>
          <w:szCs w:val="21"/>
        </w:rPr>
        <w:t xml:space="preserve"> </w:t>
      </w:r>
      <w:r>
        <w:rPr>
          <w:rFonts w:ascii="宋体" w:hAnsi="宋体" w:eastAsia="宋体" w:cs="宋体"/>
          <w:spacing w:val="-4"/>
          <w:sz w:val="21"/>
          <w:szCs w:val="21"/>
        </w:rPr>
        <w:t>单独确定工程等别，作为独立项目立项建设时，其工程等别按照承担的工程任务、规模</w:t>
      </w:r>
    </w:p>
    <w:p w14:paraId="61946E6D">
      <w:pPr>
        <w:spacing w:line="274" w:lineRule="auto"/>
        <w:rPr>
          <w:rFonts w:ascii="宋体" w:hAnsi="宋体" w:eastAsia="宋体" w:cs="宋体"/>
          <w:sz w:val="21"/>
          <w:szCs w:val="21"/>
        </w:rPr>
        <w:sectPr>
          <w:footerReference r:id="rId16" w:type="default"/>
          <w:pgSz w:w="10320" w:h="14590"/>
          <w:pgMar w:top="14" w:right="13" w:bottom="235" w:left="0" w:header="0" w:footer="0" w:gutter="0"/>
          <w:cols w:space="720" w:num="1"/>
        </w:sectPr>
      </w:pPr>
    </w:p>
    <w:p w14:paraId="3D70DB20">
      <w:pPr>
        <w:spacing w:before="2" w:line="234" w:lineRule="auto"/>
        <w:ind w:left="1365" w:right="307" w:hanging="1079"/>
        <w:rPr>
          <w:rFonts w:ascii="宋体" w:hAnsi="宋体" w:eastAsia="宋体" w:cs="宋体"/>
          <w:sz w:val="20"/>
          <w:szCs w:val="20"/>
        </w:rPr>
      </w:pPr>
      <w:r>
        <w:rPr>
          <w:rFonts w:hint="eastAsia" w:ascii="宋体" w:hAnsi="宋体" w:eastAsia="宋体" w:cs="宋体"/>
          <w:spacing w:val="5"/>
          <w:sz w:val="24"/>
          <w:szCs w:val="24"/>
          <w:lang w:eastAsia="zh-CN"/>
        </w:rPr>
        <w:t>大鱼社区</w:t>
      </w:r>
      <w:r>
        <w:rPr>
          <w:rFonts w:ascii="宋体" w:hAnsi="宋体" w:eastAsia="宋体" w:cs="宋体"/>
          <w:spacing w:val="5"/>
          <w:sz w:val="24"/>
          <w:szCs w:val="24"/>
        </w:rPr>
        <w:t>助你备考：少走弯路，快速通关!认准</w:t>
      </w:r>
      <w:r>
        <w:rPr>
          <w:rFonts w:ascii="Times New Roman" w:hAnsi="Times New Roman" w:eastAsia="Times New Roman" w:cs="Times New Roman"/>
          <w:sz w:val="24"/>
          <w:szCs w:val="24"/>
        </w:rPr>
        <w:t>VX</w:t>
      </w:r>
      <w:r>
        <w:rPr>
          <w:rFonts w:ascii="Times New Roman" w:hAnsi="Times New Roman" w:eastAsia="Times New Roman" w:cs="Times New Roman"/>
          <w:spacing w:val="5"/>
          <w:sz w:val="24"/>
          <w:szCs w:val="24"/>
        </w:rPr>
        <w:t>:</w:t>
      </w:r>
      <w:r>
        <w:rPr>
          <w:rFonts w:hint="eastAsia" w:ascii="Times New Roman" w:hAnsi="Times New Roman" w:eastAsia="宋体" w:cs="Times New Roman"/>
          <w:sz w:val="24"/>
          <w:szCs w:val="24"/>
          <w:lang w:eastAsia="zh-CN"/>
        </w:rPr>
        <w:t>dayu_nm_cn</w:t>
      </w:r>
      <w:r>
        <w:rPr>
          <w:rFonts w:ascii="Times New Roman" w:hAnsi="Times New Roman" w:eastAsia="Times New Roman" w:cs="Times New Roman"/>
          <w:spacing w:val="20"/>
          <w:w w:val="101"/>
          <w:sz w:val="24"/>
          <w:szCs w:val="24"/>
        </w:rPr>
        <w:t xml:space="preserve">   </w:t>
      </w:r>
      <w:r>
        <w:rPr>
          <w:rFonts w:ascii="宋体" w:hAnsi="宋体" w:eastAsia="宋体" w:cs="宋体"/>
          <w:spacing w:val="5"/>
          <w:sz w:val="24"/>
          <w:szCs w:val="24"/>
        </w:rPr>
        <w:t>(天道酬勤，白嫖勿扰)</w:t>
      </w:r>
      <w:r>
        <w:rPr>
          <w:rFonts w:ascii="宋体" w:hAnsi="宋体" w:eastAsia="宋体" w:cs="宋体"/>
          <w:sz w:val="24"/>
          <w:szCs w:val="24"/>
        </w:rPr>
        <w:t xml:space="preserve"> </w:t>
      </w:r>
    </w:p>
    <w:p w14:paraId="38E3D5D4">
      <w:pPr>
        <w:spacing w:before="134" w:line="222" w:lineRule="auto"/>
        <w:ind w:left="6376"/>
        <w:rPr>
          <w:rFonts w:ascii="宋体" w:hAnsi="宋体" w:eastAsia="宋体" w:cs="宋体"/>
          <w:sz w:val="17"/>
          <w:szCs w:val="17"/>
        </w:rPr>
      </w:pPr>
      <w:r>
        <w:drawing>
          <wp:anchor distT="0" distB="0" distL="0" distR="0" simplePos="0" relativeHeight="251662336" behindDoc="0" locked="0" layoutInCell="1" allowOverlap="1">
            <wp:simplePos x="0" y="0"/>
            <wp:positionH relativeFrom="column">
              <wp:posOffset>905510</wp:posOffset>
            </wp:positionH>
            <wp:positionV relativeFrom="paragraph">
              <wp:posOffset>240030</wp:posOffset>
            </wp:positionV>
            <wp:extent cx="5035550" cy="1270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7"/>
                    <a:stretch>
                      <a:fillRect/>
                    </a:stretch>
                  </pic:blipFill>
                  <pic:spPr>
                    <a:xfrm>
                      <a:off x="0" y="0"/>
                      <a:ext cx="5035544" cy="12692"/>
                    </a:xfrm>
                    <a:prstGeom prst="rect">
                      <a:avLst/>
                    </a:prstGeom>
                  </pic:spPr>
                </pic:pic>
              </a:graphicData>
            </a:graphic>
          </wp:anchor>
        </w:drawing>
      </w:r>
      <w:r>
        <w:rPr>
          <w:rFonts w:ascii="黑体" w:hAnsi="黑体" w:eastAsia="黑体" w:cs="黑体"/>
          <w:spacing w:val="4"/>
          <w:sz w:val="17"/>
          <w:szCs w:val="17"/>
        </w:rPr>
        <w:t>第1章 水利水电工程勘测与设计</w:t>
      </w:r>
      <w:r>
        <w:rPr>
          <w:rFonts w:ascii="黑体" w:hAnsi="黑体" w:eastAsia="黑体" w:cs="黑体"/>
          <w:spacing w:val="25"/>
          <w:sz w:val="17"/>
          <w:szCs w:val="17"/>
        </w:rPr>
        <w:t xml:space="preserve">   </w:t>
      </w:r>
      <w:r>
        <w:rPr>
          <w:rFonts w:ascii="宋体" w:hAnsi="宋体" w:eastAsia="宋体" w:cs="宋体"/>
          <w:spacing w:val="4"/>
          <w:sz w:val="17"/>
          <w:szCs w:val="17"/>
        </w:rPr>
        <w:t>13</w:t>
      </w:r>
    </w:p>
    <w:p w14:paraId="7320C422">
      <w:pPr>
        <w:spacing w:before="247" w:line="220" w:lineRule="auto"/>
        <w:ind w:left="1406"/>
        <w:rPr>
          <w:rFonts w:ascii="宋体" w:hAnsi="宋体" w:eastAsia="宋体" w:cs="宋体"/>
          <w:sz w:val="17"/>
          <w:szCs w:val="17"/>
        </w:rPr>
      </w:pPr>
      <w:r>
        <w:rPr>
          <w:rFonts w:ascii="宋体" w:hAnsi="宋体" w:eastAsia="宋体" w:cs="宋体"/>
          <w:spacing w:val="-6"/>
          <w:sz w:val="17"/>
          <w:szCs w:val="17"/>
        </w:rPr>
        <w:t>确</w:t>
      </w:r>
      <w:r>
        <w:rPr>
          <w:rFonts w:ascii="宋体" w:hAnsi="宋体" w:eastAsia="宋体" w:cs="宋体"/>
          <w:spacing w:val="-17"/>
          <w:sz w:val="17"/>
          <w:szCs w:val="17"/>
        </w:rPr>
        <w:t xml:space="preserve"> </w:t>
      </w:r>
      <w:r>
        <w:rPr>
          <w:rFonts w:ascii="宋体" w:hAnsi="宋体" w:eastAsia="宋体" w:cs="宋体"/>
          <w:spacing w:val="-6"/>
          <w:sz w:val="17"/>
          <w:szCs w:val="17"/>
        </w:rPr>
        <w:t>定</w:t>
      </w:r>
      <w:r>
        <w:rPr>
          <w:rFonts w:ascii="宋体" w:hAnsi="宋体" w:eastAsia="宋体" w:cs="宋体"/>
          <w:spacing w:val="-27"/>
          <w:sz w:val="17"/>
          <w:szCs w:val="17"/>
        </w:rPr>
        <w:t xml:space="preserve"> </w:t>
      </w:r>
      <w:r>
        <w:rPr>
          <w:rFonts w:ascii="宋体" w:hAnsi="宋体" w:eastAsia="宋体" w:cs="宋体"/>
          <w:spacing w:val="-6"/>
          <w:sz w:val="17"/>
          <w:szCs w:val="17"/>
        </w:rPr>
        <w:t>。</w:t>
      </w:r>
    </w:p>
    <w:p w14:paraId="3AB91C86">
      <w:pPr>
        <w:spacing w:before="143" w:line="221" w:lineRule="auto"/>
        <w:ind w:left="1819"/>
        <w:rPr>
          <w:rFonts w:ascii="黑体" w:hAnsi="黑体" w:eastAsia="黑体" w:cs="黑体"/>
          <w:sz w:val="20"/>
          <w:szCs w:val="20"/>
        </w:rPr>
      </w:pPr>
      <w:r>
        <w:rPr>
          <w:rFonts w:ascii="宋体" w:hAnsi="宋体" w:eastAsia="宋体" w:cs="宋体"/>
          <w:b/>
          <w:bCs/>
          <w:color w:val="4080A0"/>
          <w:spacing w:val="15"/>
          <w:sz w:val="20"/>
          <w:szCs w:val="20"/>
        </w:rPr>
        <w:t>2.</w:t>
      </w:r>
      <w:r>
        <w:rPr>
          <w:rFonts w:ascii="宋体" w:hAnsi="宋体" w:eastAsia="宋体" w:cs="宋体"/>
          <w:color w:val="4080A0"/>
          <w:spacing w:val="-58"/>
          <w:sz w:val="20"/>
          <w:szCs w:val="20"/>
        </w:rPr>
        <w:t xml:space="preserve"> </w:t>
      </w:r>
      <w:r>
        <w:rPr>
          <w:rFonts w:ascii="黑体" w:hAnsi="黑体" w:eastAsia="黑体" w:cs="黑体"/>
          <w:b/>
          <w:bCs/>
          <w:color w:val="4080A0"/>
          <w:spacing w:val="15"/>
          <w:sz w:val="20"/>
          <w:szCs w:val="20"/>
        </w:rPr>
        <w:t>水工建筑物级别划分</w:t>
      </w:r>
    </w:p>
    <w:p w14:paraId="3EB513FF">
      <w:pPr>
        <w:spacing w:before="70" w:line="221" w:lineRule="auto"/>
        <w:ind w:left="1819"/>
        <w:rPr>
          <w:rFonts w:ascii="黑体" w:hAnsi="黑体" w:eastAsia="黑体" w:cs="黑体"/>
          <w:sz w:val="20"/>
          <w:szCs w:val="20"/>
        </w:rPr>
      </w:pPr>
      <w:r>
        <w:rPr>
          <w:rFonts w:ascii="黑体" w:hAnsi="黑体" w:eastAsia="黑体" w:cs="黑体"/>
          <w:b/>
          <w:bCs/>
          <w:color w:val="407090"/>
          <w:spacing w:val="16"/>
          <w:sz w:val="20"/>
          <w:szCs w:val="20"/>
        </w:rPr>
        <w:t>1)永久性水工建筑物级别</w:t>
      </w:r>
    </w:p>
    <w:p w14:paraId="18A48632">
      <w:pPr>
        <w:spacing w:before="45" w:line="219" w:lineRule="auto"/>
        <w:ind w:left="1816"/>
        <w:rPr>
          <w:rFonts w:ascii="宋体" w:hAnsi="宋体" w:eastAsia="宋体" w:cs="宋体"/>
          <w:sz w:val="20"/>
          <w:szCs w:val="20"/>
        </w:rPr>
      </w:pPr>
      <w:r>
        <w:rPr>
          <w:rFonts w:ascii="宋体" w:hAnsi="宋体" w:eastAsia="宋体" w:cs="宋体"/>
          <w:spacing w:val="11"/>
          <w:sz w:val="20"/>
          <w:szCs w:val="20"/>
        </w:rPr>
        <w:t>(1)水库及水电站工程的永久性水工建筑物级别</w:t>
      </w:r>
    </w:p>
    <w:p w14:paraId="3EF06F7E">
      <w:pPr>
        <w:spacing w:before="93" w:line="297" w:lineRule="auto"/>
        <w:ind w:left="1406" w:right="971" w:firstLine="410"/>
        <w:rPr>
          <w:rFonts w:ascii="宋体" w:hAnsi="宋体" w:eastAsia="宋体" w:cs="宋体"/>
          <w:sz w:val="20"/>
          <w:szCs w:val="20"/>
        </w:rPr>
      </w:pPr>
      <w:r>
        <w:rPr>
          <w:rFonts w:ascii="宋体" w:hAnsi="宋体" w:eastAsia="宋体" w:cs="宋体"/>
          <w:spacing w:val="13"/>
          <w:sz w:val="20"/>
          <w:szCs w:val="20"/>
        </w:rPr>
        <w:t>水库及水电站工程的永久性水工建筑物的级别，根据工程的等别或永久性水工建</w:t>
      </w:r>
      <w:r>
        <w:rPr>
          <w:rFonts w:ascii="宋体" w:hAnsi="宋体" w:eastAsia="宋体" w:cs="宋体"/>
          <w:spacing w:val="12"/>
          <w:sz w:val="20"/>
          <w:szCs w:val="20"/>
        </w:rPr>
        <w:t xml:space="preserve"> </w:t>
      </w:r>
      <w:r>
        <w:rPr>
          <w:rFonts w:ascii="宋体" w:hAnsi="宋体" w:eastAsia="宋体" w:cs="宋体"/>
          <w:spacing w:val="8"/>
          <w:sz w:val="20"/>
          <w:szCs w:val="20"/>
        </w:rPr>
        <w:t>筑物的分级指标划分为五级，按表1.2-2确定。</w:t>
      </w:r>
    </w:p>
    <w:p w14:paraId="6EFD2552">
      <w:pPr>
        <w:spacing w:before="133" w:line="219" w:lineRule="auto"/>
        <w:ind w:left="4039"/>
        <w:rPr>
          <w:rFonts w:ascii="宋体" w:hAnsi="宋体" w:eastAsia="宋体" w:cs="宋体"/>
          <w:sz w:val="20"/>
          <w:szCs w:val="20"/>
        </w:rPr>
      </w:pPr>
      <w:r>
        <w:rPr>
          <w:rFonts w:ascii="宋体" w:hAnsi="宋体" w:eastAsia="宋体" w:cs="宋体"/>
          <w:b/>
          <w:bCs/>
          <w:spacing w:val="-3"/>
          <w:sz w:val="20"/>
          <w:szCs w:val="20"/>
        </w:rPr>
        <w:t>表1.2-2永久性水工建筑物级别</w:t>
      </w:r>
    </w:p>
    <w:p w14:paraId="6EF29C98">
      <w:pPr>
        <w:spacing w:line="53" w:lineRule="exact"/>
      </w:pPr>
    </w:p>
    <w:tbl>
      <w:tblPr>
        <w:tblStyle w:val="5"/>
        <w:tblW w:w="7860" w:type="dxa"/>
        <w:tblInd w:w="1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0"/>
        <w:gridCol w:w="1310"/>
        <w:gridCol w:w="1300"/>
        <w:gridCol w:w="1310"/>
        <w:gridCol w:w="1310"/>
        <w:gridCol w:w="1340"/>
      </w:tblGrid>
      <w:tr w14:paraId="792D9A0A">
        <w:tblPrEx>
          <w:tblCellMar>
            <w:top w:w="0" w:type="dxa"/>
            <w:left w:w="0" w:type="dxa"/>
            <w:bottom w:w="0" w:type="dxa"/>
            <w:right w:w="0" w:type="dxa"/>
          </w:tblCellMar>
        </w:tblPrEx>
        <w:trPr>
          <w:trHeight w:val="322" w:hRule="atLeast"/>
        </w:trPr>
        <w:tc>
          <w:tcPr>
            <w:tcW w:w="1290" w:type="dxa"/>
            <w:tcBorders>
              <w:left w:val="nil"/>
            </w:tcBorders>
            <w:vAlign w:val="top"/>
          </w:tcPr>
          <w:p w14:paraId="0A49CF8E">
            <w:pPr>
              <w:pStyle w:val="6"/>
              <w:spacing w:before="82" w:line="219" w:lineRule="auto"/>
              <w:ind w:left="300"/>
              <w:rPr>
                <w:sz w:val="17"/>
                <w:szCs w:val="17"/>
              </w:rPr>
            </w:pPr>
            <w:r>
              <w:rPr>
                <w:spacing w:val="3"/>
                <w:sz w:val="17"/>
                <w:szCs w:val="17"/>
              </w:rPr>
              <w:t>工程等别</w:t>
            </w:r>
          </w:p>
        </w:tc>
        <w:tc>
          <w:tcPr>
            <w:tcW w:w="1310" w:type="dxa"/>
            <w:vAlign w:val="top"/>
          </w:tcPr>
          <w:p w14:paraId="211A3B1B">
            <w:pPr>
              <w:pStyle w:val="6"/>
              <w:spacing w:before="82" w:line="220" w:lineRule="auto"/>
              <w:ind w:left="225"/>
              <w:rPr>
                <w:sz w:val="17"/>
                <w:szCs w:val="17"/>
              </w:rPr>
            </w:pPr>
            <w:r>
              <w:rPr>
                <w:spacing w:val="-2"/>
                <w:sz w:val="17"/>
                <w:szCs w:val="17"/>
              </w:rPr>
              <w:t>主要建筑物</w:t>
            </w:r>
          </w:p>
        </w:tc>
        <w:tc>
          <w:tcPr>
            <w:tcW w:w="1300" w:type="dxa"/>
            <w:vAlign w:val="top"/>
          </w:tcPr>
          <w:p w14:paraId="0B7AEDF1">
            <w:pPr>
              <w:pStyle w:val="6"/>
              <w:spacing w:before="82" w:line="219" w:lineRule="auto"/>
              <w:ind w:left="215"/>
              <w:rPr>
                <w:sz w:val="17"/>
                <w:szCs w:val="17"/>
              </w:rPr>
            </w:pPr>
            <w:r>
              <w:rPr>
                <w:spacing w:val="-2"/>
                <w:sz w:val="17"/>
                <w:szCs w:val="17"/>
              </w:rPr>
              <w:t>次要建筑物</w:t>
            </w:r>
          </w:p>
        </w:tc>
        <w:tc>
          <w:tcPr>
            <w:tcW w:w="1310" w:type="dxa"/>
            <w:vAlign w:val="top"/>
          </w:tcPr>
          <w:p w14:paraId="53ED38C8">
            <w:pPr>
              <w:pStyle w:val="6"/>
              <w:spacing w:before="82" w:line="219" w:lineRule="auto"/>
              <w:ind w:left="305"/>
              <w:rPr>
                <w:sz w:val="17"/>
                <w:szCs w:val="17"/>
              </w:rPr>
            </w:pPr>
            <w:r>
              <w:rPr>
                <w:spacing w:val="3"/>
                <w:sz w:val="17"/>
                <w:szCs w:val="17"/>
              </w:rPr>
              <w:t>工程等别</w:t>
            </w:r>
          </w:p>
        </w:tc>
        <w:tc>
          <w:tcPr>
            <w:tcW w:w="1310" w:type="dxa"/>
            <w:vAlign w:val="top"/>
          </w:tcPr>
          <w:p w14:paraId="147D31A4">
            <w:pPr>
              <w:pStyle w:val="6"/>
              <w:spacing w:before="82" w:line="220" w:lineRule="auto"/>
              <w:ind w:left="224"/>
              <w:rPr>
                <w:sz w:val="17"/>
                <w:szCs w:val="17"/>
              </w:rPr>
            </w:pPr>
            <w:r>
              <w:rPr>
                <w:spacing w:val="-2"/>
                <w:sz w:val="17"/>
                <w:szCs w:val="17"/>
              </w:rPr>
              <w:t>主要建筑物</w:t>
            </w:r>
          </w:p>
        </w:tc>
        <w:tc>
          <w:tcPr>
            <w:tcW w:w="1340" w:type="dxa"/>
            <w:tcBorders>
              <w:right w:val="nil"/>
            </w:tcBorders>
            <w:vAlign w:val="top"/>
          </w:tcPr>
          <w:p w14:paraId="13BB67DB">
            <w:pPr>
              <w:pStyle w:val="6"/>
              <w:spacing w:before="82" w:line="219" w:lineRule="auto"/>
              <w:ind w:left="235"/>
              <w:rPr>
                <w:sz w:val="17"/>
                <w:szCs w:val="17"/>
              </w:rPr>
            </w:pPr>
            <w:r>
              <w:rPr>
                <w:spacing w:val="-2"/>
                <w:sz w:val="17"/>
                <w:szCs w:val="17"/>
              </w:rPr>
              <w:t>次要建筑物</w:t>
            </w:r>
          </w:p>
        </w:tc>
      </w:tr>
      <w:tr w14:paraId="3BB95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90" w:type="dxa"/>
            <w:tcBorders>
              <w:left w:val="nil"/>
            </w:tcBorders>
            <w:vAlign w:val="top"/>
          </w:tcPr>
          <w:p w14:paraId="2131938B">
            <w:pPr>
              <w:pStyle w:val="6"/>
              <w:spacing w:before="97" w:line="229" w:lineRule="auto"/>
              <w:ind w:left="600"/>
              <w:rPr>
                <w:sz w:val="17"/>
                <w:szCs w:val="17"/>
              </w:rPr>
            </w:pPr>
            <w:r>
              <w:rPr>
                <w:sz w:val="17"/>
                <w:szCs w:val="17"/>
              </w:rPr>
              <w:t>I</w:t>
            </w:r>
          </w:p>
        </w:tc>
        <w:tc>
          <w:tcPr>
            <w:tcW w:w="1310" w:type="dxa"/>
            <w:vAlign w:val="top"/>
          </w:tcPr>
          <w:p w14:paraId="204ED70E">
            <w:pPr>
              <w:pStyle w:val="6"/>
              <w:spacing w:before="97" w:line="229" w:lineRule="auto"/>
              <w:ind w:left="605"/>
              <w:rPr>
                <w:sz w:val="17"/>
                <w:szCs w:val="17"/>
              </w:rPr>
            </w:pPr>
            <w:r>
              <w:rPr>
                <w:sz w:val="17"/>
                <w:szCs w:val="17"/>
              </w:rPr>
              <w:t>1</w:t>
            </w:r>
          </w:p>
        </w:tc>
        <w:tc>
          <w:tcPr>
            <w:tcW w:w="1300" w:type="dxa"/>
            <w:vAlign w:val="top"/>
          </w:tcPr>
          <w:p w14:paraId="1587F4ED">
            <w:pPr>
              <w:pStyle w:val="6"/>
              <w:spacing w:before="97" w:line="229" w:lineRule="auto"/>
              <w:ind w:left="595"/>
              <w:rPr>
                <w:sz w:val="17"/>
                <w:szCs w:val="17"/>
              </w:rPr>
            </w:pPr>
            <w:r>
              <w:rPr>
                <w:sz w:val="17"/>
                <w:szCs w:val="17"/>
              </w:rPr>
              <w:t>3</w:t>
            </w:r>
          </w:p>
        </w:tc>
        <w:tc>
          <w:tcPr>
            <w:tcW w:w="1310" w:type="dxa"/>
            <w:vAlign w:val="top"/>
          </w:tcPr>
          <w:p w14:paraId="02C5F818">
            <w:pPr>
              <w:pStyle w:val="6"/>
              <w:spacing w:before="124" w:line="182" w:lineRule="auto"/>
              <w:ind w:left="565"/>
              <w:rPr>
                <w:sz w:val="17"/>
                <w:szCs w:val="17"/>
              </w:rPr>
            </w:pPr>
            <w:r>
              <w:rPr>
                <w:spacing w:val="-4"/>
                <w:sz w:val="17"/>
                <w:szCs w:val="17"/>
              </w:rPr>
              <w:t>IV</w:t>
            </w:r>
          </w:p>
        </w:tc>
        <w:tc>
          <w:tcPr>
            <w:tcW w:w="1310" w:type="dxa"/>
            <w:vAlign w:val="top"/>
          </w:tcPr>
          <w:p w14:paraId="4FDC785A">
            <w:pPr>
              <w:pStyle w:val="6"/>
              <w:spacing w:before="97" w:line="229" w:lineRule="auto"/>
              <w:ind w:left="605"/>
              <w:rPr>
                <w:sz w:val="17"/>
                <w:szCs w:val="17"/>
              </w:rPr>
            </w:pPr>
            <w:r>
              <w:rPr>
                <w:sz w:val="17"/>
                <w:szCs w:val="17"/>
              </w:rPr>
              <w:t>4</w:t>
            </w:r>
          </w:p>
        </w:tc>
        <w:tc>
          <w:tcPr>
            <w:tcW w:w="1340" w:type="dxa"/>
            <w:tcBorders>
              <w:right w:val="nil"/>
            </w:tcBorders>
            <w:vAlign w:val="top"/>
          </w:tcPr>
          <w:p w14:paraId="58A283BB">
            <w:pPr>
              <w:pStyle w:val="6"/>
              <w:spacing w:before="97" w:line="229" w:lineRule="auto"/>
              <w:ind w:left="614"/>
              <w:rPr>
                <w:sz w:val="17"/>
                <w:szCs w:val="17"/>
              </w:rPr>
            </w:pPr>
            <w:r>
              <w:rPr>
                <w:sz w:val="17"/>
                <w:szCs w:val="17"/>
              </w:rPr>
              <w:t>5</w:t>
            </w:r>
          </w:p>
        </w:tc>
      </w:tr>
      <w:tr w14:paraId="414B7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290" w:type="dxa"/>
            <w:tcBorders>
              <w:left w:val="nil"/>
            </w:tcBorders>
            <w:vAlign w:val="top"/>
          </w:tcPr>
          <w:p w14:paraId="4CCDD3C3">
            <w:pPr>
              <w:pStyle w:val="6"/>
              <w:spacing w:before="96" w:line="230" w:lineRule="auto"/>
              <w:ind w:left="560"/>
              <w:rPr>
                <w:sz w:val="17"/>
                <w:szCs w:val="17"/>
              </w:rPr>
            </w:pPr>
            <w:r>
              <w:rPr>
                <w:sz w:val="17"/>
                <w:szCs w:val="17"/>
              </w:rPr>
              <w:t>Ⅱ</w:t>
            </w:r>
          </w:p>
        </w:tc>
        <w:tc>
          <w:tcPr>
            <w:tcW w:w="1310" w:type="dxa"/>
            <w:vAlign w:val="top"/>
          </w:tcPr>
          <w:p w14:paraId="7F80C858">
            <w:pPr>
              <w:pStyle w:val="6"/>
              <w:spacing w:before="98" w:line="227" w:lineRule="auto"/>
              <w:ind w:left="605"/>
              <w:rPr>
                <w:sz w:val="17"/>
                <w:szCs w:val="17"/>
              </w:rPr>
            </w:pPr>
            <w:r>
              <w:rPr>
                <w:sz w:val="17"/>
                <w:szCs w:val="17"/>
              </w:rPr>
              <w:t>2</w:t>
            </w:r>
          </w:p>
        </w:tc>
        <w:tc>
          <w:tcPr>
            <w:tcW w:w="1300" w:type="dxa"/>
            <w:vAlign w:val="top"/>
          </w:tcPr>
          <w:p w14:paraId="74E46606">
            <w:pPr>
              <w:pStyle w:val="6"/>
              <w:spacing w:before="98" w:line="227" w:lineRule="auto"/>
              <w:ind w:left="595"/>
              <w:rPr>
                <w:sz w:val="17"/>
                <w:szCs w:val="17"/>
              </w:rPr>
            </w:pPr>
            <w:r>
              <w:rPr>
                <w:sz w:val="17"/>
                <w:szCs w:val="17"/>
              </w:rPr>
              <w:t>3</w:t>
            </w:r>
          </w:p>
        </w:tc>
        <w:tc>
          <w:tcPr>
            <w:tcW w:w="1310" w:type="dxa"/>
            <w:vAlign w:val="top"/>
          </w:tcPr>
          <w:p w14:paraId="3B6A4404">
            <w:pPr>
              <w:pStyle w:val="6"/>
              <w:spacing w:before="126" w:line="182" w:lineRule="auto"/>
              <w:ind w:left="605"/>
              <w:rPr>
                <w:sz w:val="17"/>
                <w:szCs w:val="17"/>
              </w:rPr>
            </w:pPr>
            <w:r>
              <w:rPr>
                <w:sz w:val="17"/>
                <w:szCs w:val="17"/>
              </w:rPr>
              <w:t>V</w:t>
            </w:r>
          </w:p>
        </w:tc>
        <w:tc>
          <w:tcPr>
            <w:tcW w:w="1310" w:type="dxa"/>
            <w:vAlign w:val="top"/>
          </w:tcPr>
          <w:p w14:paraId="452F8BE6">
            <w:pPr>
              <w:pStyle w:val="6"/>
              <w:spacing w:before="98" w:line="227" w:lineRule="auto"/>
              <w:ind w:left="605"/>
              <w:rPr>
                <w:sz w:val="17"/>
                <w:szCs w:val="17"/>
              </w:rPr>
            </w:pPr>
            <w:r>
              <w:rPr>
                <w:sz w:val="17"/>
                <w:szCs w:val="17"/>
              </w:rPr>
              <w:t>5</w:t>
            </w:r>
          </w:p>
        </w:tc>
        <w:tc>
          <w:tcPr>
            <w:tcW w:w="1340" w:type="dxa"/>
            <w:tcBorders>
              <w:right w:val="nil"/>
            </w:tcBorders>
            <w:vAlign w:val="top"/>
          </w:tcPr>
          <w:p w14:paraId="21268C29">
            <w:pPr>
              <w:pStyle w:val="6"/>
              <w:spacing w:before="98" w:line="227" w:lineRule="auto"/>
              <w:ind w:left="614"/>
              <w:rPr>
                <w:sz w:val="17"/>
                <w:szCs w:val="17"/>
              </w:rPr>
            </w:pPr>
            <w:r>
              <w:rPr>
                <w:sz w:val="17"/>
                <w:szCs w:val="17"/>
              </w:rPr>
              <w:t>5</w:t>
            </w:r>
          </w:p>
        </w:tc>
      </w:tr>
      <w:tr w14:paraId="4DF05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90" w:type="dxa"/>
            <w:tcBorders>
              <w:left w:val="nil"/>
            </w:tcBorders>
            <w:vAlign w:val="top"/>
          </w:tcPr>
          <w:p w14:paraId="5D71FCBD">
            <w:pPr>
              <w:pStyle w:val="6"/>
              <w:spacing w:before="88" w:line="232" w:lineRule="auto"/>
              <w:ind w:left="560"/>
              <w:rPr>
                <w:sz w:val="17"/>
                <w:szCs w:val="17"/>
              </w:rPr>
            </w:pPr>
            <w:r>
              <w:rPr>
                <w:sz w:val="17"/>
                <w:szCs w:val="17"/>
              </w:rPr>
              <w:t>Ⅲ</w:t>
            </w:r>
          </w:p>
        </w:tc>
        <w:tc>
          <w:tcPr>
            <w:tcW w:w="1310" w:type="dxa"/>
            <w:vAlign w:val="top"/>
          </w:tcPr>
          <w:p w14:paraId="339E2B63">
            <w:pPr>
              <w:pStyle w:val="6"/>
              <w:spacing w:before="91" w:line="229" w:lineRule="auto"/>
              <w:ind w:left="605"/>
              <w:rPr>
                <w:sz w:val="17"/>
                <w:szCs w:val="17"/>
              </w:rPr>
            </w:pPr>
            <w:r>
              <w:rPr>
                <w:sz w:val="17"/>
                <w:szCs w:val="17"/>
              </w:rPr>
              <w:t>3</w:t>
            </w:r>
          </w:p>
        </w:tc>
        <w:tc>
          <w:tcPr>
            <w:tcW w:w="1300" w:type="dxa"/>
            <w:vAlign w:val="top"/>
          </w:tcPr>
          <w:p w14:paraId="1B90DA96">
            <w:pPr>
              <w:pStyle w:val="6"/>
              <w:spacing w:before="91" w:line="229" w:lineRule="auto"/>
              <w:ind w:left="595"/>
              <w:rPr>
                <w:sz w:val="17"/>
                <w:szCs w:val="17"/>
              </w:rPr>
            </w:pPr>
            <w:r>
              <w:rPr>
                <w:sz w:val="17"/>
                <w:szCs w:val="17"/>
              </w:rPr>
              <w:t>4</w:t>
            </w:r>
          </w:p>
        </w:tc>
        <w:tc>
          <w:tcPr>
            <w:tcW w:w="1310" w:type="dxa"/>
            <w:vAlign w:val="top"/>
          </w:tcPr>
          <w:p w14:paraId="1D0F683F">
            <w:pPr>
              <w:rPr>
                <w:rFonts w:ascii="Arial"/>
                <w:sz w:val="21"/>
              </w:rPr>
            </w:pPr>
          </w:p>
        </w:tc>
        <w:tc>
          <w:tcPr>
            <w:tcW w:w="1310" w:type="dxa"/>
            <w:vAlign w:val="top"/>
          </w:tcPr>
          <w:p w14:paraId="2AC91305">
            <w:pPr>
              <w:rPr>
                <w:rFonts w:ascii="Arial"/>
                <w:sz w:val="21"/>
              </w:rPr>
            </w:pPr>
          </w:p>
        </w:tc>
        <w:tc>
          <w:tcPr>
            <w:tcW w:w="1340" w:type="dxa"/>
            <w:tcBorders>
              <w:right w:val="nil"/>
            </w:tcBorders>
            <w:vAlign w:val="top"/>
          </w:tcPr>
          <w:p w14:paraId="659AD6EF">
            <w:pPr>
              <w:rPr>
                <w:rFonts w:ascii="Arial"/>
                <w:sz w:val="21"/>
              </w:rPr>
            </w:pPr>
          </w:p>
        </w:tc>
      </w:tr>
    </w:tbl>
    <w:p w14:paraId="45F31CA7">
      <w:pPr>
        <w:spacing w:before="254" w:line="297" w:lineRule="auto"/>
        <w:ind w:left="1406" w:right="971" w:firstLine="410"/>
        <w:rPr>
          <w:rFonts w:ascii="宋体" w:hAnsi="宋体" w:eastAsia="宋体" w:cs="宋体"/>
          <w:sz w:val="20"/>
          <w:szCs w:val="20"/>
        </w:rPr>
      </w:pPr>
      <w:r>
        <w:rPr>
          <w:rFonts w:ascii="宋体" w:hAnsi="宋体" w:eastAsia="宋体" w:cs="宋体"/>
          <w:spacing w:val="15"/>
          <w:sz w:val="20"/>
          <w:szCs w:val="20"/>
        </w:rPr>
        <w:t>水利枢纽工程水库大坝按表1.2-2规定为2级、3级的永久性水工建筑物，</w:t>
      </w:r>
      <w:r>
        <w:rPr>
          <w:rFonts w:ascii="宋体" w:hAnsi="宋体" w:eastAsia="宋体" w:cs="宋体"/>
          <w:spacing w:val="14"/>
          <w:sz w:val="20"/>
          <w:szCs w:val="20"/>
        </w:rPr>
        <w:t>如坝高</w:t>
      </w:r>
      <w:r>
        <w:rPr>
          <w:rFonts w:ascii="宋体" w:hAnsi="宋体" w:eastAsia="宋体" w:cs="宋体"/>
          <w:sz w:val="20"/>
          <w:szCs w:val="20"/>
        </w:rPr>
        <w:t xml:space="preserve"> </w:t>
      </w:r>
      <w:r>
        <w:rPr>
          <w:rFonts w:ascii="宋体" w:hAnsi="宋体" w:eastAsia="宋体" w:cs="宋体"/>
          <w:spacing w:val="8"/>
          <w:sz w:val="20"/>
          <w:szCs w:val="20"/>
        </w:rPr>
        <w:t>超过表1.2-3指标，其级别可提高一级，但洪水标准可不提高。</w:t>
      </w:r>
    </w:p>
    <w:p w14:paraId="3448BD09">
      <w:pPr>
        <w:spacing w:before="123" w:line="219" w:lineRule="auto"/>
        <w:ind w:left="4209"/>
        <w:rPr>
          <w:rFonts w:ascii="宋体" w:hAnsi="宋体" w:eastAsia="宋体" w:cs="宋体"/>
          <w:sz w:val="20"/>
          <w:szCs w:val="20"/>
        </w:rPr>
      </w:pPr>
      <w:r>
        <w:rPr>
          <w:rFonts w:ascii="宋体" w:hAnsi="宋体" w:eastAsia="宋体" w:cs="宋体"/>
          <w:b/>
          <w:bCs/>
          <w:spacing w:val="-3"/>
          <w:sz w:val="20"/>
          <w:szCs w:val="20"/>
        </w:rPr>
        <w:t>表1.2-3水库大坝堤级指标</w:t>
      </w:r>
    </w:p>
    <w:p w14:paraId="452BD2E7">
      <w:pPr>
        <w:spacing w:line="52" w:lineRule="exact"/>
      </w:pPr>
    </w:p>
    <w:tbl>
      <w:tblPr>
        <w:tblStyle w:val="5"/>
        <w:tblW w:w="7860" w:type="dxa"/>
        <w:tblInd w:w="1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0"/>
        <w:gridCol w:w="3340"/>
        <w:gridCol w:w="3390"/>
      </w:tblGrid>
      <w:tr w14:paraId="5EA30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130" w:type="dxa"/>
            <w:tcBorders>
              <w:left w:val="nil"/>
            </w:tcBorders>
            <w:vAlign w:val="top"/>
          </w:tcPr>
          <w:p w14:paraId="4D7AC6EB">
            <w:pPr>
              <w:pStyle w:val="6"/>
              <w:spacing w:before="82" w:line="220" w:lineRule="auto"/>
              <w:ind w:left="389"/>
              <w:rPr>
                <w:sz w:val="17"/>
                <w:szCs w:val="17"/>
              </w:rPr>
            </w:pPr>
            <w:r>
              <w:rPr>
                <w:spacing w:val="6"/>
                <w:sz w:val="17"/>
                <w:szCs w:val="17"/>
              </w:rPr>
              <w:t>级别</w:t>
            </w:r>
          </w:p>
        </w:tc>
        <w:tc>
          <w:tcPr>
            <w:tcW w:w="3340" w:type="dxa"/>
            <w:vAlign w:val="top"/>
          </w:tcPr>
          <w:p w14:paraId="0BA6254E">
            <w:pPr>
              <w:pStyle w:val="6"/>
              <w:spacing w:before="82" w:line="221" w:lineRule="auto"/>
              <w:ind w:left="1495"/>
              <w:rPr>
                <w:sz w:val="17"/>
                <w:szCs w:val="17"/>
              </w:rPr>
            </w:pPr>
            <w:r>
              <w:rPr>
                <w:spacing w:val="-2"/>
                <w:sz w:val="17"/>
                <w:szCs w:val="17"/>
              </w:rPr>
              <w:t>坝型</w:t>
            </w:r>
          </w:p>
        </w:tc>
        <w:tc>
          <w:tcPr>
            <w:tcW w:w="3390" w:type="dxa"/>
            <w:tcBorders>
              <w:right w:val="nil"/>
            </w:tcBorders>
            <w:vAlign w:val="top"/>
          </w:tcPr>
          <w:p w14:paraId="04AE9666">
            <w:pPr>
              <w:pStyle w:val="6"/>
              <w:spacing w:before="82" w:line="219" w:lineRule="auto"/>
              <w:ind w:left="1305"/>
              <w:rPr>
                <w:sz w:val="17"/>
                <w:szCs w:val="17"/>
              </w:rPr>
            </w:pPr>
            <w:r>
              <w:rPr>
                <w:spacing w:val="-12"/>
                <w:sz w:val="17"/>
                <w:szCs w:val="17"/>
              </w:rPr>
              <w:t>坝</w:t>
            </w:r>
            <w:r>
              <w:rPr>
                <w:spacing w:val="-19"/>
                <w:sz w:val="17"/>
                <w:szCs w:val="17"/>
              </w:rPr>
              <w:t xml:space="preserve"> </w:t>
            </w:r>
            <w:r>
              <w:rPr>
                <w:spacing w:val="-12"/>
                <w:sz w:val="17"/>
                <w:szCs w:val="17"/>
              </w:rPr>
              <w:t>高</w:t>
            </w:r>
            <w:r>
              <w:rPr>
                <w:spacing w:val="4"/>
                <w:sz w:val="17"/>
                <w:szCs w:val="17"/>
              </w:rPr>
              <w:t xml:space="preserve"> </w:t>
            </w:r>
            <w:r>
              <w:rPr>
                <w:spacing w:val="-12"/>
                <w:sz w:val="17"/>
                <w:szCs w:val="17"/>
              </w:rPr>
              <w:t>(</w:t>
            </w:r>
            <w:r>
              <w:rPr>
                <w:spacing w:val="-31"/>
                <w:sz w:val="17"/>
                <w:szCs w:val="17"/>
              </w:rPr>
              <w:t xml:space="preserve"> </w:t>
            </w:r>
            <w:r>
              <w:rPr>
                <w:spacing w:val="-12"/>
                <w:sz w:val="17"/>
                <w:szCs w:val="17"/>
              </w:rPr>
              <w:t>m</w:t>
            </w:r>
            <w:r>
              <w:rPr>
                <w:spacing w:val="-26"/>
                <w:sz w:val="17"/>
                <w:szCs w:val="17"/>
              </w:rPr>
              <w:t xml:space="preserve"> </w:t>
            </w:r>
            <w:r>
              <w:rPr>
                <w:spacing w:val="-12"/>
                <w:sz w:val="17"/>
                <w:szCs w:val="17"/>
              </w:rPr>
              <w:t>)</w:t>
            </w:r>
          </w:p>
        </w:tc>
      </w:tr>
      <w:tr w14:paraId="44F2A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30" w:type="dxa"/>
            <w:vMerge w:val="restart"/>
            <w:tcBorders>
              <w:left w:val="nil"/>
              <w:bottom w:val="nil"/>
            </w:tcBorders>
            <w:vAlign w:val="top"/>
          </w:tcPr>
          <w:p w14:paraId="3EF95510">
            <w:pPr>
              <w:pStyle w:val="6"/>
              <w:spacing w:before="256" w:line="241" w:lineRule="auto"/>
              <w:ind w:left="520"/>
              <w:rPr>
                <w:sz w:val="17"/>
                <w:szCs w:val="17"/>
              </w:rPr>
            </w:pPr>
            <w:r>
              <w:rPr>
                <w:sz w:val="17"/>
                <w:szCs w:val="17"/>
              </w:rPr>
              <w:t>2</w:t>
            </w:r>
          </w:p>
        </w:tc>
        <w:tc>
          <w:tcPr>
            <w:tcW w:w="3340" w:type="dxa"/>
            <w:vAlign w:val="top"/>
          </w:tcPr>
          <w:p w14:paraId="2051FD52">
            <w:pPr>
              <w:pStyle w:val="6"/>
              <w:spacing w:before="80" w:line="221" w:lineRule="auto"/>
              <w:ind w:left="1405"/>
              <w:rPr>
                <w:sz w:val="17"/>
                <w:szCs w:val="17"/>
              </w:rPr>
            </w:pPr>
            <w:r>
              <w:rPr>
                <w:spacing w:val="-2"/>
                <w:sz w:val="17"/>
                <w:szCs w:val="17"/>
              </w:rPr>
              <w:t>土石坝</w:t>
            </w:r>
          </w:p>
        </w:tc>
        <w:tc>
          <w:tcPr>
            <w:tcW w:w="3390" w:type="dxa"/>
            <w:tcBorders>
              <w:right w:val="nil"/>
            </w:tcBorders>
            <w:vAlign w:val="top"/>
          </w:tcPr>
          <w:p w14:paraId="730FF1F4">
            <w:pPr>
              <w:pStyle w:val="6"/>
              <w:spacing w:before="97" w:line="229" w:lineRule="auto"/>
              <w:ind w:left="1605"/>
              <w:rPr>
                <w:sz w:val="17"/>
                <w:szCs w:val="17"/>
              </w:rPr>
            </w:pPr>
            <w:r>
              <w:rPr>
                <w:spacing w:val="-2"/>
                <w:sz w:val="17"/>
                <w:szCs w:val="17"/>
              </w:rPr>
              <w:t>90</w:t>
            </w:r>
          </w:p>
        </w:tc>
      </w:tr>
      <w:tr w14:paraId="34F28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30" w:type="dxa"/>
            <w:vMerge w:val="continue"/>
            <w:tcBorders>
              <w:top w:val="nil"/>
              <w:left w:val="nil"/>
            </w:tcBorders>
            <w:vAlign w:val="top"/>
          </w:tcPr>
          <w:p w14:paraId="73AF1DEB">
            <w:pPr>
              <w:rPr>
                <w:rFonts w:ascii="Arial"/>
                <w:sz w:val="21"/>
              </w:rPr>
            </w:pPr>
          </w:p>
        </w:tc>
        <w:tc>
          <w:tcPr>
            <w:tcW w:w="3340" w:type="dxa"/>
            <w:vAlign w:val="top"/>
          </w:tcPr>
          <w:p w14:paraId="15C8DECC">
            <w:pPr>
              <w:pStyle w:val="6"/>
              <w:spacing w:before="82" w:line="219" w:lineRule="auto"/>
              <w:ind w:left="895"/>
              <w:rPr>
                <w:sz w:val="17"/>
                <w:szCs w:val="17"/>
              </w:rPr>
            </w:pPr>
            <w:r>
              <w:rPr>
                <w:spacing w:val="-1"/>
                <w:sz w:val="17"/>
                <w:szCs w:val="17"/>
              </w:rPr>
              <w:t>混凝土坝、浆砌石坝</w:t>
            </w:r>
          </w:p>
        </w:tc>
        <w:tc>
          <w:tcPr>
            <w:tcW w:w="3390" w:type="dxa"/>
            <w:tcBorders>
              <w:right w:val="nil"/>
            </w:tcBorders>
            <w:vAlign w:val="top"/>
          </w:tcPr>
          <w:p w14:paraId="026C590F">
            <w:pPr>
              <w:pStyle w:val="6"/>
              <w:spacing w:before="98" w:line="227" w:lineRule="auto"/>
              <w:ind w:left="1555"/>
              <w:rPr>
                <w:sz w:val="17"/>
                <w:szCs w:val="17"/>
              </w:rPr>
            </w:pPr>
            <w:r>
              <w:rPr>
                <w:spacing w:val="-5"/>
                <w:sz w:val="17"/>
                <w:szCs w:val="17"/>
              </w:rPr>
              <w:t>130</w:t>
            </w:r>
          </w:p>
        </w:tc>
      </w:tr>
      <w:tr w14:paraId="78B2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30" w:type="dxa"/>
            <w:vMerge w:val="restart"/>
            <w:tcBorders>
              <w:left w:val="nil"/>
              <w:bottom w:val="nil"/>
            </w:tcBorders>
            <w:vAlign w:val="top"/>
          </w:tcPr>
          <w:p w14:paraId="5DBB3D0D">
            <w:pPr>
              <w:pStyle w:val="6"/>
              <w:spacing w:before="260"/>
              <w:ind w:left="520"/>
              <w:rPr>
                <w:sz w:val="17"/>
                <w:szCs w:val="17"/>
              </w:rPr>
            </w:pPr>
            <w:r>
              <w:rPr>
                <w:sz w:val="17"/>
                <w:szCs w:val="17"/>
              </w:rPr>
              <w:t>3</w:t>
            </w:r>
          </w:p>
        </w:tc>
        <w:tc>
          <w:tcPr>
            <w:tcW w:w="3340" w:type="dxa"/>
            <w:vAlign w:val="top"/>
          </w:tcPr>
          <w:p w14:paraId="4C27866A">
            <w:pPr>
              <w:pStyle w:val="6"/>
              <w:spacing w:before="84" w:line="221" w:lineRule="auto"/>
              <w:ind w:left="1405"/>
              <w:rPr>
                <w:sz w:val="17"/>
                <w:szCs w:val="17"/>
              </w:rPr>
            </w:pPr>
            <w:r>
              <w:rPr>
                <w:spacing w:val="-2"/>
                <w:sz w:val="17"/>
                <w:szCs w:val="17"/>
              </w:rPr>
              <w:t>土石坝</w:t>
            </w:r>
          </w:p>
        </w:tc>
        <w:tc>
          <w:tcPr>
            <w:tcW w:w="3390" w:type="dxa"/>
            <w:tcBorders>
              <w:right w:val="nil"/>
            </w:tcBorders>
            <w:vAlign w:val="top"/>
          </w:tcPr>
          <w:p w14:paraId="6AF3A0CA">
            <w:pPr>
              <w:pStyle w:val="6"/>
              <w:spacing w:before="100" w:line="225" w:lineRule="auto"/>
              <w:ind w:left="1605"/>
              <w:rPr>
                <w:sz w:val="17"/>
                <w:szCs w:val="17"/>
              </w:rPr>
            </w:pPr>
            <w:r>
              <w:rPr>
                <w:spacing w:val="-3"/>
                <w:sz w:val="17"/>
                <w:szCs w:val="17"/>
              </w:rPr>
              <w:t>70</w:t>
            </w:r>
          </w:p>
        </w:tc>
      </w:tr>
      <w:tr w14:paraId="7B9EB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30" w:type="dxa"/>
            <w:vMerge w:val="continue"/>
            <w:tcBorders>
              <w:top w:val="nil"/>
              <w:left w:val="nil"/>
            </w:tcBorders>
            <w:vAlign w:val="top"/>
          </w:tcPr>
          <w:p w14:paraId="2CDDFB85">
            <w:pPr>
              <w:rPr>
                <w:rFonts w:ascii="Arial"/>
                <w:sz w:val="21"/>
              </w:rPr>
            </w:pPr>
          </w:p>
        </w:tc>
        <w:tc>
          <w:tcPr>
            <w:tcW w:w="3340" w:type="dxa"/>
            <w:vAlign w:val="top"/>
          </w:tcPr>
          <w:p w14:paraId="2716AD09">
            <w:pPr>
              <w:pStyle w:val="6"/>
              <w:spacing w:before="85" w:line="219" w:lineRule="auto"/>
              <w:ind w:left="895"/>
              <w:rPr>
                <w:sz w:val="17"/>
                <w:szCs w:val="17"/>
              </w:rPr>
            </w:pPr>
            <w:r>
              <w:rPr>
                <w:spacing w:val="-1"/>
                <w:sz w:val="17"/>
                <w:szCs w:val="17"/>
              </w:rPr>
              <w:t>混凝土坝、浆砌石坝</w:t>
            </w:r>
          </w:p>
        </w:tc>
        <w:tc>
          <w:tcPr>
            <w:tcW w:w="3390" w:type="dxa"/>
            <w:tcBorders>
              <w:right w:val="nil"/>
            </w:tcBorders>
            <w:vAlign w:val="top"/>
          </w:tcPr>
          <w:p w14:paraId="102255D1">
            <w:pPr>
              <w:pStyle w:val="6"/>
              <w:spacing w:before="103" w:line="228" w:lineRule="auto"/>
              <w:ind w:left="1555"/>
              <w:rPr>
                <w:sz w:val="17"/>
                <w:szCs w:val="17"/>
              </w:rPr>
            </w:pPr>
            <w:r>
              <w:rPr>
                <w:spacing w:val="-5"/>
                <w:sz w:val="17"/>
                <w:szCs w:val="17"/>
              </w:rPr>
              <w:t>100</w:t>
            </w:r>
          </w:p>
        </w:tc>
      </w:tr>
    </w:tbl>
    <w:p w14:paraId="4ECBD900">
      <w:pPr>
        <w:spacing w:before="253" w:line="286" w:lineRule="auto"/>
        <w:ind w:left="1406" w:right="968" w:firstLine="410"/>
        <w:rPr>
          <w:rFonts w:ascii="宋体" w:hAnsi="宋体" w:eastAsia="宋体" w:cs="宋体"/>
          <w:sz w:val="20"/>
          <w:szCs w:val="20"/>
        </w:rPr>
      </w:pPr>
      <w:r>
        <w:rPr>
          <w:rFonts w:ascii="宋体" w:hAnsi="宋体" w:eastAsia="宋体" w:cs="宋体"/>
          <w:spacing w:val="13"/>
          <w:sz w:val="20"/>
          <w:szCs w:val="20"/>
        </w:rPr>
        <w:t>水库工程中最大高度超过200</w:t>
      </w:r>
      <w:r>
        <w:rPr>
          <w:rFonts w:ascii="Times New Roman" w:hAnsi="Times New Roman" w:eastAsia="Times New Roman" w:cs="Times New Roman"/>
          <w:spacing w:val="13"/>
          <w:sz w:val="20"/>
          <w:szCs w:val="20"/>
        </w:rPr>
        <w:t>m</w:t>
      </w:r>
      <w:r>
        <w:rPr>
          <w:rFonts w:ascii="Times New Roman" w:hAnsi="Times New Roman" w:eastAsia="Times New Roman" w:cs="Times New Roman"/>
          <w:spacing w:val="-14"/>
          <w:sz w:val="20"/>
          <w:szCs w:val="20"/>
        </w:rPr>
        <w:t xml:space="preserve"> </w:t>
      </w:r>
      <w:r>
        <w:rPr>
          <w:rFonts w:ascii="宋体" w:hAnsi="宋体" w:eastAsia="宋体" w:cs="宋体"/>
          <w:spacing w:val="13"/>
          <w:sz w:val="20"/>
          <w:szCs w:val="20"/>
        </w:rPr>
        <w:t>的大坝建筑物，其级别应为1级，其设计标</w:t>
      </w:r>
      <w:r>
        <w:rPr>
          <w:rFonts w:ascii="宋体" w:hAnsi="宋体" w:eastAsia="宋体" w:cs="宋体"/>
          <w:spacing w:val="12"/>
          <w:sz w:val="20"/>
          <w:szCs w:val="20"/>
        </w:rPr>
        <w:t>准应专</w:t>
      </w:r>
      <w:r>
        <w:rPr>
          <w:rFonts w:ascii="宋体" w:hAnsi="宋体" w:eastAsia="宋体" w:cs="宋体"/>
          <w:sz w:val="20"/>
          <w:szCs w:val="20"/>
        </w:rPr>
        <w:t xml:space="preserve"> </w:t>
      </w:r>
      <w:r>
        <w:rPr>
          <w:rFonts w:ascii="宋体" w:hAnsi="宋体" w:eastAsia="宋体" w:cs="宋体"/>
          <w:spacing w:val="4"/>
          <w:sz w:val="20"/>
          <w:szCs w:val="20"/>
        </w:rPr>
        <w:t>门研究论证，并报上级主管部门审查批准。</w:t>
      </w:r>
    </w:p>
    <w:p w14:paraId="3BD22438">
      <w:pPr>
        <w:spacing w:line="219" w:lineRule="auto"/>
        <w:ind w:left="1816"/>
        <w:rPr>
          <w:rFonts w:ascii="宋体" w:hAnsi="宋体" w:eastAsia="宋体" w:cs="宋体"/>
          <w:sz w:val="20"/>
          <w:szCs w:val="20"/>
        </w:rPr>
      </w:pPr>
      <w:r>
        <w:rPr>
          <w:rFonts w:ascii="宋体" w:hAnsi="宋体" w:eastAsia="宋体" w:cs="宋体"/>
          <w:spacing w:val="13"/>
          <w:sz w:val="20"/>
          <w:szCs w:val="20"/>
        </w:rPr>
        <w:t>(2)拦河闸永久性水工建筑物级别</w:t>
      </w:r>
    </w:p>
    <w:p w14:paraId="451809CD">
      <w:pPr>
        <w:spacing w:before="93" w:line="292" w:lineRule="auto"/>
        <w:ind w:left="1406" w:right="968" w:firstLine="410"/>
        <w:rPr>
          <w:rFonts w:ascii="宋体" w:hAnsi="宋体" w:eastAsia="宋体" w:cs="宋体"/>
          <w:sz w:val="20"/>
          <w:szCs w:val="20"/>
        </w:rPr>
      </w:pPr>
      <w:r>
        <w:rPr>
          <w:rFonts w:ascii="宋体" w:hAnsi="宋体" w:eastAsia="宋体" w:cs="宋体"/>
          <w:spacing w:val="15"/>
          <w:sz w:val="20"/>
          <w:szCs w:val="20"/>
        </w:rPr>
        <w:t xml:space="preserve">拦河闸永久性水工建筑物的级别，应根据其所属工程的等别按表1.2-2确定。按 </w:t>
      </w:r>
      <w:r>
        <w:rPr>
          <w:rFonts w:ascii="宋体" w:hAnsi="宋体" w:eastAsia="宋体" w:cs="宋体"/>
          <w:spacing w:val="9"/>
          <w:sz w:val="20"/>
          <w:szCs w:val="20"/>
        </w:rPr>
        <w:t>表1.2-2规定为2级、3级，其校核洪水过闸流量分别大于5000</w:t>
      </w:r>
      <w:r>
        <w:rPr>
          <w:rFonts w:ascii="Times New Roman" w:hAnsi="Times New Roman" w:eastAsia="Times New Roman" w:cs="Times New Roman"/>
          <w:spacing w:val="9"/>
          <w:sz w:val="20"/>
          <w:szCs w:val="20"/>
        </w:rPr>
        <w:t>m³/s</w:t>
      </w:r>
      <w:r>
        <w:rPr>
          <w:rFonts w:ascii="Times New Roman" w:hAnsi="Times New Roman" w:eastAsia="Times New Roman" w:cs="Times New Roman"/>
          <w:spacing w:val="-28"/>
          <w:sz w:val="20"/>
          <w:szCs w:val="20"/>
        </w:rPr>
        <w:t xml:space="preserve"> </w:t>
      </w:r>
      <w:r>
        <w:rPr>
          <w:rFonts w:ascii="宋体" w:hAnsi="宋体" w:eastAsia="宋体" w:cs="宋体"/>
          <w:spacing w:val="9"/>
          <w:sz w:val="20"/>
          <w:szCs w:val="20"/>
        </w:rPr>
        <w:t>、</w:t>
      </w:r>
      <w:r>
        <w:rPr>
          <w:rFonts w:ascii="Times New Roman" w:hAnsi="Times New Roman" w:eastAsia="Times New Roman" w:cs="Times New Roman"/>
          <w:spacing w:val="9"/>
          <w:sz w:val="20"/>
          <w:szCs w:val="20"/>
        </w:rPr>
        <w:t>1000</w:t>
      </w:r>
      <w:r>
        <w:rPr>
          <w:rFonts w:ascii="Times New Roman" w:hAnsi="Times New Roman" w:eastAsia="Times New Roman" w:cs="Times New Roman"/>
          <w:spacing w:val="8"/>
          <w:sz w:val="20"/>
          <w:szCs w:val="20"/>
        </w:rPr>
        <w:t xml:space="preserve">m³/s    </w:t>
      </w:r>
      <w:r>
        <w:rPr>
          <w:rFonts w:ascii="宋体" w:hAnsi="宋体" w:eastAsia="宋体" w:cs="宋体"/>
          <w:spacing w:val="8"/>
          <w:sz w:val="20"/>
          <w:szCs w:val="20"/>
        </w:rPr>
        <w:t>时，其</w:t>
      </w:r>
      <w:r>
        <w:rPr>
          <w:rFonts w:ascii="宋体" w:hAnsi="宋体" w:eastAsia="宋体" w:cs="宋体"/>
          <w:sz w:val="20"/>
          <w:szCs w:val="20"/>
        </w:rPr>
        <w:t xml:space="preserve"> </w:t>
      </w:r>
      <w:r>
        <w:rPr>
          <w:rFonts w:ascii="宋体" w:hAnsi="宋体" w:eastAsia="宋体" w:cs="宋体"/>
          <w:spacing w:val="5"/>
          <w:sz w:val="20"/>
          <w:szCs w:val="20"/>
        </w:rPr>
        <w:t>建筑物级别可提高一级，但洪水标准可不提高。</w:t>
      </w:r>
    </w:p>
    <w:p w14:paraId="148F9CED">
      <w:pPr>
        <w:spacing w:before="37" w:line="221" w:lineRule="auto"/>
        <w:ind w:left="1819"/>
        <w:rPr>
          <w:rFonts w:ascii="黑体" w:hAnsi="黑体" w:eastAsia="黑体" w:cs="黑体"/>
          <w:sz w:val="20"/>
          <w:szCs w:val="20"/>
        </w:rPr>
      </w:pPr>
      <w:r>
        <w:rPr>
          <w:rFonts w:ascii="黑体" w:hAnsi="黑体" w:eastAsia="黑体" w:cs="黑体"/>
          <w:b/>
          <w:bCs/>
          <w:color w:val="307090"/>
          <w:spacing w:val="24"/>
          <w:sz w:val="20"/>
          <w:szCs w:val="20"/>
        </w:rPr>
        <w:t>2)堤防工程级别</w:t>
      </w:r>
    </w:p>
    <w:p w14:paraId="6365C45A">
      <w:pPr>
        <w:spacing w:before="45" w:line="297" w:lineRule="auto"/>
        <w:ind w:left="1406" w:right="973" w:firstLine="410"/>
        <w:rPr>
          <w:rFonts w:ascii="宋体" w:hAnsi="宋体" w:eastAsia="宋体" w:cs="宋体"/>
          <w:sz w:val="20"/>
          <w:szCs w:val="20"/>
        </w:rPr>
      </w:pPr>
      <w:r>
        <w:rPr>
          <w:rFonts w:ascii="宋体" w:hAnsi="宋体" w:eastAsia="宋体" w:cs="宋体"/>
          <w:spacing w:val="10"/>
          <w:sz w:val="20"/>
          <w:szCs w:val="20"/>
        </w:rPr>
        <w:t>防洪工程中堤防永久性水工建筑物的级别应根据其保</w:t>
      </w:r>
      <w:r>
        <w:rPr>
          <w:rFonts w:ascii="宋体" w:hAnsi="宋体" w:eastAsia="宋体" w:cs="宋体"/>
          <w:spacing w:val="9"/>
          <w:sz w:val="20"/>
          <w:szCs w:val="20"/>
        </w:rPr>
        <w:t>护对象的防洪标准按表1.2-4</w:t>
      </w:r>
      <w:r>
        <w:rPr>
          <w:rFonts w:ascii="宋体" w:hAnsi="宋体" w:eastAsia="宋体" w:cs="宋体"/>
          <w:sz w:val="20"/>
          <w:szCs w:val="20"/>
        </w:rPr>
        <w:t xml:space="preserve"> </w:t>
      </w:r>
      <w:r>
        <w:rPr>
          <w:rFonts w:ascii="宋体" w:hAnsi="宋体" w:eastAsia="宋体" w:cs="宋体"/>
          <w:spacing w:val="6"/>
          <w:sz w:val="20"/>
          <w:szCs w:val="20"/>
        </w:rPr>
        <w:t>确定。当经批准的流域、区域防洪规划另有规定时，</w:t>
      </w:r>
      <w:r>
        <w:rPr>
          <w:rFonts w:ascii="宋体" w:hAnsi="宋体" w:eastAsia="宋体" w:cs="宋体"/>
          <w:spacing w:val="5"/>
          <w:sz w:val="20"/>
          <w:szCs w:val="20"/>
        </w:rPr>
        <w:t>应按其规定执行。</w:t>
      </w:r>
    </w:p>
    <w:p w14:paraId="1C58AF16">
      <w:pPr>
        <w:spacing w:before="144" w:line="220" w:lineRule="auto"/>
        <w:ind w:left="4269"/>
        <w:rPr>
          <w:rFonts w:ascii="宋体" w:hAnsi="宋体" w:eastAsia="宋体" w:cs="宋体"/>
          <w:sz w:val="20"/>
          <w:szCs w:val="20"/>
        </w:rPr>
      </w:pPr>
      <w:r>
        <w:rPr>
          <w:rFonts w:ascii="宋体" w:hAnsi="宋体" w:eastAsia="宋体" w:cs="宋体"/>
          <w:b/>
          <w:bCs/>
          <w:spacing w:val="-3"/>
          <w:sz w:val="20"/>
          <w:szCs w:val="20"/>
        </w:rPr>
        <w:t>表1.2-4堤防工程的级别</w:t>
      </w:r>
    </w:p>
    <w:p w14:paraId="3A4A38B2">
      <w:pPr>
        <w:spacing w:line="31" w:lineRule="exact"/>
      </w:pPr>
    </w:p>
    <w:tbl>
      <w:tblPr>
        <w:tblStyle w:val="5"/>
        <w:tblW w:w="7850" w:type="dxa"/>
        <w:tblInd w:w="1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0"/>
        <w:gridCol w:w="840"/>
        <w:gridCol w:w="1250"/>
        <w:gridCol w:w="1250"/>
        <w:gridCol w:w="1250"/>
        <w:gridCol w:w="1280"/>
      </w:tblGrid>
      <w:tr w14:paraId="389C6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980" w:type="dxa"/>
            <w:tcBorders>
              <w:left w:val="nil"/>
            </w:tcBorders>
            <w:vAlign w:val="top"/>
          </w:tcPr>
          <w:p w14:paraId="3F7B1F53">
            <w:pPr>
              <w:pStyle w:val="6"/>
              <w:spacing w:before="72" w:line="219" w:lineRule="auto"/>
              <w:jc w:val="right"/>
            </w:pPr>
            <w:r>
              <w:rPr>
                <w:spacing w:val="2"/>
              </w:rPr>
              <w:t>防洪标准[重现期(年)]</w:t>
            </w:r>
          </w:p>
        </w:tc>
        <w:tc>
          <w:tcPr>
            <w:tcW w:w="840" w:type="dxa"/>
            <w:vAlign w:val="top"/>
          </w:tcPr>
          <w:p w14:paraId="0482874D">
            <w:pPr>
              <w:pStyle w:val="6"/>
              <w:spacing w:before="90" w:line="213" w:lineRule="auto"/>
              <w:ind w:left="175"/>
            </w:pPr>
            <w:r>
              <w:rPr>
                <w:spacing w:val="-6"/>
              </w:rPr>
              <w:t>≥100</w:t>
            </w:r>
          </w:p>
        </w:tc>
        <w:tc>
          <w:tcPr>
            <w:tcW w:w="1250" w:type="dxa"/>
            <w:vAlign w:val="top"/>
          </w:tcPr>
          <w:p w14:paraId="59106939">
            <w:pPr>
              <w:pStyle w:val="6"/>
              <w:spacing w:before="70" w:line="216" w:lineRule="auto"/>
              <w:ind w:left="95"/>
            </w:pPr>
            <w:r>
              <w:rPr>
                <w:spacing w:val="-2"/>
              </w:rPr>
              <w:t>&lt;100,且≥50</w:t>
            </w:r>
          </w:p>
        </w:tc>
        <w:tc>
          <w:tcPr>
            <w:tcW w:w="1250" w:type="dxa"/>
            <w:vAlign w:val="top"/>
          </w:tcPr>
          <w:p w14:paraId="3FDABB4F">
            <w:pPr>
              <w:pStyle w:val="6"/>
              <w:spacing w:before="70" w:line="216" w:lineRule="auto"/>
              <w:ind w:left="145"/>
            </w:pPr>
            <w:r>
              <w:rPr>
                <w:spacing w:val="1"/>
              </w:rPr>
              <w:t>&lt;50,且≥30</w:t>
            </w:r>
          </w:p>
        </w:tc>
        <w:tc>
          <w:tcPr>
            <w:tcW w:w="1250" w:type="dxa"/>
            <w:vAlign w:val="top"/>
          </w:tcPr>
          <w:p w14:paraId="0B097A8A">
            <w:pPr>
              <w:pStyle w:val="6"/>
              <w:spacing w:before="70" w:line="216" w:lineRule="auto"/>
              <w:ind w:left="145"/>
            </w:pPr>
            <w:r>
              <w:rPr>
                <w:spacing w:val="1"/>
              </w:rPr>
              <w:t>&lt;30,且≥20</w:t>
            </w:r>
          </w:p>
        </w:tc>
        <w:tc>
          <w:tcPr>
            <w:tcW w:w="1280" w:type="dxa"/>
            <w:tcBorders>
              <w:right w:val="nil"/>
            </w:tcBorders>
            <w:vAlign w:val="top"/>
          </w:tcPr>
          <w:p w14:paraId="30F05CF7">
            <w:pPr>
              <w:pStyle w:val="6"/>
              <w:spacing w:before="70" w:line="216" w:lineRule="auto"/>
              <w:ind w:left="155"/>
            </w:pPr>
            <w:r>
              <w:rPr>
                <w:spacing w:val="1"/>
              </w:rPr>
              <w:t>&lt;20,且≥10</w:t>
            </w:r>
          </w:p>
        </w:tc>
      </w:tr>
      <w:tr w14:paraId="4609F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980" w:type="dxa"/>
            <w:tcBorders>
              <w:left w:val="nil"/>
            </w:tcBorders>
            <w:vAlign w:val="top"/>
          </w:tcPr>
          <w:p w14:paraId="1A7E74C8">
            <w:pPr>
              <w:pStyle w:val="6"/>
              <w:spacing w:before="73" w:line="220" w:lineRule="auto"/>
              <w:ind w:left="420"/>
            </w:pPr>
            <w:r>
              <w:rPr>
                <w:spacing w:val="2"/>
              </w:rPr>
              <w:t>堤防工程级别</w:t>
            </w:r>
          </w:p>
        </w:tc>
        <w:tc>
          <w:tcPr>
            <w:tcW w:w="840" w:type="dxa"/>
            <w:vAlign w:val="top"/>
          </w:tcPr>
          <w:p w14:paraId="458B8E39">
            <w:pPr>
              <w:pStyle w:val="6"/>
              <w:spacing w:before="91" w:line="211" w:lineRule="auto"/>
              <w:ind w:left="365"/>
            </w:pPr>
            <w:r>
              <w:t>1</w:t>
            </w:r>
          </w:p>
        </w:tc>
        <w:tc>
          <w:tcPr>
            <w:tcW w:w="1250" w:type="dxa"/>
            <w:vAlign w:val="top"/>
          </w:tcPr>
          <w:p w14:paraId="0B362BEB">
            <w:pPr>
              <w:pStyle w:val="6"/>
              <w:spacing w:before="91" w:line="211" w:lineRule="auto"/>
              <w:ind w:left="565"/>
            </w:pPr>
            <w:r>
              <w:t>2</w:t>
            </w:r>
          </w:p>
        </w:tc>
        <w:tc>
          <w:tcPr>
            <w:tcW w:w="1250" w:type="dxa"/>
            <w:vAlign w:val="top"/>
          </w:tcPr>
          <w:p w14:paraId="7DA0B503">
            <w:pPr>
              <w:pStyle w:val="6"/>
              <w:spacing w:before="91" w:line="211" w:lineRule="auto"/>
              <w:ind w:left="565"/>
            </w:pPr>
            <w:r>
              <w:t>3</w:t>
            </w:r>
          </w:p>
        </w:tc>
        <w:tc>
          <w:tcPr>
            <w:tcW w:w="1250" w:type="dxa"/>
            <w:vAlign w:val="top"/>
          </w:tcPr>
          <w:p w14:paraId="748F7F5D">
            <w:pPr>
              <w:pStyle w:val="6"/>
              <w:spacing w:before="91" w:line="211" w:lineRule="auto"/>
              <w:ind w:left="565"/>
            </w:pPr>
            <w:r>
              <w:t>4</w:t>
            </w:r>
          </w:p>
        </w:tc>
        <w:tc>
          <w:tcPr>
            <w:tcW w:w="1280" w:type="dxa"/>
            <w:tcBorders>
              <w:right w:val="nil"/>
            </w:tcBorders>
            <w:vAlign w:val="top"/>
          </w:tcPr>
          <w:p w14:paraId="63BA5EB1">
            <w:pPr>
              <w:pStyle w:val="6"/>
              <w:spacing w:before="91" w:line="211" w:lineRule="auto"/>
              <w:ind w:left="585"/>
            </w:pPr>
            <w:r>
              <w:t>5</w:t>
            </w:r>
          </w:p>
        </w:tc>
      </w:tr>
    </w:tbl>
    <w:p w14:paraId="6948EB8B">
      <w:pPr>
        <w:spacing w:before="303" w:line="279" w:lineRule="auto"/>
        <w:ind w:left="1406" w:right="968" w:firstLine="410"/>
        <w:rPr>
          <w:rFonts w:ascii="宋体" w:hAnsi="宋体" w:eastAsia="宋体" w:cs="宋体"/>
          <w:sz w:val="20"/>
          <w:szCs w:val="20"/>
        </w:rPr>
      </w:pPr>
      <w:r>
        <w:rPr>
          <w:rFonts w:ascii="宋体" w:hAnsi="宋体" w:eastAsia="宋体" w:cs="宋体"/>
          <w:spacing w:val="13"/>
          <w:sz w:val="20"/>
          <w:szCs w:val="20"/>
        </w:rPr>
        <w:t>分洪道(渠)、分洪与退洪控制闸永久性水工建筑物级别，应不低于所在堤防永久</w:t>
      </w:r>
      <w:r>
        <w:rPr>
          <w:rFonts w:ascii="宋体" w:hAnsi="宋体" w:eastAsia="宋体" w:cs="宋体"/>
          <w:spacing w:val="1"/>
          <w:sz w:val="20"/>
          <w:szCs w:val="20"/>
        </w:rPr>
        <w:t xml:space="preserve"> </w:t>
      </w:r>
      <w:r>
        <w:rPr>
          <w:rFonts w:ascii="宋体" w:hAnsi="宋体" w:eastAsia="宋体" w:cs="宋体"/>
          <w:spacing w:val="4"/>
          <w:sz w:val="20"/>
          <w:szCs w:val="20"/>
        </w:rPr>
        <w:t>性水工建筑物级别。</w:t>
      </w:r>
    </w:p>
    <w:p w14:paraId="18571C7C">
      <w:pPr>
        <w:spacing w:before="31" w:line="221" w:lineRule="auto"/>
        <w:ind w:left="1819"/>
        <w:rPr>
          <w:rFonts w:ascii="黑体" w:hAnsi="黑体" w:eastAsia="黑体" w:cs="黑体"/>
          <w:sz w:val="20"/>
          <w:szCs w:val="20"/>
        </w:rPr>
      </w:pPr>
      <w:r>
        <w:rPr>
          <w:rFonts w:ascii="黑体" w:hAnsi="黑体" w:eastAsia="黑体" w:cs="黑体"/>
          <w:b/>
          <w:bCs/>
          <w:color w:val="307090"/>
          <w:spacing w:val="18"/>
          <w:sz w:val="20"/>
          <w:szCs w:val="20"/>
        </w:rPr>
        <w:t>3)临时性水工建筑物级别</w:t>
      </w:r>
    </w:p>
    <w:p w14:paraId="1022FA62">
      <w:pPr>
        <w:spacing w:before="75" w:line="219" w:lineRule="auto"/>
        <w:ind w:left="1816"/>
        <w:rPr>
          <w:rFonts w:ascii="宋体" w:hAnsi="宋体" w:eastAsia="宋体" w:cs="宋体"/>
          <w:sz w:val="20"/>
          <w:szCs w:val="20"/>
        </w:rPr>
      </w:pPr>
      <w:r>
        <w:rPr>
          <w:rFonts w:ascii="宋体" w:hAnsi="宋体" w:eastAsia="宋体" w:cs="宋体"/>
          <w:spacing w:val="14"/>
          <w:sz w:val="20"/>
          <w:szCs w:val="20"/>
        </w:rPr>
        <w:t>水利水电工程施工期使用的临时性挡水和泄</w:t>
      </w:r>
      <w:r>
        <w:rPr>
          <w:rFonts w:ascii="宋体" w:hAnsi="宋体" w:eastAsia="宋体" w:cs="宋体"/>
          <w:spacing w:val="13"/>
          <w:sz w:val="20"/>
          <w:szCs w:val="20"/>
        </w:rPr>
        <w:t>水建筑物的级别，应根据保护对象的</w:t>
      </w:r>
    </w:p>
    <w:p w14:paraId="5F81F6F6">
      <w:pPr>
        <w:pStyle w:val="2"/>
        <w:spacing w:line="257" w:lineRule="auto"/>
      </w:pPr>
    </w:p>
    <w:p w14:paraId="6EE3DD82">
      <w:pPr>
        <w:pStyle w:val="2"/>
        <w:spacing w:line="258" w:lineRule="auto"/>
      </w:pPr>
    </w:p>
    <w:p w14:paraId="77FB9572">
      <w:pPr>
        <w:pStyle w:val="2"/>
        <w:spacing w:line="258" w:lineRule="auto"/>
      </w:pPr>
    </w:p>
    <w:p w14:paraId="20E81518">
      <w:pPr>
        <w:spacing w:line="191" w:lineRule="auto"/>
        <w:rPr>
          <w:rFonts w:ascii="宋体" w:hAnsi="宋体" w:eastAsia="宋体" w:cs="宋体"/>
          <w:sz w:val="24"/>
          <w:szCs w:val="24"/>
        </w:rPr>
        <w:sectPr>
          <w:pgSz w:w="10320" w:h="14590"/>
          <w:pgMar w:top="1" w:right="60" w:bottom="10" w:left="3" w:header="0" w:footer="0" w:gutter="0"/>
          <w:cols w:space="720" w:num="1"/>
        </w:sectPr>
      </w:pPr>
    </w:p>
    <w:p w14:paraId="521575E0">
      <w:pPr>
        <w:spacing w:line="220" w:lineRule="auto"/>
        <w:ind w:left="1371" w:right="351" w:hanging="1082"/>
        <w:rPr>
          <w:rFonts w:hint="eastAsia" w:ascii="宋体" w:hAnsi="宋体" w:eastAsia="宋体" w:cs="宋体"/>
          <w:sz w:val="21"/>
          <w:szCs w:val="21"/>
          <w:lang w:eastAsia="zh-CN"/>
        </w:rPr>
      </w:pPr>
      <w:r>
        <w:rPr>
          <w:rFonts w:hint="eastAsia" w:ascii="宋体" w:hAnsi="宋体" w:eastAsia="宋体" w:cs="宋体"/>
          <w:spacing w:val="-4"/>
          <w:sz w:val="25"/>
          <w:szCs w:val="25"/>
          <w:lang w:eastAsia="zh-CN"/>
        </w:rPr>
        <w:t>大鱼社区</w:t>
      </w:r>
      <w:r>
        <w:rPr>
          <w:rFonts w:ascii="宋体" w:hAnsi="宋体" w:eastAsia="宋体" w:cs="宋体"/>
          <w:b/>
          <w:bCs/>
          <w:spacing w:val="-4"/>
          <w:sz w:val="25"/>
          <w:szCs w:val="25"/>
        </w:rPr>
        <w:t>助你备考：少走弯路，快速通关!认准</w:t>
      </w:r>
      <w:r>
        <w:rPr>
          <w:rFonts w:ascii="Times New Roman" w:hAnsi="Times New Roman" w:eastAsia="Times New Roman" w:cs="Times New Roman"/>
          <w:b/>
          <w:bCs/>
          <w:spacing w:val="-4"/>
          <w:sz w:val="25"/>
          <w:szCs w:val="25"/>
        </w:rPr>
        <w:t>VX:</w:t>
      </w:r>
      <w:r>
        <w:rPr>
          <w:rFonts w:hint="eastAsia" w:ascii="Times New Roman" w:hAnsi="Times New Roman" w:eastAsia="宋体" w:cs="Times New Roman"/>
          <w:b/>
          <w:bCs/>
          <w:spacing w:val="-5"/>
          <w:sz w:val="25"/>
          <w:szCs w:val="25"/>
          <w:lang w:eastAsia="zh-CN"/>
        </w:rPr>
        <w:t>dayu_nm_cn</w:t>
      </w:r>
      <w:r>
        <w:rPr>
          <w:rFonts w:ascii="Times New Roman" w:hAnsi="Times New Roman" w:eastAsia="Times New Roman" w:cs="Times New Roman"/>
          <w:b/>
          <w:bCs/>
          <w:spacing w:val="23"/>
          <w:w w:val="101"/>
          <w:sz w:val="25"/>
          <w:szCs w:val="25"/>
        </w:rPr>
        <w:t xml:space="preserve"> </w:t>
      </w:r>
      <w:r>
        <w:rPr>
          <w:rFonts w:ascii="宋体" w:hAnsi="宋体" w:eastAsia="宋体" w:cs="宋体"/>
          <w:b/>
          <w:bCs/>
          <w:spacing w:val="-5"/>
          <w:sz w:val="25"/>
          <w:szCs w:val="25"/>
        </w:rPr>
        <w:t>(天道酬勤，白嫖</w:t>
      </w:r>
      <w:r>
        <w:rPr>
          <w:rFonts w:ascii="宋体" w:hAnsi="宋体" w:eastAsia="宋体" w:cs="宋体"/>
          <w:spacing w:val="-5"/>
          <w:sz w:val="25"/>
          <w:szCs w:val="25"/>
        </w:rPr>
        <w:t>勿扰)</w:t>
      </w:r>
      <w:r>
        <w:rPr>
          <w:rFonts w:ascii="宋体" w:hAnsi="宋体" w:eastAsia="宋体" w:cs="宋体"/>
          <w:sz w:val="25"/>
          <w:szCs w:val="25"/>
        </w:rPr>
        <w:t xml:space="preserve"> </w:t>
      </w:r>
      <w:r>
        <w:rPr>
          <w:rFonts w:ascii="宋体" w:hAnsi="宋体" w:eastAsia="宋体" w:cs="宋体"/>
          <w:b/>
          <w:bCs/>
          <w:spacing w:val="-1"/>
          <w:sz w:val="21"/>
          <w:szCs w:val="21"/>
        </w:rPr>
        <w:t>一建教材一套四本60元</w:t>
      </w:r>
      <w:r>
        <w:rPr>
          <w:rFonts w:ascii="宋体" w:hAnsi="宋体" w:eastAsia="宋体" w:cs="宋体"/>
          <w:spacing w:val="50"/>
          <w:sz w:val="21"/>
          <w:szCs w:val="21"/>
        </w:rPr>
        <w:t xml:space="preserve">  </w:t>
      </w:r>
      <w:r>
        <w:rPr>
          <w:rFonts w:ascii="宋体" w:hAnsi="宋体" w:eastAsia="宋体" w:cs="宋体"/>
          <w:b/>
          <w:bCs/>
          <w:spacing w:val="-1"/>
          <w:sz w:val="21"/>
          <w:szCs w:val="21"/>
        </w:rPr>
        <w:t>群主微信</w:t>
      </w:r>
      <w:r>
        <w:rPr>
          <w:rFonts w:ascii="宋体" w:hAnsi="宋体" w:eastAsia="宋体" w:cs="宋体"/>
          <w:spacing w:val="74"/>
          <w:sz w:val="21"/>
          <w:szCs w:val="21"/>
        </w:rPr>
        <w:t xml:space="preserve"> </w:t>
      </w:r>
      <w:r>
        <w:rPr>
          <w:rFonts w:hint="eastAsia" w:ascii="Times New Roman" w:hAnsi="Times New Roman" w:eastAsia="宋体" w:cs="Times New Roman"/>
          <w:b/>
          <w:bCs/>
          <w:spacing w:val="-1"/>
          <w:sz w:val="21"/>
          <w:szCs w:val="21"/>
          <w:lang w:eastAsia="zh-CN"/>
        </w:rPr>
        <w:t>dayu_nm_cn</w:t>
      </w:r>
      <w:r>
        <w:rPr>
          <w:rFonts w:ascii="Times New Roman" w:hAnsi="Times New Roman" w:eastAsia="Times New Roman" w:cs="Times New Roman"/>
          <w:b/>
          <w:bCs/>
          <w:spacing w:val="-1"/>
          <w:sz w:val="21"/>
          <w:szCs w:val="21"/>
        </w:rPr>
        <w:t xml:space="preserve">      </w:t>
      </w:r>
      <w:r>
        <w:rPr>
          <w:rFonts w:ascii="宋体" w:hAnsi="宋体" w:eastAsia="宋体" w:cs="宋体"/>
          <w:b/>
          <w:bCs/>
          <w:spacing w:val="-1"/>
          <w:sz w:val="21"/>
          <w:szCs w:val="21"/>
        </w:rPr>
        <w:t>一级建造师学习群</w:t>
      </w:r>
      <w:r>
        <w:rPr>
          <w:rFonts w:hint="eastAsia" w:ascii="宋体" w:hAnsi="宋体" w:eastAsia="宋体" w:cs="宋体"/>
          <w:b/>
          <w:bCs/>
          <w:spacing w:val="-1"/>
          <w:sz w:val="21"/>
          <w:szCs w:val="21"/>
          <w:lang w:eastAsia="zh-CN"/>
        </w:rPr>
        <w:t>dayu_nm_cn</w:t>
      </w:r>
    </w:p>
    <w:p w14:paraId="670A8B49">
      <w:pPr>
        <w:spacing w:before="167" w:line="222" w:lineRule="auto"/>
        <w:ind w:left="1049"/>
        <w:rPr>
          <w:rFonts w:ascii="黑体" w:hAnsi="黑体" w:eastAsia="黑体" w:cs="黑体"/>
          <w:sz w:val="21"/>
          <w:szCs w:val="21"/>
        </w:rPr>
      </w:pPr>
      <w:r>
        <w:drawing>
          <wp:anchor distT="0" distB="0" distL="0" distR="0" simplePos="0" relativeHeight="251663360" behindDoc="0" locked="0" layoutInCell="1" allowOverlap="1">
            <wp:simplePos x="0" y="0"/>
            <wp:positionH relativeFrom="column">
              <wp:posOffset>672465</wp:posOffset>
            </wp:positionH>
            <wp:positionV relativeFrom="paragraph">
              <wp:posOffset>291465</wp:posOffset>
            </wp:positionV>
            <wp:extent cx="497840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8"/>
                    <a:stretch>
                      <a:fillRect/>
                    </a:stretch>
                  </pic:blipFill>
                  <pic:spPr>
                    <a:xfrm>
                      <a:off x="0" y="0"/>
                      <a:ext cx="4978401" cy="6350"/>
                    </a:xfrm>
                    <a:prstGeom prst="rect">
                      <a:avLst/>
                    </a:prstGeom>
                  </pic:spPr>
                </pic:pic>
              </a:graphicData>
            </a:graphic>
          </wp:anchor>
        </w:drawing>
      </w:r>
      <w:r>
        <w:rPr>
          <w:rFonts w:ascii="Times New Roman" w:hAnsi="Times New Roman" w:eastAsia="Times New Roman" w:cs="Times New Roman"/>
          <w:spacing w:val="-8"/>
          <w:sz w:val="13"/>
          <w:szCs w:val="13"/>
        </w:rPr>
        <w:t>14</w:t>
      </w:r>
      <w:r>
        <w:rPr>
          <w:rFonts w:ascii="Times New Roman" w:hAnsi="Times New Roman" w:eastAsia="Times New Roman" w:cs="Times New Roman"/>
          <w:spacing w:val="3"/>
          <w:sz w:val="13"/>
          <w:szCs w:val="13"/>
        </w:rPr>
        <w:t xml:space="preserve">           </w:t>
      </w:r>
      <w:r>
        <w:rPr>
          <w:rFonts w:ascii="黑体" w:hAnsi="黑体" w:eastAsia="黑体" w:cs="黑体"/>
          <w:spacing w:val="-22"/>
          <w:w w:val="98"/>
          <w:sz w:val="21"/>
          <w:szCs w:val="21"/>
        </w:rPr>
        <w:t>第1篇 水利水电工程技术</w:t>
      </w:r>
    </w:p>
    <w:p w14:paraId="2F73549E">
      <w:pPr>
        <w:spacing w:before="248" w:line="219" w:lineRule="auto"/>
        <w:ind w:left="1049"/>
        <w:rPr>
          <w:rFonts w:ascii="宋体" w:hAnsi="宋体" w:eastAsia="宋体" w:cs="宋体"/>
          <w:sz w:val="21"/>
          <w:szCs w:val="21"/>
        </w:rPr>
      </w:pPr>
      <w:r>
        <w:rPr>
          <w:rFonts w:ascii="宋体" w:hAnsi="宋体" w:eastAsia="宋体" w:cs="宋体"/>
          <w:spacing w:val="-2"/>
          <w:sz w:val="21"/>
          <w:szCs w:val="21"/>
        </w:rPr>
        <w:t>重要性、失事造成的后果、使用年限和临时性建筑物的规模，按表1.2-5确定。</w:t>
      </w:r>
    </w:p>
    <w:p w14:paraId="5BE96C8D">
      <w:pPr>
        <w:spacing w:before="39" w:line="310" w:lineRule="auto"/>
        <w:ind w:left="1049" w:right="1402" w:firstLine="420"/>
        <w:rPr>
          <w:rFonts w:ascii="宋体" w:hAnsi="宋体" w:eastAsia="宋体" w:cs="宋体"/>
          <w:sz w:val="21"/>
          <w:szCs w:val="21"/>
        </w:rPr>
      </w:pPr>
      <w:r>
        <w:rPr>
          <w:rFonts w:ascii="宋体" w:hAnsi="宋体" w:eastAsia="宋体" w:cs="宋体"/>
          <w:spacing w:val="-1"/>
          <w:sz w:val="21"/>
          <w:szCs w:val="21"/>
        </w:rPr>
        <w:t>当临时性水工建筑物根据表1.2-5指标同时分属于不同级别时，其级别应按照其中</w:t>
      </w:r>
      <w:r>
        <w:rPr>
          <w:rFonts w:ascii="宋体" w:hAnsi="宋体" w:eastAsia="宋体" w:cs="宋体"/>
          <w:spacing w:val="15"/>
          <w:sz w:val="21"/>
          <w:szCs w:val="21"/>
        </w:rPr>
        <w:t xml:space="preserve"> </w:t>
      </w:r>
      <w:r>
        <w:rPr>
          <w:rFonts w:ascii="宋体" w:hAnsi="宋体" w:eastAsia="宋体" w:cs="宋体"/>
          <w:spacing w:val="-1"/>
          <w:sz w:val="21"/>
          <w:szCs w:val="21"/>
        </w:rPr>
        <w:t>最高级别确定。但对于3级临时性水工建筑物，符合该级别规定的指标不得少</w:t>
      </w:r>
      <w:r>
        <w:rPr>
          <w:rFonts w:ascii="宋体" w:hAnsi="宋体" w:eastAsia="宋体" w:cs="宋体"/>
          <w:spacing w:val="-2"/>
          <w:sz w:val="21"/>
          <w:szCs w:val="21"/>
        </w:rPr>
        <w:t>于两项。</w:t>
      </w:r>
    </w:p>
    <w:p w14:paraId="632EF228">
      <w:pPr>
        <w:spacing w:before="112" w:line="219" w:lineRule="auto"/>
        <w:ind w:left="3632"/>
        <w:rPr>
          <w:rFonts w:ascii="宋体" w:hAnsi="宋体" w:eastAsia="宋体" w:cs="宋体"/>
          <w:sz w:val="19"/>
          <w:szCs w:val="19"/>
        </w:rPr>
      </w:pPr>
      <w:r>
        <w:rPr>
          <w:rFonts w:ascii="宋体" w:hAnsi="宋体" w:eastAsia="宋体" w:cs="宋体"/>
          <w:b/>
          <w:bCs/>
          <w:spacing w:val="-3"/>
          <w:sz w:val="19"/>
          <w:szCs w:val="19"/>
        </w:rPr>
        <w:t>表1.2-5临时性水工建筑物级别</w:t>
      </w:r>
    </w:p>
    <w:p w14:paraId="0E8F5058">
      <w:pPr>
        <w:spacing w:line="55" w:lineRule="exact"/>
      </w:pPr>
    </w:p>
    <w:tbl>
      <w:tblPr>
        <w:tblStyle w:val="5"/>
        <w:tblW w:w="7829" w:type="dxa"/>
        <w:tblInd w:w="10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
        <w:gridCol w:w="1418"/>
        <w:gridCol w:w="3156"/>
        <w:gridCol w:w="799"/>
        <w:gridCol w:w="849"/>
        <w:gridCol w:w="1163"/>
      </w:tblGrid>
      <w:tr w14:paraId="5416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44" w:type="dxa"/>
            <w:vMerge w:val="restart"/>
            <w:tcBorders>
              <w:bottom w:val="nil"/>
            </w:tcBorders>
            <w:vAlign w:val="top"/>
          </w:tcPr>
          <w:p w14:paraId="14555C90">
            <w:pPr>
              <w:pStyle w:val="6"/>
              <w:spacing w:before="242" w:line="220" w:lineRule="auto"/>
              <w:ind w:left="45"/>
              <w:rPr>
                <w:sz w:val="17"/>
                <w:szCs w:val="17"/>
              </w:rPr>
            </w:pPr>
            <w:r>
              <w:rPr>
                <w:spacing w:val="6"/>
                <w:sz w:val="17"/>
                <w:szCs w:val="17"/>
              </w:rPr>
              <w:t>级别</w:t>
            </w:r>
          </w:p>
        </w:tc>
        <w:tc>
          <w:tcPr>
            <w:tcW w:w="1418" w:type="dxa"/>
            <w:vMerge w:val="restart"/>
            <w:tcBorders>
              <w:bottom w:val="nil"/>
            </w:tcBorders>
            <w:vAlign w:val="top"/>
          </w:tcPr>
          <w:p w14:paraId="1ACF613B">
            <w:pPr>
              <w:pStyle w:val="6"/>
              <w:spacing w:before="239" w:line="219" w:lineRule="auto"/>
              <w:ind w:left="363"/>
              <w:rPr>
                <w:sz w:val="17"/>
                <w:szCs w:val="17"/>
              </w:rPr>
            </w:pPr>
            <w:r>
              <w:rPr>
                <w:b/>
                <w:bCs/>
                <w:spacing w:val="-4"/>
                <w:sz w:val="17"/>
                <w:szCs w:val="17"/>
              </w:rPr>
              <w:t>保护对象</w:t>
            </w:r>
          </w:p>
        </w:tc>
        <w:tc>
          <w:tcPr>
            <w:tcW w:w="3156" w:type="dxa"/>
            <w:vMerge w:val="restart"/>
            <w:tcBorders>
              <w:bottom w:val="nil"/>
            </w:tcBorders>
            <w:vAlign w:val="top"/>
          </w:tcPr>
          <w:p w14:paraId="471AAFC8">
            <w:pPr>
              <w:pStyle w:val="6"/>
              <w:spacing w:before="242" w:line="220" w:lineRule="auto"/>
              <w:ind w:left="1233"/>
              <w:rPr>
                <w:sz w:val="17"/>
                <w:szCs w:val="17"/>
              </w:rPr>
            </w:pPr>
            <w:r>
              <w:rPr>
                <w:spacing w:val="2"/>
                <w:sz w:val="17"/>
                <w:szCs w:val="17"/>
              </w:rPr>
              <w:t>失事后果</w:t>
            </w:r>
          </w:p>
        </w:tc>
        <w:tc>
          <w:tcPr>
            <w:tcW w:w="799" w:type="dxa"/>
            <w:vMerge w:val="restart"/>
            <w:tcBorders>
              <w:bottom w:val="nil"/>
            </w:tcBorders>
            <w:vAlign w:val="top"/>
          </w:tcPr>
          <w:p w14:paraId="1BA182AD">
            <w:pPr>
              <w:pStyle w:val="6"/>
              <w:spacing w:before="112" w:line="219" w:lineRule="auto"/>
              <w:ind w:left="57"/>
              <w:rPr>
                <w:sz w:val="17"/>
                <w:szCs w:val="17"/>
              </w:rPr>
            </w:pPr>
            <w:r>
              <w:rPr>
                <w:spacing w:val="-2"/>
                <w:sz w:val="17"/>
                <w:szCs w:val="17"/>
              </w:rPr>
              <w:t>使用年限</w:t>
            </w:r>
          </w:p>
          <w:p w14:paraId="6C92FED1">
            <w:pPr>
              <w:pStyle w:val="6"/>
              <w:spacing w:before="48" w:line="219" w:lineRule="auto"/>
              <w:ind w:left="226"/>
              <w:rPr>
                <w:sz w:val="17"/>
                <w:szCs w:val="17"/>
              </w:rPr>
            </w:pPr>
            <w:r>
              <w:rPr>
                <w:spacing w:val="12"/>
                <w:sz w:val="17"/>
                <w:szCs w:val="17"/>
              </w:rPr>
              <w:t>(年)</w:t>
            </w:r>
          </w:p>
        </w:tc>
        <w:tc>
          <w:tcPr>
            <w:tcW w:w="2012" w:type="dxa"/>
            <w:gridSpan w:val="2"/>
            <w:vAlign w:val="top"/>
          </w:tcPr>
          <w:p w14:paraId="19114BF7">
            <w:pPr>
              <w:pStyle w:val="6"/>
              <w:spacing w:before="72" w:line="219" w:lineRule="auto"/>
              <w:ind w:left="188"/>
              <w:rPr>
                <w:sz w:val="17"/>
                <w:szCs w:val="17"/>
              </w:rPr>
            </w:pPr>
            <w:r>
              <w:rPr>
                <w:sz w:val="17"/>
                <w:szCs w:val="17"/>
              </w:rPr>
              <w:t>临时性水工建筑物规模</w:t>
            </w:r>
          </w:p>
        </w:tc>
      </w:tr>
      <w:tr w14:paraId="0508D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44" w:type="dxa"/>
            <w:vMerge w:val="continue"/>
            <w:tcBorders>
              <w:top w:val="nil"/>
            </w:tcBorders>
            <w:vAlign w:val="top"/>
          </w:tcPr>
          <w:p w14:paraId="57294C95">
            <w:pPr>
              <w:rPr>
                <w:rFonts w:ascii="Arial"/>
                <w:sz w:val="21"/>
              </w:rPr>
            </w:pPr>
          </w:p>
        </w:tc>
        <w:tc>
          <w:tcPr>
            <w:tcW w:w="1418" w:type="dxa"/>
            <w:vMerge w:val="continue"/>
            <w:tcBorders>
              <w:top w:val="nil"/>
            </w:tcBorders>
            <w:vAlign w:val="top"/>
          </w:tcPr>
          <w:p w14:paraId="00A438F8">
            <w:pPr>
              <w:rPr>
                <w:rFonts w:ascii="Arial"/>
                <w:sz w:val="21"/>
              </w:rPr>
            </w:pPr>
          </w:p>
        </w:tc>
        <w:tc>
          <w:tcPr>
            <w:tcW w:w="3156" w:type="dxa"/>
            <w:vMerge w:val="continue"/>
            <w:tcBorders>
              <w:top w:val="nil"/>
            </w:tcBorders>
            <w:vAlign w:val="top"/>
          </w:tcPr>
          <w:p w14:paraId="68C2076F">
            <w:pPr>
              <w:rPr>
                <w:rFonts w:ascii="Arial"/>
                <w:sz w:val="21"/>
              </w:rPr>
            </w:pPr>
          </w:p>
        </w:tc>
        <w:tc>
          <w:tcPr>
            <w:tcW w:w="799" w:type="dxa"/>
            <w:vMerge w:val="continue"/>
            <w:tcBorders>
              <w:top w:val="nil"/>
            </w:tcBorders>
            <w:vAlign w:val="top"/>
          </w:tcPr>
          <w:p w14:paraId="3F1D102E">
            <w:pPr>
              <w:rPr>
                <w:rFonts w:ascii="Arial"/>
                <w:sz w:val="21"/>
              </w:rPr>
            </w:pPr>
          </w:p>
        </w:tc>
        <w:tc>
          <w:tcPr>
            <w:tcW w:w="849" w:type="dxa"/>
            <w:vAlign w:val="top"/>
          </w:tcPr>
          <w:p w14:paraId="5980C3EA">
            <w:pPr>
              <w:pStyle w:val="6"/>
              <w:spacing w:before="78" w:line="219" w:lineRule="auto"/>
              <w:jc w:val="right"/>
              <w:rPr>
                <w:sz w:val="17"/>
                <w:szCs w:val="17"/>
              </w:rPr>
            </w:pPr>
            <w:r>
              <w:rPr>
                <w:spacing w:val="-10"/>
                <w:w w:val="97"/>
                <w:sz w:val="17"/>
                <w:szCs w:val="17"/>
              </w:rPr>
              <w:t>高</w:t>
            </w:r>
            <w:r>
              <w:rPr>
                <w:spacing w:val="-22"/>
                <w:sz w:val="17"/>
                <w:szCs w:val="17"/>
              </w:rPr>
              <w:t xml:space="preserve"> </w:t>
            </w:r>
            <w:r>
              <w:rPr>
                <w:spacing w:val="-10"/>
                <w:w w:val="97"/>
                <w:sz w:val="17"/>
                <w:szCs w:val="17"/>
              </w:rPr>
              <w:t>度</w:t>
            </w:r>
            <w:r>
              <w:rPr>
                <w:spacing w:val="4"/>
                <w:sz w:val="17"/>
                <w:szCs w:val="17"/>
              </w:rPr>
              <w:t xml:space="preserve"> </w:t>
            </w:r>
            <w:r>
              <w:rPr>
                <w:spacing w:val="-10"/>
                <w:w w:val="97"/>
                <w:sz w:val="17"/>
                <w:szCs w:val="17"/>
              </w:rPr>
              <w:t>(</w:t>
            </w:r>
            <w:r>
              <w:rPr>
                <w:spacing w:val="-29"/>
                <w:sz w:val="17"/>
                <w:szCs w:val="17"/>
              </w:rPr>
              <w:t xml:space="preserve"> </w:t>
            </w:r>
            <w:r>
              <w:rPr>
                <w:spacing w:val="-10"/>
                <w:w w:val="97"/>
                <w:sz w:val="17"/>
                <w:szCs w:val="17"/>
              </w:rPr>
              <w:t>m</w:t>
            </w:r>
            <w:r>
              <w:rPr>
                <w:spacing w:val="-24"/>
                <w:sz w:val="17"/>
                <w:szCs w:val="17"/>
              </w:rPr>
              <w:t xml:space="preserve"> </w:t>
            </w:r>
            <w:r>
              <w:rPr>
                <w:spacing w:val="-10"/>
                <w:w w:val="97"/>
                <w:sz w:val="17"/>
                <w:szCs w:val="17"/>
              </w:rPr>
              <w:t>)</w:t>
            </w:r>
          </w:p>
        </w:tc>
        <w:tc>
          <w:tcPr>
            <w:tcW w:w="1163" w:type="dxa"/>
            <w:vAlign w:val="top"/>
          </w:tcPr>
          <w:p w14:paraId="55ACCDE8">
            <w:pPr>
              <w:pStyle w:val="6"/>
              <w:spacing w:before="78" w:line="219" w:lineRule="auto"/>
              <w:ind w:left="19"/>
              <w:rPr>
                <w:sz w:val="17"/>
                <w:szCs w:val="17"/>
              </w:rPr>
            </w:pPr>
            <w:r>
              <w:rPr>
                <w:spacing w:val="19"/>
                <w:sz w:val="17"/>
                <w:szCs w:val="17"/>
              </w:rPr>
              <w:t>库容(10</w:t>
            </w:r>
            <w:r>
              <w:rPr>
                <w:rFonts w:ascii="Calibri" w:hAnsi="Calibri" w:eastAsia="Calibri" w:cs="Calibri"/>
                <w:spacing w:val="19"/>
                <w:sz w:val="17"/>
                <w:szCs w:val="17"/>
              </w:rPr>
              <w:t>⁸</w:t>
            </w:r>
            <w:r>
              <w:rPr>
                <w:spacing w:val="19"/>
                <w:sz w:val="17"/>
                <w:szCs w:val="17"/>
              </w:rPr>
              <w:t>m³)</w:t>
            </w:r>
          </w:p>
        </w:tc>
      </w:tr>
      <w:tr w14:paraId="5A417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7" w:hRule="atLeast"/>
        </w:trPr>
        <w:tc>
          <w:tcPr>
            <w:tcW w:w="444" w:type="dxa"/>
            <w:vAlign w:val="top"/>
          </w:tcPr>
          <w:p w14:paraId="43320660">
            <w:pPr>
              <w:spacing w:line="278" w:lineRule="auto"/>
              <w:rPr>
                <w:rFonts w:ascii="Arial"/>
                <w:sz w:val="21"/>
              </w:rPr>
            </w:pPr>
          </w:p>
          <w:p w14:paraId="10DB07B7">
            <w:pPr>
              <w:pStyle w:val="6"/>
              <w:spacing w:before="55"/>
              <w:ind w:left="164"/>
              <w:rPr>
                <w:sz w:val="17"/>
                <w:szCs w:val="17"/>
              </w:rPr>
            </w:pPr>
            <w:r>
              <w:rPr>
                <w:sz w:val="17"/>
                <w:szCs w:val="17"/>
              </w:rPr>
              <w:t>3</w:t>
            </w:r>
          </w:p>
        </w:tc>
        <w:tc>
          <w:tcPr>
            <w:tcW w:w="1418" w:type="dxa"/>
            <w:vAlign w:val="top"/>
          </w:tcPr>
          <w:p w14:paraId="45DC89C6">
            <w:pPr>
              <w:pStyle w:val="6"/>
              <w:spacing w:before="218" w:line="263" w:lineRule="auto"/>
              <w:ind w:left="20" w:right="35" w:firstLine="40"/>
              <w:rPr>
                <w:sz w:val="17"/>
                <w:szCs w:val="17"/>
              </w:rPr>
            </w:pPr>
            <w:r>
              <w:rPr>
                <w:spacing w:val="-1"/>
                <w:sz w:val="17"/>
                <w:szCs w:val="17"/>
              </w:rPr>
              <w:t>有特殊要求的1级</w:t>
            </w:r>
            <w:r>
              <w:rPr>
                <w:sz w:val="17"/>
                <w:szCs w:val="17"/>
              </w:rPr>
              <w:t xml:space="preserve"> </w:t>
            </w:r>
            <w:r>
              <w:rPr>
                <w:spacing w:val="-1"/>
                <w:sz w:val="17"/>
                <w:szCs w:val="17"/>
              </w:rPr>
              <w:t>永久性水工建筑物</w:t>
            </w:r>
          </w:p>
        </w:tc>
        <w:tc>
          <w:tcPr>
            <w:tcW w:w="3156" w:type="dxa"/>
            <w:vAlign w:val="top"/>
          </w:tcPr>
          <w:p w14:paraId="3FC3FDF0">
            <w:pPr>
              <w:pStyle w:val="6"/>
              <w:spacing w:before="77" w:line="257" w:lineRule="auto"/>
              <w:ind w:left="31" w:hanging="19"/>
              <w:jc w:val="both"/>
              <w:rPr>
                <w:sz w:val="17"/>
                <w:szCs w:val="17"/>
              </w:rPr>
            </w:pPr>
            <w:r>
              <w:rPr>
                <w:spacing w:val="-6"/>
                <w:sz w:val="17"/>
                <w:szCs w:val="17"/>
              </w:rPr>
              <w:t>淹没重要城镇、工矿企业、交通干线或推迟</w:t>
            </w:r>
            <w:r>
              <w:rPr>
                <w:spacing w:val="16"/>
                <w:sz w:val="17"/>
                <w:szCs w:val="17"/>
              </w:rPr>
              <w:t xml:space="preserve"> </w:t>
            </w:r>
            <w:r>
              <w:rPr>
                <w:spacing w:val="-1"/>
                <w:sz w:val="17"/>
                <w:szCs w:val="17"/>
              </w:rPr>
              <w:t>总工期及第一台(批)机组发电，推迟工程</w:t>
            </w:r>
            <w:r>
              <w:rPr>
                <w:spacing w:val="12"/>
                <w:sz w:val="17"/>
                <w:szCs w:val="17"/>
              </w:rPr>
              <w:t xml:space="preserve"> </w:t>
            </w:r>
            <w:r>
              <w:rPr>
                <w:spacing w:val="-1"/>
                <w:sz w:val="17"/>
                <w:szCs w:val="17"/>
              </w:rPr>
              <w:t>发挥效益，造成重大灾害和损失</w:t>
            </w:r>
          </w:p>
        </w:tc>
        <w:tc>
          <w:tcPr>
            <w:tcW w:w="799" w:type="dxa"/>
            <w:vAlign w:val="top"/>
          </w:tcPr>
          <w:p w14:paraId="3019716D">
            <w:pPr>
              <w:spacing w:line="278" w:lineRule="auto"/>
              <w:rPr>
                <w:rFonts w:ascii="Arial"/>
                <w:sz w:val="21"/>
              </w:rPr>
            </w:pPr>
          </w:p>
          <w:p w14:paraId="67DD359D">
            <w:pPr>
              <w:pStyle w:val="6"/>
              <w:spacing w:before="55"/>
              <w:ind w:left="306"/>
              <w:rPr>
                <w:sz w:val="17"/>
                <w:szCs w:val="17"/>
              </w:rPr>
            </w:pPr>
            <w:r>
              <w:rPr>
                <w:spacing w:val="-3"/>
                <w:sz w:val="17"/>
                <w:szCs w:val="17"/>
              </w:rPr>
              <w:t>&gt;3</w:t>
            </w:r>
          </w:p>
        </w:tc>
        <w:tc>
          <w:tcPr>
            <w:tcW w:w="849" w:type="dxa"/>
            <w:vAlign w:val="top"/>
          </w:tcPr>
          <w:p w14:paraId="1B30739A">
            <w:pPr>
              <w:spacing w:line="278" w:lineRule="auto"/>
              <w:rPr>
                <w:rFonts w:ascii="Arial"/>
                <w:sz w:val="21"/>
              </w:rPr>
            </w:pPr>
          </w:p>
          <w:p w14:paraId="6B5D7A7E">
            <w:pPr>
              <w:pStyle w:val="6"/>
              <w:spacing w:before="55"/>
              <w:ind w:left="288"/>
              <w:rPr>
                <w:sz w:val="17"/>
                <w:szCs w:val="17"/>
              </w:rPr>
            </w:pPr>
            <w:r>
              <w:rPr>
                <w:spacing w:val="-3"/>
                <w:sz w:val="17"/>
                <w:szCs w:val="17"/>
              </w:rPr>
              <w:t>&gt;50</w:t>
            </w:r>
          </w:p>
        </w:tc>
        <w:tc>
          <w:tcPr>
            <w:tcW w:w="1163" w:type="dxa"/>
            <w:vAlign w:val="top"/>
          </w:tcPr>
          <w:p w14:paraId="6F144C15">
            <w:pPr>
              <w:spacing w:line="278" w:lineRule="auto"/>
              <w:rPr>
                <w:rFonts w:ascii="Arial"/>
                <w:sz w:val="21"/>
              </w:rPr>
            </w:pPr>
          </w:p>
          <w:p w14:paraId="71E40DA3">
            <w:pPr>
              <w:pStyle w:val="6"/>
              <w:spacing w:before="56" w:line="239" w:lineRule="auto"/>
              <w:ind w:left="409"/>
              <w:rPr>
                <w:sz w:val="17"/>
                <w:szCs w:val="17"/>
              </w:rPr>
            </w:pPr>
            <w:r>
              <w:rPr>
                <w:spacing w:val="-3"/>
                <w:sz w:val="17"/>
                <w:szCs w:val="17"/>
              </w:rPr>
              <w:t>&gt;1.0</w:t>
            </w:r>
          </w:p>
        </w:tc>
      </w:tr>
      <w:tr w14:paraId="2E7AF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444" w:type="dxa"/>
            <w:vAlign w:val="top"/>
          </w:tcPr>
          <w:p w14:paraId="50EEABA0">
            <w:pPr>
              <w:spacing w:line="281" w:lineRule="auto"/>
              <w:rPr>
                <w:rFonts w:ascii="Arial"/>
                <w:sz w:val="21"/>
              </w:rPr>
            </w:pPr>
          </w:p>
          <w:p w14:paraId="1D765679">
            <w:pPr>
              <w:pStyle w:val="6"/>
              <w:spacing w:before="56" w:line="241" w:lineRule="auto"/>
              <w:ind w:left="164"/>
              <w:rPr>
                <w:sz w:val="17"/>
                <w:szCs w:val="17"/>
              </w:rPr>
            </w:pPr>
            <w:r>
              <w:rPr>
                <w:sz w:val="17"/>
                <w:szCs w:val="17"/>
              </w:rPr>
              <w:t>4</w:t>
            </w:r>
          </w:p>
        </w:tc>
        <w:tc>
          <w:tcPr>
            <w:tcW w:w="1418" w:type="dxa"/>
            <w:vAlign w:val="top"/>
          </w:tcPr>
          <w:p w14:paraId="20BDD27A">
            <w:pPr>
              <w:pStyle w:val="6"/>
              <w:spacing w:before="212"/>
              <w:ind w:left="270" w:right="190" w:hanging="79"/>
              <w:rPr>
                <w:sz w:val="17"/>
                <w:szCs w:val="17"/>
              </w:rPr>
            </w:pPr>
            <w:r>
              <w:rPr>
                <w:sz w:val="17"/>
                <w:szCs w:val="17"/>
              </w:rPr>
              <w:t>1、2级永久性</w:t>
            </w:r>
            <w:r>
              <w:rPr>
                <w:spacing w:val="5"/>
                <w:sz w:val="17"/>
                <w:szCs w:val="17"/>
              </w:rPr>
              <w:t xml:space="preserve"> </w:t>
            </w:r>
            <w:r>
              <w:rPr>
                <w:spacing w:val="-2"/>
                <w:sz w:val="17"/>
                <w:szCs w:val="17"/>
              </w:rPr>
              <w:t>水工建筑物</w:t>
            </w:r>
          </w:p>
        </w:tc>
        <w:tc>
          <w:tcPr>
            <w:tcW w:w="3156" w:type="dxa"/>
            <w:vAlign w:val="top"/>
          </w:tcPr>
          <w:p w14:paraId="2A40A529">
            <w:pPr>
              <w:pStyle w:val="6"/>
              <w:spacing w:before="80" w:line="256" w:lineRule="auto"/>
              <w:ind w:left="31" w:hanging="19"/>
              <w:jc w:val="both"/>
              <w:rPr>
                <w:sz w:val="17"/>
                <w:szCs w:val="17"/>
              </w:rPr>
            </w:pPr>
            <w:r>
              <w:rPr>
                <w:spacing w:val="-6"/>
                <w:sz w:val="17"/>
                <w:szCs w:val="17"/>
              </w:rPr>
              <w:t>淹没一般城镇、工矿企业、交通干线或影响</w:t>
            </w:r>
            <w:r>
              <w:rPr>
                <w:spacing w:val="16"/>
                <w:sz w:val="17"/>
                <w:szCs w:val="17"/>
              </w:rPr>
              <w:t xml:space="preserve"> </w:t>
            </w:r>
            <w:r>
              <w:rPr>
                <w:spacing w:val="-1"/>
                <w:sz w:val="17"/>
                <w:szCs w:val="17"/>
              </w:rPr>
              <w:t>总工期及第一台(批)机组发电，推迟工程</w:t>
            </w:r>
            <w:r>
              <w:rPr>
                <w:spacing w:val="6"/>
                <w:sz w:val="17"/>
                <w:szCs w:val="17"/>
              </w:rPr>
              <w:t xml:space="preserve"> </w:t>
            </w:r>
            <w:r>
              <w:rPr>
                <w:spacing w:val="-2"/>
                <w:sz w:val="17"/>
                <w:szCs w:val="17"/>
              </w:rPr>
              <w:t>发挥效益，造成较大经济损失</w:t>
            </w:r>
          </w:p>
        </w:tc>
        <w:tc>
          <w:tcPr>
            <w:tcW w:w="799" w:type="dxa"/>
            <w:vAlign w:val="top"/>
          </w:tcPr>
          <w:p w14:paraId="006E3C23">
            <w:pPr>
              <w:spacing w:line="281" w:lineRule="auto"/>
              <w:rPr>
                <w:rFonts w:ascii="Arial"/>
                <w:sz w:val="21"/>
              </w:rPr>
            </w:pPr>
          </w:p>
          <w:p w14:paraId="15C939C4">
            <w:pPr>
              <w:pStyle w:val="6"/>
              <w:spacing w:before="56" w:line="239" w:lineRule="auto"/>
              <w:ind w:left="136"/>
              <w:rPr>
                <w:sz w:val="17"/>
                <w:szCs w:val="17"/>
              </w:rPr>
            </w:pPr>
            <w:r>
              <w:rPr>
                <w:spacing w:val="-3"/>
                <w:sz w:val="17"/>
                <w:szCs w:val="17"/>
              </w:rPr>
              <w:t>3～1.5</w:t>
            </w:r>
          </w:p>
        </w:tc>
        <w:tc>
          <w:tcPr>
            <w:tcW w:w="849" w:type="dxa"/>
            <w:vAlign w:val="top"/>
          </w:tcPr>
          <w:p w14:paraId="51CC0102">
            <w:pPr>
              <w:spacing w:line="281" w:lineRule="auto"/>
              <w:rPr>
                <w:rFonts w:ascii="Arial"/>
                <w:sz w:val="21"/>
              </w:rPr>
            </w:pPr>
          </w:p>
          <w:p w14:paraId="0FBE4961">
            <w:pPr>
              <w:pStyle w:val="6"/>
              <w:spacing w:before="55"/>
              <w:ind w:left="168"/>
              <w:rPr>
                <w:sz w:val="17"/>
                <w:szCs w:val="17"/>
              </w:rPr>
            </w:pPr>
            <w:r>
              <w:rPr>
                <w:spacing w:val="-2"/>
                <w:sz w:val="17"/>
                <w:szCs w:val="17"/>
              </w:rPr>
              <w:t>50～15</w:t>
            </w:r>
          </w:p>
        </w:tc>
        <w:tc>
          <w:tcPr>
            <w:tcW w:w="1163" w:type="dxa"/>
            <w:vAlign w:val="top"/>
          </w:tcPr>
          <w:p w14:paraId="1139AA54">
            <w:pPr>
              <w:spacing w:line="281" w:lineRule="auto"/>
              <w:rPr>
                <w:rFonts w:ascii="Arial"/>
                <w:sz w:val="21"/>
              </w:rPr>
            </w:pPr>
          </w:p>
          <w:p w14:paraId="4AA1493E">
            <w:pPr>
              <w:pStyle w:val="6"/>
              <w:spacing w:before="56" w:line="239" w:lineRule="auto"/>
              <w:ind w:left="238"/>
              <w:rPr>
                <w:sz w:val="17"/>
                <w:szCs w:val="17"/>
              </w:rPr>
            </w:pPr>
            <w:r>
              <w:rPr>
                <w:spacing w:val="-3"/>
                <w:sz w:val="17"/>
                <w:szCs w:val="17"/>
              </w:rPr>
              <w:t>1.0～0.1</w:t>
            </w:r>
          </w:p>
        </w:tc>
      </w:tr>
      <w:tr w14:paraId="21C69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444" w:type="dxa"/>
            <w:vAlign w:val="top"/>
          </w:tcPr>
          <w:p w14:paraId="7F73C7E4">
            <w:pPr>
              <w:spacing w:line="273" w:lineRule="auto"/>
              <w:rPr>
                <w:rFonts w:ascii="Arial"/>
                <w:sz w:val="21"/>
              </w:rPr>
            </w:pPr>
          </w:p>
          <w:p w14:paraId="6C08545A">
            <w:pPr>
              <w:pStyle w:val="6"/>
              <w:spacing w:before="55"/>
              <w:ind w:left="164"/>
              <w:rPr>
                <w:sz w:val="17"/>
                <w:szCs w:val="17"/>
              </w:rPr>
            </w:pPr>
            <w:r>
              <w:rPr>
                <w:sz w:val="17"/>
                <w:szCs w:val="17"/>
              </w:rPr>
              <w:t>5</w:t>
            </w:r>
          </w:p>
        </w:tc>
        <w:tc>
          <w:tcPr>
            <w:tcW w:w="1418" w:type="dxa"/>
            <w:vAlign w:val="top"/>
          </w:tcPr>
          <w:p w14:paraId="46DD0EA2">
            <w:pPr>
              <w:pStyle w:val="6"/>
              <w:spacing w:before="195" w:line="272" w:lineRule="auto"/>
              <w:ind w:left="270" w:right="206" w:hanging="79"/>
              <w:rPr>
                <w:sz w:val="17"/>
                <w:szCs w:val="17"/>
              </w:rPr>
            </w:pPr>
            <w:r>
              <w:rPr>
                <w:spacing w:val="-2"/>
                <w:sz w:val="17"/>
                <w:szCs w:val="17"/>
              </w:rPr>
              <w:t>3、4级永久性</w:t>
            </w:r>
            <w:r>
              <w:rPr>
                <w:spacing w:val="2"/>
                <w:sz w:val="17"/>
                <w:szCs w:val="17"/>
              </w:rPr>
              <w:t xml:space="preserve"> </w:t>
            </w:r>
            <w:r>
              <w:rPr>
                <w:spacing w:val="-2"/>
                <w:sz w:val="17"/>
                <w:szCs w:val="17"/>
              </w:rPr>
              <w:t>水工建筑物</w:t>
            </w:r>
          </w:p>
        </w:tc>
        <w:tc>
          <w:tcPr>
            <w:tcW w:w="3156" w:type="dxa"/>
            <w:vAlign w:val="top"/>
          </w:tcPr>
          <w:p w14:paraId="4809BB33">
            <w:pPr>
              <w:pStyle w:val="6"/>
              <w:spacing w:before="52" w:line="264" w:lineRule="auto"/>
              <w:ind w:left="12" w:firstLine="29"/>
              <w:jc w:val="both"/>
              <w:rPr>
                <w:sz w:val="17"/>
                <w:szCs w:val="17"/>
              </w:rPr>
            </w:pPr>
            <w:r>
              <w:rPr>
                <w:spacing w:val="-5"/>
                <w:sz w:val="17"/>
                <w:szCs w:val="17"/>
              </w:rPr>
              <w:t>淹没基坑，但对总工期及第一台(批)机组</w:t>
            </w:r>
            <w:r>
              <w:rPr>
                <w:spacing w:val="5"/>
                <w:sz w:val="17"/>
                <w:szCs w:val="17"/>
              </w:rPr>
              <w:t xml:space="preserve">  </w:t>
            </w:r>
            <w:r>
              <w:rPr>
                <w:spacing w:val="-6"/>
                <w:sz w:val="17"/>
                <w:szCs w:val="17"/>
              </w:rPr>
              <w:t>发电影响不大，对工程发挥效益影响不大，</w:t>
            </w:r>
            <w:r>
              <w:rPr>
                <w:spacing w:val="16"/>
                <w:sz w:val="17"/>
                <w:szCs w:val="17"/>
              </w:rPr>
              <w:t xml:space="preserve"> </w:t>
            </w:r>
            <w:r>
              <w:rPr>
                <w:spacing w:val="1"/>
                <w:sz w:val="17"/>
                <w:szCs w:val="17"/>
              </w:rPr>
              <w:t>经济损失较小</w:t>
            </w:r>
          </w:p>
        </w:tc>
        <w:tc>
          <w:tcPr>
            <w:tcW w:w="799" w:type="dxa"/>
            <w:vAlign w:val="top"/>
          </w:tcPr>
          <w:p w14:paraId="24863D2D">
            <w:pPr>
              <w:spacing w:line="273" w:lineRule="auto"/>
              <w:rPr>
                <w:rFonts w:ascii="Arial"/>
                <w:sz w:val="21"/>
              </w:rPr>
            </w:pPr>
          </w:p>
          <w:p w14:paraId="01DD32E0">
            <w:pPr>
              <w:pStyle w:val="6"/>
              <w:spacing w:before="56" w:line="239" w:lineRule="auto"/>
              <w:ind w:left="226"/>
              <w:rPr>
                <w:sz w:val="17"/>
                <w:szCs w:val="17"/>
              </w:rPr>
            </w:pPr>
            <w:r>
              <w:rPr>
                <w:spacing w:val="-3"/>
                <w:sz w:val="17"/>
                <w:szCs w:val="17"/>
              </w:rPr>
              <w:t>&lt;1.5</w:t>
            </w:r>
          </w:p>
        </w:tc>
        <w:tc>
          <w:tcPr>
            <w:tcW w:w="849" w:type="dxa"/>
            <w:vAlign w:val="top"/>
          </w:tcPr>
          <w:p w14:paraId="6FA997CE">
            <w:pPr>
              <w:spacing w:line="273" w:lineRule="auto"/>
              <w:rPr>
                <w:rFonts w:ascii="Arial"/>
                <w:sz w:val="21"/>
              </w:rPr>
            </w:pPr>
          </w:p>
          <w:p w14:paraId="613A19F8">
            <w:pPr>
              <w:pStyle w:val="6"/>
              <w:spacing w:before="55"/>
              <w:ind w:left="288"/>
              <w:rPr>
                <w:sz w:val="17"/>
                <w:szCs w:val="17"/>
              </w:rPr>
            </w:pPr>
            <w:r>
              <w:rPr>
                <w:spacing w:val="-3"/>
                <w:sz w:val="17"/>
                <w:szCs w:val="17"/>
              </w:rPr>
              <w:t>&lt;15</w:t>
            </w:r>
          </w:p>
        </w:tc>
        <w:tc>
          <w:tcPr>
            <w:tcW w:w="1163" w:type="dxa"/>
            <w:vAlign w:val="top"/>
          </w:tcPr>
          <w:p w14:paraId="53DC39FF">
            <w:pPr>
              <w:spacing w:line="273" w:lineRule="auto"/>
              <w:rPr>
                <w:rFonts w:ascii="Arial"/>
                <w:sz w:val="21"/>
              </w:rPr>
            </w:pPr>
          </w:p>
          <w:p w14:paraId="19F3D9E5">
            <w:pPr>
              <w:pStyle w:val="6"/>
              <w:spacing w:before="56" w:line="239" w:lineRule="auto"/>
              <w:ind w:left="409"/>
              <w:rPr>
                <w:sz w:val="17"/>
                <w:szCs w:val="17"/>
              </w:rPr>
            </w:pPr>
            <w:r>
              <w:rPr>
                <w:spacing w:val="-3"/>
                <w:sz w:val="17"/>
                <w:szCs w:val="17"/>
              </w:rPr>
              <w:t>&lt;0.1</w:t>
            </w:r>
          </w:p>
        </w:tc>
      </w:tr>
    </w:tbl>
    <w:p w14:paraId="6DC19C7A">
      <w:pPr>
        <w:pStyle w:val="2"/>
        <w:spacing w:line="249" w:lineRule="auto"/>
      </w:pPr>
    </w:p>
    <w:p w14:paraId="73F7ACF9">
      <w:pPr>
        <w:spacing w:before="68" w:line="222" w:lineRule="auto"/>
        <w:ind w:left="1472"/>
        <w:rPr>
          <w:rFonts w:ascii="黑体" w:hAnsi="黑体" w:eastAsia="黑体" w:cs="黑体"/>
          <w:sz w:val="21"/>
          <w:szCs w:val="21"/>
        </w:rPr>
      </w:pPr>
      <w:r>
        <w:rPr>
          <w:rFonts w:ascii="宋体" w:hAnsi="宋体" w:eastAsia="宋体" w:cs="宋体"/>
          <w:b/>
          <w:bCs/>
          <w:color w:val="209090"/>
          <w:spacing w:val="7"/>
          <w:sz w:val="21"/>
          <w:szCs w:val="21"/>
        </w:rPr>
        <w:t>3.</w:t>
      </w:r>
      <w:r>
        <w:rPr>
          <w:rFonts w:ascii="宋体" w:hAnsi="宋体" w:eastAsia="宋体" w:cs="宋体"/>
          <w:color w:val="209090"/>
          <w:spacing w:val="-61"/>
          <w:sz w:val="21"/>
          <w:szCs w:val="21"/>
        </w:rPr>
        <w:t xml:space="preserve"> </w:t>
      </w:r>
      <w:r>
        <w:rPr>
          <w:rFonts w:ascii="黑体" w:hAnsi="黑体" w:eastAsia="黑体" w:cs="黑体"/>
          <w:b/>
          <w:bCs/>
          <w:color w:val="209090"/>
          <w:spacing w:val="7"/>
          <w:sz w:val="21"/>
          <w:szCs w:val="21"/>
        </w:rPr>
        <w:t>水利水电工程洪水标准</w:t>
      </w:r>
    </w:p>
    <w:p w14:paraId="183F1637">
      <w:pPr>
        <w:spacing w:before="57" w:line="221" w:lineRule="auto"/>
        <w:ind w:left="1472"/>
        <w:rPr>
          <w:rFonts w:ascii="黑体" w:hAnsi="黑体" w:eastAsia="黑体" w:cs="黑体"/>
          <w:sz w:val="21"/>
          <w:szCs w:val="21"/>
        </w:rPr>
      </w:pPr>
      <w:r>
        <w:rPr>
          <w:rFonts w:ascii="黑体" w:hAnsi="黑体" w:eastAsia="黑体" w:cs="黑体"/>
          <w:b/>
          <w:bCs/>
          <w:color w:val="208090"/>
          <w:spacing w:val="15"/>
          <w:sz w:val="21"/>
          <w:szCs w:val="21"/>
        </w:rPr>
        <w:t>1)一般规定</w:t>
      </w:r>
    </w:p>
    <w:p w14:paraId="2939A588">
      <w:pPr>
        <w:spacing w:before="52" w:line="261" w:lineRule="auto"/>
        <w:ind w:left="1049" w:right="1403" w:firstLine="420"/>
        <w:rPr>
          <w:rFonts w:ascii="宋体" w:hAnsi="宋体" w:eastAsia="宋体" w:cs="宋体"/>
          <w:sz w:val="21"/>
          <w:szCs w:val="21"/>
        </w:rPr>
      </w:pPr>
      <w:r>
        <w:rPr>
          <w:rFonts w:ascii="宋体" w:hAnsi="宋体" w:eastAsia="宋体" w:cs="宋体"/>
          <w:sz w:val="21"/>
          <w:szCs w:val="21"/>
        </w:rPr>
        <w:t>(1)洪水标准是指为维护水工建筑物自身安全所需要防御的洪水大小，</w:t>
      </w:r>
      <w:r>
        <w:rPr>
          <w:rFonts w:ascii="宋体" w:hAnsi="宋体" w:eastAsia="宋体" w:cs="宋体"/>
          <w:spacing w:val="79"/>
          <w:sz w:val="21"/>
          <w:szCs w:val="21"/>
        </w:rPr>
        <w:t xml:space="preserve"> </w:t>
      </w:r>
      <w:r>
        <w:rPr>
          <w:rFonts w:ascii="宋体" w:hAnsi="宋体" w:eastAsia="宋体" w:cs="宋体"/>
          <w:sz w:val="21"/>
          <w:szCs w:val="21"/>
        </w:rPr>
        <w:t xml:space="preserve">一般以某 </w:t>
      </w:r>
      <w:r>
        <w:rPr>
          <w:rFonts w:ascii="宋体" w:hAnsi="宋体" w:eastAsia="宋体" w:cs="宋体"/>
          <w:spacing w:val="-3"/>
          <w:sz w:val="21"/>
          <w:szCs w:val="21"/>
        </w:rPr>
        <w:t>一频率或重现期洪水表示，分为设计洪水标准和校核</w:t>
      </w:r>
      <w:r>
        <w:rPr>
          <w:rFonts w:ascii="宋体" w:hAnsi="宋体" w:eastAsia="宋体" w:cs="宋体"/>
          <w:spacing w:val="-4"/>
          <w:sz w:val="21"/>
          <w:szCs w:val="21"/>
        </w:rPr>
        <w:t>洪水标准。各类水利水电工程的洪</w:t>
      </w:r>
      <w:r>
        <w:rPr>
          <w:rFonts w:ascii="宋体" w:hAnsi="宋体" w:eastAsia="宋体" w:cs="宋体"/>
          <w:sz w:val="21"/>
          <w:szCs w:val="21"/>
        </w:rPr>
        <w:t xml:space="preserve"> </w:t>
      </w:r>
      <w:r>
        <w:rPr>
          <w:rFonts w:ascii="宋体" w:hAnsi="宋体" w:eastAsia="宋体" w:cs="宋体"/>
          <w:spacing w:val="-4"/>
          <w:sz w:val="21"/>
          <w:szCs w:val="21"/>
        </w:rPr>
        <w:t>水标准按《水利水电工程等级划分及洪水标准》SL252—2017</w:t>
      </w:r>
      <w:r>
        <w:rPr>
          <w:rFonts w:ascii="宋体" w:hAnsi="宋体" w:eastAsia="宋体" w:cs="宋体"/>
          <w:spacing w:val="55"/>
          <w:sz w:val="21"/>
          <w:szCs w:val="21"/>
        </w:rPr>
        <w:t xml:space="preserve"> </w:t>
      </w:r>
      <w:r>
        <w:rPr>
          <w:rFonts w:ascii="宋体" w:hAnsi="宋体" w:eastAsia="宋体" w:cs="宋体"/>
          <w:spacing w:val="-4"/>
          <w:sz w:val="21"/>
          <w:szCs w:val="21"/>
        </w:rPr>
        <w:t>确定。</w:t>
      </w:r>
    </w:p>
    <w:p w14:paraId="62B88C8A">
      <w:pPr>
        <w:spacing w:before="51" w:line="259" w:lineRule="auto"/>
        <w:ind w:left="1049" w:right="1387" w:firstLine="420"/>
        <w:rPr>
          <w:rFonts w:ascii="宋体" w:hAnsi="宋体" w:eastAsia="宋体" w:cs="宋体"/>
          <w:sz w:val="21"/>
          <w:szCs w:val="21"/>
        </w:rPr>
      </w:pPr>
      <w:r>
        <w:rPr>
          <w:rFonts w:ascii="宋体" w:hAnsi="宋体" w:eastAsia="宋体" w:cs="宋体"/>
          <w:spacing w:val="6"/>
          <w:sz w:val="21"/>
          <w:szCs w:val="21"/>
        </w:rPr>
        <w:t>(2)水利水电工程永久性水工建筑物的洪水标准，</w:t>
      </w:r>
      <w:r>
        <w:rPr>
          <w:rFonts w:ascii="宋体" w:hAnsi="宋体" w:eastAsia="宋体" w:cs="宋体"/>
          <w:spacing w:val="5"/>
          <w:sz w:val="21"/>
          <w:szCs w:val="21"/>
        </w:rPr>
        <w:t>应按山区、丘陵区和平原、滨</w:t>
      </w:r>
      <w:r>
        <w:rPr>
          <w:rFonts w:ascii="宋体" w:hAnsi="宋体" w:eastAsia="宋体" w:cs="宋体"/>
          <w:sz w:val="21"/>
          <w:szCs w:val="21"/>
        </w:rPr>
        <w:t xml:space="preserve"> </w:t>
      </w:r>
      <w:r>
        <w:rPr>
          <w:rFonts w:ascii="宋体" w:hAnsi="宋体" w:eastAsia="宋体" w:cs="宋体"/>
          <w:spacing w:val="-4"/>
          <w:sz w:val="21"/>
          <w:szCs w:val="21"/>
        </w:rPr>
        <w:t>海区两类分别确定。</w:t>
      </w:r>
    </w:p>
    <w:p w14:paraId="268CF7D4">
      <w:pPr>
        <w:spacing w:before="46" w:line="269" w:lineRule="auto"/>
        <w:ind w:left="1049" w:right="1394" w:firstLine="420"/>
        <w:rPr>
          <w:rFonts w:ascii="宋体" w:hAnsi="宋体" w:eastAsia="宋体" w:cs="宋体"/>
          <w:sz w:val="21"/>
          <w:szCs w:val="21"/>
        </w:rPr>
      </w:pPr>
      <w:r>
        <w:rPr>
          <w:rFonts w:ascii="宋体" w:hAnsi="宋体" w:eastAsia="宋体" w:cs="宋体"/>
          <w:spacing w:val="1"/>
          <w:sz w:val="21"/>
          <w:szCs w:val="21"/>
        </w:rPr>
        <w:t>(3)当山区、丘陵地区的水利水电工程永久性水工建筑物的挡水高度低于</w:t>
      </w:r>
      <w:r>
        <w:rPr>
          <w:rFonts w:ascii="宋体" w:hAnsi="宋体" w:eastAsia="宋体" w:cs="宋体"/>
          <w:sz w:val="21"/>
          <w:szCs w:val="21"/>
        </w:rPr>
        <w:t>15</w:t>
      </w:r>
      <w:r>
        <w:rPr>
          <w:rFonts w:ascii="Times New Roman" w:hAnsi="Times New Roman" w:eastAsia="Times New Roman" w:cs="Times New Roman"/>
          <w:sz w:val="21"/>
          <w:szCs w:val="21"/>
        </w:rPr>
        <w:t>m,</w:t>
      </w:r>
      <w:r>
        <w:rPr>
          <w:rFonts w:ascii="Times New Roman" w:hAnsi="Times New Roman" w:eastAsia="Times New Roman" w:cs="Times New Roman"/>
          <w:spacing w:val="15"/>
          <w:w w:val="101"/>
          <w:sz w:val="21"/>
          <w:szCs w:val="21"/>
        </w:rPr>
        <w:t xml:space="preserve">  </w:t>
      </w:r>
      <w:r>
        <w:rPr>
          <w:rFonts w:ascii="宋体" w:hAnsi="宋体" w:eastAsia="宋体" w:cs="宋体"/>
          <w:sz w:val="21"/>
          <w:szCs w:val="21"/>
        </w:rPr>
        <w:t xml:space="preserve">且 </w:t>
      </w:r>
      <w:r>
        <w:rPr>
          <w:rFonts w:ascii="宋体" w:hAnsi="宋体" w:eastAsia="宋体" w:cs="宋体"/>
          <w:spacing w:val="3"/>
          <w:sz w:val="21"/>
          <w:szCs w:val="21"/>
        </w:rPr>
        <w:t>上下游最大水头差小于10</w:t>
      </w:r>
      <w:r>
        <w:rPr>
          <w:rFonts w:ascii="Times New Roman" w:hAnsi="Times New Roman" w:eastAsia="Times New Roman" w:cs="Times New Roman"/>
          <w:spacing w:val="3"/>
          <w:sz w:val="21"/>
          <w:szCs w:val="21"/>
        </w:rPr>
        <w:t>m</w:t>
      </w:r>
      <w:r>
        <w:rPr>
          <w:rFonts w:ascii="Times New Roman" w:hAnsi="Times New Roman" w:eastAsia="Times New Roman" w:cs="Times New Roman"/>
          <w:spacing w:val="-24"/>
          <w:sz w:val="21"/>
          <w:szCs w:val="21"/>
        </w:rPr>
        <w:t xml:space="preserve"> </w:t>
      </w:r>
      <w:r>
        <w:rPr>
          <w:rFonts w:ascii="宋体" w:hAnsi="宋体" w:eastAsia="宋体" w:cs="宋体"/>
          <w:spacing w:val="3"/>
          <w:sz w:val="21"/>
          <w:szCs w:val="21"/>
        </w:rPr>
        <w:t>时，其洪水标准</w:t>
      </w:r>
      <w:r>
        <w:rPr>
          <w:rFonts w:ascii="宋体" w:hAnsi="宋体" w:eastAsia="宋体" w:cs="宋体"/>
          <w:spacing w:val="2"/>
          <w:sz w:val="21"/>
          <w:szCs w:val="21"/>
        </w:rPr>
        <w:t>宜按平原、滨海区标准确定。当平原、滨</w:t>
      </w:r>
      <w:r>
        <w:rPr>
          <w:rFonts w:ascii="宋体" w:hAnsi="宋体" w:eastAsia="宋体" w:cs="宋体"/>
          <w:sz w:val="21"/>
          <w:szCs w:val="21"/>
        </w:rPr>
        <w:t xml:space="preserve"> </w:t>
      </w:r>
      <w:r>
        <w:rPr>
          <w:rFonts w:ascii="宋体" w:hAnsi="宋体" w:eastAsia="宋体" w:cs="宋体"/>
          <w:spacing w:val="-1"/>
          <w:sz w:val="21"/>
          <w:szCs w:val="21"/>
        </w:rPr>
        <w:t>海地区的水利水电工程永久性水工建筑物的挡水高度高于15</w:t>
      </w:r>
      <w:r>
        <w:rPr>
          <w:rFonts w:ascii="Times New Roman" w:hAnsi="Times New Roman" w:eastAsia="Times New Roman" w:cs="Times New Roman"/>
          <w:spacing w:val="-2"/>
          <w:sz w:val="21"/>
          <w:szCs w:val="21"/>
        </w:rPr>
        <w:t>m,</w:t>
      </w:r>
      <w:r>
        <w:rPr>
          <w:rFonts w:ascii="Times New Roman" w:hAnsi="Times New Roman" w:eastAsia="Times New Roman" w:cs="Times New Roman"/>
          <w:spacing w:val="15"/>
          <w:sz w:val="21"/>
          <w:szCs w:val="21"/>
        </w:rPr>
        <w:t xml:space="preserve">  </w:t>
      </w:r>
      <w:r>
        <w:rPr>
          <w:rFonts w:ascii="宋体" w:hAnsi="宋体" w:eastAsia="宋体" w:cs="宋体"/>
          <w:spacing w:val="-2"/>
          <w:sz w:val="21"/>
          <w:szCs w:val="21"/>
        </w:rPr>
        <w:t>且上下游最大水头差大</w:t>
      </w:r>
      <w:r>
        <w:rPr>
          <w:rFonts w:ascii="宋体" w:hAnsi="宋体" w:eastAsia="宋体" w:cs="宋体"/>
          <w:sz w:val="21"/>
          <w:szCs w:val="21"/>
        </w:rPr>
        <w:t xml:space="preserve"> </w:t>
      </w:r>
      <w:r>
        <w:rPr>
          <w:rFonts w:ascii="宋体" w:hAnsi="宋体" w:eastAsia="宋体" w:cs="宋体"/>
          <w:spacing w:val="1"/>
          <w:sz w:val="21"/>
          <w:szCs w:val="21"/>
        </w:rPr>
        <w:t>于10</w:t>
      </w:r>
      <w:r>
        <w:rPr>
          <w:rFonts w:ascii="Times New Roman" w:hAnsi="Times New Roman" w:eastAsia="Times New Roman" w:cs="Times New Roman"/>
          <w:spacing w:val="1"/>
          <w:sz w:val="21"/>
          <w:szCs w:val="21"/>
        </w:rPr>
        <w:t>m</w:t>
      </w:r>
      <w:r>
        <w:rPr>
          <w:rFonts w:ascii="宋体" w:hAnsi="宋体" w:eastAsia="宋体" w:cs="宋体"/>
          <w:spacing w:val="1"/>
          <w:sz w:val="21"/>
          <w:szCs w:val="21"/>
        </w:rPr>
        <w:t>时，其洪水标准宜按山区、丘陵区</w:t>
      </w:r>
      <w:r>
        <w:rPr>
          <w:rFonts w:ascii="宋体" w:hAnsi="宋体" w:eastAsia="宋体" w:cs="宋体"/>
          <w:sz w:val="21"/>
          <w:szCs w:val="21"/>
        </w:rPr>
        <w:t>标准确定。</w:t>
      </w:r>
    </w:p>
    <w:p w14:paraId="2252E6F7">
      <w:pPr>
        <w:spacing w:before="61" w:line="261" w:lineRule="auto"/>
        <w:ind w:left="1049" w:right="1399" w:firstLine="420"/>
        <w:rPr>
          <w:rFonts w:ascii="宋体" w:hAnsi="宋体" w:eastAsia="宋体" w:cs="宋体"/>
          <w:sz w:val="21"/>
          <w:szCs w:val="21"/>
        </w:rPr>
      </w:pPr>
      <w:r>
        <w:rPr>
          <w:rFonts w:ascii="宋体" w:hAnsi="宋体" w:eastAsia="宋体" w:cs="宋体"/>
          <w:spacing w:val="11"/>
          <w:sz w:val="21"/>
          <w:szCs w:val="21"/>
        </w:rPr>
        <w:t>(4)江河采取梯级开发方式，在确定各梯级水利水电工程永久性水工建筑物的</w:t>
      </w:r>
      <w:r>
        <w:rPr>
          <w:rFonts w:ascii="宋体" w:hAnsi="宋体" w:eastAsia="宋体" w:cs="宋体"/>
          <w:spacing w:val="15"/>
          <w:sz w:val="21"/>
          <w:szCs w:val="21"/>
        </w:rPr>
        <w:t xml:space="preserve"> </w:t>
      </w:r>
      <w:r>
        <w:rPr>
          <w:rFonts w:ascii="宋体" w:hAnsi="宋体" w:eastAsia="宋体" w:cs="宋体"/>
          <w:spacing w:val="8"/>
          <w:sz w:val="21"/>
          <w:szCs w:val="21"/>
        </w:rPr>
        <w:t>设计洪水与校核洪水标准时，还应结合江河治理和开发利用规划，统筹研究，相互</w:t>
      </w:r>
      <w:r>
        <w:rPr>
          <w:rFonts w:ascii="宋体" w:hAnsi="宋体" w:eastAsia="宋体" w:cs="宋体"/>
          <w:sz w:val="21"/>
          <w:szCs w:val="21"/>
        </w:rPr>
        <w:t xml:space="preserve"> </w:t>
      </w:r>
      <w:r>
        <w:rPr>
          <w:rFonts w:ascii="宋体" w:hAnsi="宋体" w:eastAsia="宋体" w:cs="宋体"/>
          <w:spacing w:val="-9"/>
          <w:sz w:val="21"/>
          <w:szCs w:val="21"/>
        </w:rPr>
        <w:t>协调。</w:t>
      </w:r>
    </w:p>
    <w:p w14:paraId="36BAB7BB">
      <w:pPr>
        <w:spacing w:before="70" w:line="250" w:lineRule="auto"/>
        <w:ind w:left="1049" w:right="1405" w:firstLine="420"/>
        <w:rPr>
          <w:rFonts w:ascii="宋体" w:hAnsi="宋体" w:eastAsia="宋体" w:cs="宋体"/>
          <w:sz w:val="21"/>
          <w:szCs w:val="21"/>
        </w:rPr>
      </w:pPr>
      <w:r>
        <w:rPr>
          <w:rFonts w:ascii="宋体" w:hAnsi="宋体" w:eastAsia="宋体" w:cs="宋体"/>
          <w:spacing w:val="5"/>
          <w:sz w:val="21"/>
          <w:szCs w:val="21"/>
        </w:rPr>
        <w:t>(5)堤防、渠道上的闸、涵、泵站及其他建筑物的洪水标准，不应低于堤防、渠</w:t>
      </w:r>
      <w:r>
        <w:rPr>
          <w:rFonts w:ascii="宋体" w:hAnsi="宋体" w:eastAsia="宋体" w:cs="宋体"/>
          <w:spacing w:val="4"/>
          <w:sz w:val="21"/>
          <w:szCs w:val="21"/>
        </w:rPr>
        <w:t xml:space="preserve"> </w:t>
      </w:r>
      <w:r>
        <w:rPr>
          <w:rFonts w:ascii="宋体" w:hAnsi="宋体" w:eastAsia="宋体" w:cs="宋体"/>
          <w:spacing w:val="-5"/>
          <w:sz w:val="21"/>
          <w:szCs w:val="21"/>
        </w:rPr>
        <w:t>道的防洪标准，并应留有安全裕度。</w:t>
      </w:r>
    </w:p>
    <w:p w14:paraId="11BA03B9">
      <w:pPr>
        <w:spacing w:before="86" w:line="222" w:lineRule="auto"/>
        <w:ind w:left="1472"/>
        <w:rPr>
          <w:rFonts w:ascii="黑体" w:hAnsi="黑体" w:eastAsia="黑体" w:cs="黑体"/>
          <w:sz w:val="21"/>
          <w:szCs w:val="21"/>
        </w:rPr>
      </w:pPr>
      <w:r>
        <w:rPr>
          <w:rFonts w:ascii="黑体" w:hAnsi="黑体" w:eastAsia="黑体" w:cs="黑体"/>
          <w:b/>
          <w:bCs/>
          <w:color w:val="3080A0"/>
          <w:spacing w:val="4"/>
          <w:sz w:val="21"/>
          <w:szCs w:val="21"/>
        </w:rPr>
        <w:t>2)水库及水电站工程永久性水工建筑物</w:t>
      </w:r>
    </w:p>
    <w:p w14:paraId="046DF5F1">
      <w:pPr>
        <w:spacing w:before="51" w:line="275" w:lineRule="auto"/>
        <w:ind w:left="1049" w:right="1291" w:firstLine="480"/>
        <w:rPr>
          <w:rFonts w:ascii="宋体" w:hAnsi="宋体" w:eastAsia="宋体" w:cs="宋体"/>
          <w:sz w:val="21"/>
          <w:szCs w:val="21"/>
        </w:rPr>
      </w:pPr>
      <w:r>
        <w:rPr>
          <w:rFonts w:ascii="宋体" w:hAnsi="宋体" w:eastAsia="宋体" w:cs="宋体"/>
          <w:spacing w:val="1"/>
          <w:sz w:val="21"/>
          <w:szCs w:val="21"/>
        </w:rPr>
        <w:t>山区、丘陵区水库工程永久性水工建筑物的洪水标准，按表1.</w:t>
      </w:r>
      <w:r>
        <w:rPr>
          <w:rFonts w:ascii="宋体" w:hAnsi="宋体" w:eastAsia="宋体" w:cs="宋体"/>
          <w:sz w:val="21"/>
          <w:szCs w:val="21"/>
        </w:rPr>
        <w:t xml:space="preserve">2-6确定。平原区、 </w:t>
      </w:r>
      <w:r>
        <w:rPr>
          <w:rFonts w:ascii="宋体" w:hAnsi="宋体" w:eastAsia="宋体" w:cs="宋体"/>
          <w:spacing w:val="-1"/>
          <w:sz w:val="21"/>
          <w:szCs w:val="21"/>
        </w:rPr>
        <w:t>滨海区水库工程永久性水工建筑物的洪水标准，按表1.2-7确定。</w:t>
      </w:r>
    </w:p>
    <w:p w14:paraId="77D9A99B">
      <w:pPr>
        <w:spacing w:before="5" w:line="277" w:lineRule="auto"/>
        <w:ind w:left="1049" w:right="1406" w:firstLine="420"/>
        <w:rPr>
          <w:rFonts w:ascii="宋体" w:hAnsi="宋体" w:eastAsia="宋体" w:cs="宋体"/>
          <w:sz w:val="21"/>
          <w:szCs w:val="21"/>
        </w:rPr>
      </w:pPr>
      <w:r>
        <w:rPr>
          <w:rFonts w:ascii="宋体" w:hAnsi="宋体" w:eastAsia="宋体" w:cs="宋体"/>
          <w:spacing w:val="2"/>
          <w:sz w:val="21"/>
          <w:szCs w:val="21"/>
        </w:rPr>
        <w:t>挡水建筑物采用土石坝和混凝土坝混合坝型时，其洪水标准应采用土石坝的洪水</w:t>
      </w:r>
      <w:r>
        <w:rPr>
          <w:rFonts w:ascii="宋体" w:hAnsi="宋体" w:eastAsia="宋体" w:cs="宋体"/>
          <w:spacing w:val="8"/>
          <w:sz w:val="21"/>
          <w:szCs w:val="21"/>
        </w:rPr>
        <w:t xml:space="preserve"> </w:t>
      </w:r>
      <w:r>
        <w:rPr>
          <w:rFonts w:ascii="宋体" w:hAnsi="宋体" w:eastAsia="宋体" w:cs="宋体"/>
          <w:spacing w:val="-9"/>
          <w:sz w:val="21"/>
          <w:szCs w:val="21"/>
        </w:rPr>
        <w:t>标准。</w:t>
      </w:r>
    </w:p>
    <w:p w14:paraId="7FED68DD">
      <w:pPr>
        <w:spacing w:before="2" w:line="282" w:lineRule="auto"/>
        <w:ind w:left="1049" w:right="1341" w:firstLine="420"/>
        <w:jc w:val="both"/>
        <w:rPr>
          <w:rFonts w:ascii="宋体" w:hAnsi="宋体" w:eastAsia="宋体" w:cs="宋体"/>
          <w:sz w:val="21"/>
          <w:szCs w:val="21"/>
        </w:rPr>
      </w:pPr>
      <w:r>
        <w:rPr>
          <w:rFonts w:ascii="宋体" w:hAnsi="宋体" w:eastAsia="宋体" w:cs="宋体"/>
          <w:spacing w:val="2"/>
          <w:sz w:val="21"/>
          <w:szCs w:val="21"/>
        </w:rPr>
        <w:t>当水库大坝施工高程超过临时性挡水建筑物顶</w:t>
      </w:r>
      <w:r>
        <w:rPr>
          <w:rFonts w:ascii="宋体" w:hAnsi="宋体" w:eastAsia="宋体" w:cs="宋体"/>
          <w:spacing w:val="1"/>
          <w:sz w:val="21"/>
          <w:szCs w:val="21"/>
        </w:rPr>
        <w:t>部高程时，坝体施工期临时度汛的</w:t>
      </w:r>
      <w:r>
        <w:rPr>
          <w:rFonts w:ascii="宋体" w:hAnsi="宋体" w:eastAsia="宋体" w:cs="宋体"/>
          <w:sz w:val="21"/>
          <w:szCs w:val="21"/>
        </w:rPr>
        <w:t xml:space="preserve">  </w:t>
      </w:r>
      <w:r>
        <w:rPr>
          <w:rFonts w:ascii="宋体" w:hAnsi="宋体" w:eastAsia="宋体" w:cs="宋体"/>
          <w:spacing w:val="1"/>
          <w:sz w:val="21"/>
          <w:szCs w:val="21"/>
        </w:rPr>
        <w:t>洪水标准，应根据坝型及坝前拦洪库容，按表1.2-8确定。根据失事后对下游的影响，</w:t>
      </w:r>
      <w:r>
        <w:rPr>
          <w:rFonts w:ascii="宋体" w:hAnsi="宋体" w:eastAsia="宋体" w:cs="宋体"/>
          <w:sz w:val="21"/>
          <w:szCs w:val="21"/>
        </w:rPr>
        <w:t xml:space="preserve"> </w:t>
      </w:r>
      <w:r>
        <w:rPr>
          <w:rFonts w:ascii="宋体" w:hAnsi="宋体" w:eastAsia="宋体" w:cs="宋体"/>
          <w:spacing w:val="-5"/>
          <w:sz w:val="21"/>
          <w:szCs w:val="21"/>
        </w:rPr>
        <w:t>其洪水标准可适当提高或降低。</w:t>
      </w:r>
    </w:p>
    <w:p w14:paraId="0E51CFED">
      <w:pPr>
        <w:spacing w:line="282" w:lineRule="auto"/>
        <w:rPr>
          <w:rFonts w:ascii="宋体" w:hAnsi="宋体" w:eastAsia="宋体" w:cs="宋体"/>
          <w:sz w:val="21"/>
          <w:szCs w:val="21"/>
        </w:rPr>
        <w:sectPr>
          <w:footerReference r:id="rId17" w:type="default"/>
          <w:pgSz w:w="10320" w:h="14590"/>
          <w:pgMar w:top="1" w:right="13" w:bottom="235" w:left="0" w:header="0" w:footer="0" w:gutter="0"/>
          <w:cols w:space="720" w:num="1"/>
        </w:sectPr>
      </w:pPr>
    </w:p>
    <w:p w14:paraId="7BF6C9FC">
      <w:pPr>
        <w:spacing w:before="125" w:line="222" w:lineRule="auto"/>
        <w:ind w:left="6396"/>
        <w:rPr>
          <w:rFonts w:ascii="Times New Roman" w:hAnsi="Times New Roman" w:eastAsia="Times New Roman" w:cs="Times New Roman"/>
          <w:sz w:val="15"/>
          <w:szCs w:val="15"/>
        </w:rPr>
      </w:pPr>
      <w:r>
        <w:drawing>
          <wp:anchor distT="0" distB="0" distL="0" distR="0" simplePos="0" relativeHeight="251664384" behindDoc="0" locked="0" layoutInCell="1" allowOverlap="1">
            <wp:simplePos x="0" y="0"/>
            <wp:positionH relativeFrom="column">
              <wp:posOffset>943610</wp:posOffset>
            </wp:positionH>
            <wp:positionV relativeFrom="paragraph">
              <wp:posOffset>265430</wp:posOffset>
            </wp:positionV>
            <wp:extent cx="5041900" cy="1270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9"/>
                    <a:stretch>
                      <a:fillRect/>
                    </a:stretch>
                  </pic:blipFill>
                  <pic:spPr>
                    <a:xfrm>
                      <a:off x="0" y="0"/>
                      <a:ext cx="5041901" cy="12692"/>
                    </a:xfrm>
                    <a:prstGeom prst="rect">
                      <a:avLst/>
                    </a:prstGeom>
                  </pic:spPr>
                </pic:pic>
              </a:graphicData>
            </a:graphic>
          </wp:anchor>
        </w:drawing>
      </w:r>
      <w:r>
        <w:rPr>
          <w:rFonts w:ascii="黑体" w:hAnsi="黑体" w:eastAsia="黑体" w:cs="黑体"/>
          <w:spacing w:val="-18"/>
          <w:sz w:val="20"/>
          <w:szCs w:val="20"/>
        </w:rPr>
        <w:t>第1章 水利水电工程勘测与设计</w:t>
      </w:r>
      <w:r>
        <w:rPr>
          <w:rFonts w:ascii="黑体" w:hAnsi="黑体" w:eastAsia="黑体" w:cs="黑体"/>
          <w:spacing w:val="2"/>
          <w:sz w:val="20"/>
          <w:szCs w:val="20"/>
        </w:rPr>
        <w:t xml:space="preserve">   </w:t>
      </w:r>
      <w:r>
        <w:rPr>
          <w:rFonts w:ascii="Times New Roman" w:hAnsi="Times New Roman" w:eastAsia="Times New Roman" w:cs="Times New Roman"/>
          <w:spacing w:val="-18"/>
          <w:sz w:val="15"/>
          <w:szCs w:val="15"/>
        </w:rPr>
        <w:t>15</w:t>
      </w:r>
    </w:p>
    <w:p w14:paraId="378D235D">
      <w:pPr>
        <w:spacing w:before="210" w:line="219" w:lineRule="auto"/>
        <w:ind w:left="2276"/>
        <w:rPr>
          <w:rFonts w:ascii="宋体" w:hAnsi="宋体" w:eastAsia="宋体" w:cs="宋体"/>
          <w:sz w:val="20"/>
          <w:szCs w:val="20"/>
        </w:rPr>
      </w:pPr>
      <w:r>
        <w:rPr>
          <w:rFonts w:ascii="宋体" w:hAnsi="宋体" w:eastAsia="宋体" w:cs="宋体"/>
          <w:spacing w:val="1"/>
          <w:sz w:val="20"/>
          <w:szCs w:val="20"/>
        </w:rPr>
        <w:t>表1.2-6山区、丘陵区水库工程永久性水工建筑物的洪水标准[重现期(年)]</w:t>
      </w:r>
    </w:p>
    <w:p w14:paraId="50D02240">
      <w:pPr>
        <w:spacing w:line="49" w:lineRule="exact"/>
      </w:pPr>
    </w:p>
    <w:tbl>
      <w:tblPr>
        <w:tblStyle w:val="5"/>
        <w:tblW w:w="7859" w:type="dxa"/>
        <w:tblInd w:w="1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9"/>
        <w:gridCol w:w="860"/>
        <w:gridCol w:w="1980"/>
        <w:gridCol w:w="1140"/>
        <w:gridCol w:w="1140"/>
        <w:gridCol w:w="1130"/>
        <w:gridCol w:w="1180"/>
      </w:tblGrid>
      <w:tr w14:paraId="5D5DC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89" w:type="dxa"/>
            <w:gridSpan w:val="2"/>
            <w:vMerge w:val="restart"/>
            <w:tcBorders>
              <w:left w:val="nil"/>
              <w:bottom w:val="nil"/>
            </w:tcBorders>
            <w:vAlign w:val="top"/>
          </w:tcPr>
          <w:p w14:paraId="21E5DC9C">
            <w:pPr>
              <w:pStyle w:val="6"/>
              <w:spacing w:before="232" w:line="220" w:lineRule="auto"/>
              <w:ind w:left="459"/>
              <w:rPr>
                <w:sz w:val="18"/>
                <w:szCs w:val="18"/>
              </w:rPr>
            </w:pPr>
            <w:r>
              <w:rPr>
                <w:spacing w:val="-5"/>
                <w:sz w:val="18"/>
                <w:szCs w:val="18"/>
              </w:rPr>
              <w:t>项 目</w:t>
            </w:r>
          </w:p>
        </w:tc>
        <w:tc>
          <w:tcPr>
            <w:tcW w:w="6570" w:type="dxa"/>
            <w:gridSpan w:val="5"/>
            <w:tcBorders>
              <w:right w:val="nil"/>
            </w:tcBorders>
            <w:vAlign w:val="top"/>
          </w:tcPr>
          <w:p w14:paraId="501108F3">
            <w:pPr>
              <w:pStyle w:val="6"/>
              <w:spacing w:before="72" w:line="219" w:lineRule="auto"/>
              <w:ind w:left="2705"/>
              <w:rPr>
                <w:sz w:val="18"/>
                <w:szCs w:val="18"/>
              </w:rPr>
            </w:pPr>
            <w:r>
              <w:rPr>
                <w:spacing w:val="2"/>
                <w:sz w:val="18"/>
                <w:szCs w:val="18"/>
              </w:rPr>
              <w:t>水工建筑物级别</w:t>
            </w:r>
          </w:p>
        </w:tc>
      </w:tr>
      <w:tr w14:paraId="7B3CC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289" w:type="dxa"/>
            <w:gridSpan w:val="2"/>
            <w:vMerge w:val="continue"/>
            <w:tcBorders>
              <w:top w:val="nil"/>
              <w:left w:val="nil"/>
            </w:tcBorders>
            <w:vAlign w:val="top"/>
          </w:tcPr>
          <w:p w14:paraId="09BC82FC">
            <w:pPr>
              <w:rPr>
                <w:rFonts w:ascii="Arial"/>
                <w:sz w:val="21"/>
              </w:rPr>
            </w:pPr>
          </w:p>
        </w:tc>
        <w:tc>
          <w:tcPr>
            <w:tcW w:w="1980" w:type="dxa"/>
            <w:vAlign w:val="top"/>
          </w:tcPr>
          <w:p w14:paraId="454164BA">
            <w:pPr>
              <w:pStyle w:val="6"/>
              <w:spacing w:before="87" w:line="217" w:lineRule="auto"/>
              <w:ind w:left="935"/>
              <w:rPr>
                <w:sz w:val="18"/>
                <w:szCs w:val="18"/>
              </w:rPr>
            </w:pPr>
            <w:r>
              <w:rPr>
                <w:sz w:val="18"/>
                <w:szCs w:val="18"/>
              </w:rPr>
              <w:t>1</w:t>
            </w:r>
          </w:p>
        </w:tc>
        <w:tc>
          <w:tcPr>
            <w:tcW w:w="1140" w:type="dxa"/>
            <w:vAlign w:val="top"/>
          </w:tcPr>
          <w:p w14:paraId="10160003">
            <w:pPr>
              <w:pStyle w:val="6"/>
              <w:spacing w:before="87" w:line="217" w:lineRule="auto"/>
              <w:ind w:left="515"/>
              <w:rPr>
                <w:sz w:val="18"/>
                <w:szCs w:val="18"/>
              </w:rPr>
            </w:pPr>
            <w:r>
              <w:rPr>
                <w:sz w:val="18"/>
                <w:szCs w:val="18"/>
              </w:rPr>
              <w:t>2</w:t>
            </w:r>
          </w:p>
        </w:tc>
        <w:tc>
          <w:tcPr>
            <w:tcW w:w="1140" w:type="dxa"/>
            <w:vAlign w:val="top"/>
          </w:tcPr>
          <w:p w14:paraId="14E667E4">
            <w:pPr>
              <w:pStyle w:val="6"/>
              <w:spacing w:before="87" w:line="217" w:lineRule="auto"/>
              <w:ind w:left="515"/>
              <w:rPr>
                <w:sz w:val="18"/>
                <w:szCs w:val="18"/>
              </w:rPr>
            </w:pPr>
            <w:r>
              <w:rPr>
                <w:sz w:val="18"/>
                <w:szCs w:val="18"/>
              </w:rPr>
              <w:t>3</w:t>
            </w:r>
          </w:p>
        </w:tc>
        <w:tc>
          <w:tcPr>
            <w:tcW w:w="1130" w:type="dxa"/>
            <w:vAlign w:val="top"/>
          </w:tcPr>
          <w:p w14:paraId="44FC9F82">
            <w:pPr>
              <w:pStyle w:val="6"/>
              <w:spacing w:before="87" w:line="217" w:lineRule="auto"/>
              <w:ind w:left="516"/>
              <w:rPr>
                <w:sz w:val="18"/>
                <w:szCs w:val="18"/>
              </w:rPr>
            </w:pPr>
            <w:r>
              <w:rPr>
                <w:sz w:val="18"/>
                <w:szCs w:val="18"/>
              </w:rPr>
              <w:t>4</w:t>
            </w:r>
          </w:p>
        </w:tc>
        <w:tc>
          <w:tcPr>
            <w:tcW w:w="1180" w:type="dxa"/>
            <w:tcBorders>
              <w:right w:val="nil"/>
            </w:tcBorders>
            <w:vAlign w:val="top"/>
          </w:tcPr>
          <w:p w14:paraId="5675D051">
            <w:pPr>
              <w:pStyle w:val="6"/>
              <w:spacing w:before="87" w:line="217" w:lineRule="auto"/>
              <w:ind w:left="535"/>
              <w:rPr>
                <w:sz w:val="18"/>
                <w:szCs w:val="18"/>
              </w:rPr>
            </w:pPr>
            <w:r>
              <w:rPr>
                <w:sz w:val="18"/>
                <w:szCs w:val="18"/>
              </w:rPr>
              <w:t>5</w:t>
            </w:r>
          </w:p>
        </w:tc>
      </w:tr>
      <w:tr w14:paraId="66242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289" w:type="dxa"/>
            <w:gridSpan w:val="2"/>
            <w:tcBorders>
              <w:left w:val="nil"/>
            </w:tcBorders>
            <w:vAlign w:val="top"/>
          </w:tcPr>
          <w:p w14:paraId="2E754FB4">
            <w:pPr>
              <w:pStyle w:val="6"/>
              <w:spacing w:before="81" w:line="221" w:lineRule="auto"/>
              <w:ind w:left="459"/>
              <w:rPr>
                <w:sz w:val="18"/>
                <w:szCs w:val="18"/>
              </w:rPr>
            </w:pPr>
            <w:r>
              <w:rPr>
                <w:spacing w:val="-3"/>
                <w:sz w:val="18"/>
                <w:szCs w:val="18"/>
              </w:rPr>
              <w:t>设计</w:t>
            </w:r>
          </w:p>
        </w:tc>
        <w:tc>
          <w:tcPr>
            <w:tcW w:w="1980" w:type="dxa"/>
            <w:vAlign w:val="top"/>
          </w:tcPr>
          <w:p w14:paraId="234BC34B">
            <w:pPr>
              <w:pStyle w:val="6"/>
              <w:spacing w:before="98" w:line="225" w:lineRule="auto"/>
              <w:ind w:left="575"/>
              <w:rPr>
                <w:sz w:val="18"/>
                <w:szCs w:val="18"/>
              </w:rPr>
            </w:pPr>
            <w:r>
              <w:rPr>
                <w:spacing w:val="-3"/>
                <w:sz w:val="18"/>
                <w:szCs w:val="18"/>
              </w:rPr>
              <w:t>1000～500</w:t>
            </w:r>
          </w:p>
        </w:tc>
        <w:tc>
          <w:tcPr>
            <w:tcW w:w="1140" w:type="dxa"/>
            <w:vAlign w:val="top"/>
          </w:tcPr>
          <w:p w14:paraId="51CE7B05">
            <w:pPr>
              <w:pStyle w:val="6"/>
              <w:spacing w:before="98" w:line="225" w:lineRule="auto"/>
              <w:ind w:left="206"/>
              <w:rPr>
                <w:sz w:val="18"/>
                <w:szCs w:val="18"/>
              </w:rPr>
            </w:pPr>
            <w:r>
              <w:rPr>
                <w:spacing w:val="-2"/>
                <w:sz w:val="18"/>
                <w:szCs w:val="18"/>
              </w:rPr>
              <w:t>500～100</w:t>
            </w:r>
          </w:p>
        </w:tc>
        <w:tc>
          <w:tcPr>
            <w:tcW w:w="1140" w:type="dxa"/>
            <w:vAlign w:val="top"/>
          </w:tcPr>
          <w:p w14:paraId="5B758804">
            <w:pPr>
              <w:pStyle w:val="6"/>
              <w:spacing w:before="98" w:line="225" w:lineRule="auto"/>
              <w:ind w:left="245"/>
              <w:rPr>
                <w:sz w:val="18"/>
                <w:szCs w:val="18"/>
              </w:rPr>
            </w:pPr>
            <w:r>
              <w:rPr>
                <w:spacing w:val="-3"/>
                <w:sz w:val="18"/>
                <w:szCs w:val="18"/>
              </w:rPr>
              <w:t>100～50</w:t>
            </w:r>
          </w:p>
        </w:tc>
        <w:tc>
          <w:tcPr>
            <w:tcW w:w="1130" w:type="dxa"/>
            <w:vAlign w:val="top"/>
          </w:tcPr>
          <w:p w14:paraId="09F36DB5">
            <w:pPr>
              <w:pStyle w:val="6"/>
              <w:spacing w:before="98" w:line="225" w:lineRule="auto"/>
              <w:ind w:left="285"/>
              <w:rPr>
                <w:sz w:val="18"/>
                <w:szCs w:val="18"/>
              </w:rPr>
            </w:pPr>
            <w:r>
              <w:rPr>
                <w:spacing w:val="-2"/>
                <w:sz w:val="18"/>
                <w:szCs w:val="18"/>
              </w:rPr>
              <w:t>50～30</w:t>
            </w:r>
          </w:p>
        </w:tc>
        <w:tc>
          <w:tcPr>
            <w:tcW w:w="1180" w:type="dxa"/>
            <w:tcBorders>
              <w:right w:val="nil"/>
            </w:tcBorders>
            <w:vAlign w:val="top"/>
          </w:tcPr>
          <w:p w14:paraId="60FDF82B">
            <w:pPr>
              <w:pStyle w:val="6"/>
              <w:spacing w:before="98" w:line="225" w:lineRule="auto"/>
              <w:ind w:left="315"/>
              <w:rPr>
                <w:sz w:val="18"/>
                <w:szCs w:val="18"/>
              </w:rPr>
            </w:pPr>
            <w:r>
              <w:rPr>
                <w:spacing w:val="-2"/>
                <w:sz w:val="18"/>
                <w:szCs w:val="18"/>
              </w:rPr>
              <w:t>30～20</w:t>
            </w:r>
          </w:p>
        </w:tc>
      </w:tr>
      <w:tr w14:paraId="14282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429" w:type="dxa"/>
            <w:vMerge w:val="restart"/>
            <w:tcBorders>
              <w:left w:val="nil"/>
              <w:bottom w:val="nil"/>
            </w:tcBorders>
            <w:vAlign w:val="top"/>
          </w:tcPr>
          <w:p w14:paraId="3E455DAC">
            <w:pPr>
              <w:spacing w:line="421" w:lineRule="auto"/>
              <w:rPr>
                <w:rFonts w:ascii="Arial"/>
                <w:sz w:val="21"/>
              </w:rPr>
            </w:pPr>
          </w:p>
          <w:p w14:paraId="0DA39CEB">
            <w:pPr>
              <w:pStyle w:val="6"/>
              <w:spacing w:before="59" w:line="220" w:lineRule="auto"/>
              <w:ind w:left="19"/>
              <w:rPr>
                <w:sz w:val="18"/>
                <w:szCs w:val="18"/>
              </w:rPr>
            </w:pPr>
            <w:r>
              <w:rPr>
                <w:spacing w:val="-2"/>
                <w:sz w:val="18"/>
                <w:szCs w:val="18"/>
              </w:rPr>
              <w:t>校核</w:t>
            </w:r>
          </w:p>
        </w:tc>
        <w:tc>
          <w:tcPr>
            <w:tcW w:w="860" w:type="dxa"/>
            <w:vAlign w:val="top"/>
          </w:tcPr>
          <w:p w14:paraId="5DC1355B">
            <w:pPr>
              <w:pStyle w:val="6"/>
              <w:spacing w:before="193" w:line="221" w:lineRule="auto"/>
              <w:ind w:left="155"/>
              <w:rPr>
                <w:sz w:val="18"/>
                <w:szCs w:val="18"/>
              </w:rPr>
            </w:pPr>
            <w:r>
              <w:rPr>
                <w:spacing w:val="-2"/>
                <w:sz w:val="18"/>
                <w:szCs w:val="18"/>
              </w:rPr>
              <w:t>土石坝</w:t>
            </w:r>
          </w:p>
        </w:tc>
        <w:tc>
          <w:tcPr>
            <w:tcW w:w="1980" w:type="dxa"/>
            <w:vAlign w:val="top"/>
          </w:tcPr>
          <w:p w14:paraId="3EC78179">
            <w:pPr>
              <w:pStyle w:val="6"/>
              <w:spacing w:before="82" w:line="238" w:lineRule="auto"/>
              <w:ind w:left="485" w:right="142" w:hanging="360"/>
              <w:rPr>
                <w:sz w:val="18"/>
                <w:szCs w:val="18"/>
              </w:rPr>
            </w:pPr>
            <w:r>
              <w:rPr>
                <w:spacing w:val="-1"/>
                <w:sz w:val="18"/>
                <w:szCs w:val="18"/>
              </w:rPr>
              <w:t>可能最大洪水(PMF)或</w:t>
            </w:r>
            <w:r>
              <w:rPr>
                <w:spacing w:val="2"/>
                <w:sz w:val="18"/>
                <w:szCs w:val="18"/>
              </w:rPr>
              <w:t xml:space="preserve"> </w:t>
            </w:r>
            <w:r>
              <w:rPr>
                <w:spacing w:val="-2"/>
                <w:sz w:val="18"/>
                <w:szCs w:val="18"/>
              </w:rPr>
              <w:t>10000～5000</w:t>
            </w:r>
          </w:p>
        </w:tc>
        <w:tc>
          <w:tcPr>
            <w:tcW w:w="1140" w:type="dxa"/>
            <w:vAlign w:val="top"/>
          </w:tcPr>
          <w:p w14:paraId="5E5AB8C0">
            <w:pPr>
              <w:pStyle w:val="6"/>
              <w:spacing w:before="209"/>
              <w:ind w:left="116"/>
              <w:rPr>
                <w:sz w:val="18"/>
                <w:szCs w:val="18"/>
              </w:rPr>
            </w:pPr>
            <w:r>
              <w:rPr>
                <w:spacing w:val="-2"/>
                <w:sz w:val="18"/>
                <w:szCs w:val="18"/>
              </w:rPr>
              <w:t>5000～2000</w:t>
            </w:r>
          </w:p>
        </w:tc>
        <w:tc>
          <w:tcPr>
            <w:tcW w:w="1140" w:type="dxa"/>
            <w:vAlign w:val="top"/>
          </w:tcPr>
          <w:p w14:paraId="766A47E0">
            <w:pPr>
              <w:pStyle w:val="6"/>
              <w:spacing w:before="209"/>
              <w:ind w:left="115"/>
              <w:rPr>
                <w:sz w:val="18"/>
                <w:szCs w:val="18"/>
              </w:rPr>
            </w:pPr>
            <w:r>
              <w:rPr>
                <w:spacing w:val="-1"/>
                <w:sz w:val="18"/>
                <w:szCs w:val="18"/>
              </w:rPr>
              <w:t>2000～1000</w:t>
            </w:r>
          </w:p>
        </w:tc>
        <w:tc>
          <w:tcPr>
            <w:tcW w:w="1130" w:type="dxa"/>
            <w:vAlign w:val="top"/>
          </w:tcPr>
          <w:p w14:paraId="4DDD5B3D">
            <w:pPr>
              <w:pStyle w:val="6"/>
              <w:spacing w:before="209"/>
              <w:ind w:left="195"/>
              <w:rPr>
                <w:sz w:val="18"/>
                <w:szCs w:val="18"/>
              </w:rPr>
            </w:pPr>
            <w:r>
              <w:rPr>
                <w:spacing w:val="-3"/>
                <w:sz w:val="18"/>
                <w:szCs w:val="18"/>
              </w:rPr>
              <w:t>1000~300</w:t>
            </w:r>
          </w:p>
        </w:tc>
        <w:tc>
          <w:tcPr>
            <w:tcW w:w="1180" w:type="dxa"/>
            <w:tcBorders>
              <w:right w:val="nil"/>
            </w:tcBorders>
            <w:vAlign w:val="top"/>
          </w:tcPr>
          <w:p w14:paraId="69FA1860">
            <w:pPr>
              <w:pStyle w:val="6"/>
              <w:spacing w:before="209"/>
              <w:ind w:left="225"/>
              <w:rPr>
                <w:sz w:val="18"/>
                <w:szCs w:val="18"/>
              </w:rPr>
            </w:pPr>
            <w:r>
              <w:rPr>
                <w:spacing w:val="-2"/>
                <w:sz w:val="18"/>
                <w:szCs w:val="18"/>
              </w:rPr>
              <w:t>300～200</w:t>
            </w:r>
          </w:p>
        </w:tc>
      </w:tr>
      <w:tr w14:paraId="0398D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429" w:type="dxa"/>
            <w:vMerge w:val="continue"/>
            <w:tcBorders>
              <w:top w:val="nil"/>
              <w:left w:val="nil"/>
            </w:tcBorders>
            <w:vAlign w:val="top"/>
          </w:tcPr>
          <w:p w14:paraId="30EEFA3C">
            <w:pPr>
              <w:rPr>
                <w:rFonts w:ascii="Arial"/>
                <w:sz w:val="21"/>
              </w:rPr>
            </w:pPr>
          </w:p>
        </w:tc>
        <w:tc>
          <w:tcPr>
            <w:tcW w:w="860" w:type="dxa"/>
            <w:vAlign w:val="top"/>
          </w:tcPr>
          <w:p w14:paraId="11118B18">
            <w:pPr>
              <w:pStyle w:val="6"/>
              <w:spacing w:before="85" w:line="239" w:lineRule="auto"/>
              <w:ind w:left="60" w:hanging="45"/>
              <w:rPr>
                <w:sz w:val="18"/>
                <w:szCs w:val="18"/>
              </w:rPr>
            </w:pPr>
            <w:r>
              <w:rPr>
                <w:spacing w:val="-14"/>
                <w:sz w:val="18"/>
                <w:szCs w:val="18"/>
              </w:rPr>
              <w:t>混凝土坝、</w:t>
            </w:r>
            <w:r>
              <w:rPr>
                <w:spacing w:val="3"/>
                <w:sz w:val="18"/>
                <w:szCs w:val="18"/>
              </w:rPr>
              <w:t xml:space="preserve"> </w:t>
            </w:r>
            <w:r>
              <w:rPr>
                <w:spacing w:val="-14"/>
                <w:sz w:val="18"/>
                <w:szCs w:val="18"/>
              </w:rPr>
              <w:t>浆砌石坝</w:t>
            </w:r>
          </w:p>
        </w:tc>
        <w:tc>
          <w:tcPr>
            <w:tcW w:w="1980" w:type="dxa"/>
            <w:vAlign w:val="top"/>
          </w:tcPr>
          <w:p w14:paraId="686BEDD4">
            <w:pPr>
              <w:pStyle w:val="6"/>
              <w:spacing w:before="212"/>
              <w:ind w:left="535"/>
              <w:rPr>
                <w:sz w:val="18"/>
                <w:szCs w:val="18"/>
              </w:rPr>
            </w:pPr>
            <w:r>
              <w:rPr>
                <w:spacing w:val="-2"/>
                <w:sz w:val="18"/>
                <w:szCs w:val="18"/>
              </w:rPr>
              <w:t>5000～2000</w:t>
            </w:r>
          </w:p>
        </w:tc>
        <w:tc>
          <w:tcPr>
            <w:tcW w:w="1140" w:type="dxa"/>
            <w:vAlign w:val="top"/>
          </w:tcPr>
          <w:p w14:paraId="6A3D7C4C">
            <w:pPr>
              <w:pStyle w:val="6"/>
              <w:spacing w:before="212"/>
              <w:ind w:left="155"/>
              <w:rPr>
                <w:sz w:val="18"/>
                <w:szCs w:val="18"/>
              </w:rPr>
            </w:pPr>
            <w:r>
              <w:rPr>
                <w:spacing w:val="-1"/>
                <w:sz w:val="18"/>
                <w:szCs w:val="18"/>
              </w:rPr>
              <w:t>2000~1000</w:t>
            </w:r>
          </w:p>
        </w:tc>
        <w:tc>
          <w:tcPr>
            <w:tcW w:w="1140" w:type="dxa"/>
            <w:vAlign w:val="top"/>
          </w:tcPr>
          <w:p w14:paraId="312A9D25">
            <w:pPr>
              <w:pStyle w:val="6"/>
              <w:spacing w:before="212"/>
              <w:ind w:left="156"/>
              <w:rPr>
                <w:sz w:val="18"/>
                <w:szCs w:val="18"/>
              </w:rPr>
            </w:pPr>
            <w:r>
              <w:rPr>
                <w:spacing w:val="-3"/>
                <w:sz w:val="18"/>
                <w:szCs w:val="18"/>
              </w:rPr>
              <w:t>1000～500</w:t>
            </w:r>
          </w:p>
        </w:tc>
        <w:tc>
          <w:tcPr>
            <w:tcW w:w="1130" w:type="dxa"/>
            <w:vAlign w:val="top"/>
          </w:tcPr>
          <w:p w14:paraId="68236B9C">
            <w:pPr>
              <w:pStyle w:val="6"/>
              <w:spacing w:before="212"/>
              <w:ind w:left="195"/>
              <w:rPr>
                <w:sz w:val="18"/>
                <w:szCs w:val="18"/>
              </w:rPr>
            </w:pPr>
            <w:r>
              <w:rPr>
                <w:spacing w:val="-2"/>
                <w:sz w:val="18"/>
                <w:szCs w:val="18"/>
              </w:rPr>
              <w:t>500～200</w:t>
            </w:r>
          </w:p>
        </w:tc>
        <w:tc>
          <w:tcPr>
            <w:tcW w:w="1180" w:type="dxa"/>
            <w:tcBorders>
              <w:right w:val="nil"/>
            </w:tcBorders>
            <w:vAlign w:val="top"/>
          </w:tcPr>
          <w:p w14:paraId="7ABD41DE">
            <w:pPr>
              <w:pStyle w:val="6"/>
              <w:spacing w:before="212"/>
              <w:ind w:left="225"/>
              <w:rPr>
                <w:sz w:val="18"/>
                <w:szCs w:val="18"/>
              </w:rPr>
            </w:pPr>
            <w:r>
              <w:rPr>
                <w:spacing w:val="-2"/>
                <w:sz w:val="18"/>
                <w:szCs w:val="18"/>
              </w:rPr>
              <w:t>200～100</w:t>
            </w:r>
          </w:p>
        </w:tc>
      </w:tr>
    </w:tbl>
    <w:p w14:paraId="1B6596AC">
      <w:pPr>
        <w:spacing w:before="293" w:line="219" w:lineRule="auto"/>
        <w:ind w:left="2166"/>
        <w:rPr>
          <w:rFonts w:ascii="宋体" w:hAnsi="宋体" w:eastAsia="宋体" w:cs="宋体"/>
          <w:sz w:val="20"/>
          <w:szCs w:val="20"/>
        </w:rPr>
      </w:pPr>
      <w:r>
        <w:rPr>
          <w:rFonts w:ascii="宋体" w:hAnsi="宋体" w:eastAsia="宋体" w:cs="宋体"/>
          <w:spacing w:val="1"/>
          <w:sz w:val="20"/>
          <w:szCs w:val="20"/>
        </w:rPr>
        <w:t>表1.2-7平原区、滨海区水库工程永久性水工建筑物的洪水标准[重现期(年)]</w:t>
      </w:r>
    </w:p>
    <w:p w14:paraId="66F162A0">
      <w:pPr>
        <w:spacing w:line="39" w:lineRule="exact"/>
      </w:pPr>
    </w:p>
    <w:tbl>
      <w:tblPr>
        <w:tblStyle w:val="5"/>
        <w:tblW w:w="7859" w:type="dxa"/>
        <w:tblInd w:w="1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0"/>
        <w:gridCol w:w="460"/>
        <w:gridCol w:w="1309"/>
        <w:gridCol w:w="1300"/>
        <w:gridCol w:w="1310"/>
        <w:gridCol w:w="1290"/>
        <w:gridCol w:w="1360"/>
      </w:tblGrid>
      <w:tr w14:paraId="6AD90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90" w:type="dxa"/>
            <w:gridSpan w:val="2"/>
            <w:vMerge w:val="restart"/>
            <w:tcBorders>
              <w:left w:val="nil"/>
              <w:bottom w:val="nil"/>
            </w:tcBorders>
            <w:vAlign w:val="top"/>
          </w:tcPr>
          <w:p w14:paraId="7F9AC4FD">
            <w:pPr>
              <w:pStyle w:val="6"/>
              <w:spacing w:before="230" w:line="220" w:lineRule="auto"/>
              <w:ind w:left="452"/>
              <w:rPr>
                <w:sz w:val="18"/>
                <w:szCs w:val="18"/>
              </w:rPr>
            </w:pPr>
            <w:r>
              <w:rPr>
                <w:b/>
                <w:bCs/>
                <w:spacing w:val="12"/>
                <w:sz w:val="18"/>
                <w:szCs w:val="18"/>
              </w:rPr>
              <w:t>项目</w:t>
            </w:r>
          </w:p>
        </w:tc>
        <w:tc>
          <w:tcPr>
            <w:tcW w:w="6569" w:type="dxa"/>
            <w:gridSpan w:val="5"/>
            <w:tcBorders>
              <w:right w:val="nil"/>
            </w:tcBorders>
            <w:vAlign w:val="top"/>
          </w:tcPr>
          <w:p w14:paraId="401B619B">
            <w:pPr>
              <w:pStyle w:val="6"/>
              <w:spacing w:before="72" w:line="219" w:lineRule="auto"/>
              <w:ind w:left="2454"/>
              <w:rPr>
                <w:sz w:val="18"/>
                <w:szCs w:val="18"/>
              </w:rPr>
            </w:pPr>
            <w:r>
              <w:rPr>
                <w:spacing w:val="1"/>
                <w:sz w:val="18"/>
                <w:szCs w:val="18"/>
              </w:rPr>
              <w:t>永久性水工建筑物级别</w:t>
            </w:r>
          </w:p>
        </w:tc>
      </w:tr>
      <w:tr w14:paraId="2961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290" w:type="dxa"/>
            <w:gridSpan w:val="2"/>
            <w:vMerge w:val="continue"/>
            <w:tcBorders>
              <w:top w:val="nil"/>
              <w:left w:val="nil"/>
            </w:tcBorders>
            <w:vAlign w:val="top"/>
          </w:tcPr>
          <w:p w14:paraId="761C696D">
            <w:pPr>
              <w:rPr>
                <w:rFonts w:ascii="Arial"/>
                <w:sz w:val="21"/>
              </w:rPr>
            </w:pPr>
          </w:p>
        </w:tc>
        <w:tc>
          <w:tcPr>
            <w:tcW w:w="1309" w:type="dxa"/>
            <w:vAlign w:val="top"/>
          </w:tcPr>
          <w:p w14:paraId="682B7B6A">
            <w:pPr>
              <w:pStyle w:val="6"/>
              <w:spacing w:before="87" w:line="216" w:lineRule="auto"/>
              <w:ind w:left="605"/>
              <w:rPr>
                <w:sz w:val="18"/>
                <w:szCs w:val="18"/>
              </w:rPr>
            </w:pPr>
            <w:r>
              <w:rPr>
                <w:sz w:val="18"/>
                <w:szCs w:val="18"/>
              </w:rPr>
              <w:t>1</w:t>
            </w:r>
          </w:p>
        </w:tc>
        <w:tc>
          <w:tcPr>
            <w:tcW w:w="1300" w:type="dxa"/>
            <w:vAlign w:val="top"/>
          </w:tcPr>
          <w:p w14:paraId="7E2C98B7">
            <w:pPr>
              <w:pStyle w:val="6"/>
              <w:spacing w:before="87" w:line="216" w:lineRule="auto"/>
              <w:ind w:left="595"/>
              <w:rPr>
                <w:sz w:val="18"/>
                <w:szCs w:val="18"/>
              </w:rPr>
            </w:pPr>
            <w:r>
              <w:rPr>
                <w:sz w:val="18"/>
                <w:szCs w:val="18"/>
              </w:rPr>
              <w:t>2</w:t>
            </w:r>
          </w:p>
        </w:tc>
        <w:tc>
          <w:tcPr>
            <w:tcW w:w="1310" w:type="dxa"/>
            <w:vAlign w:val="top"/>
          </w:tcPr>
          <w:p w14:paraId="2E274E57">
            <w:pPr>
              <w:pStyle w:val="6"/>
              <w:spacing w:before="87" w:line="216" w:lineRule="auto"/>
              <w:ind w:left="605"/>
              <w:rPr>
                <w:sz w:val="18"/>
                <w:szCs w:val="18"/>
              </w:rPr>
            </w:pPr>
            <w:r>
              <w:rPr>
                <w:sz w:val="18"/>
                <w:szCs w:val="18"/>
              </w:rPr>
              <w:t>3</w:t>
            </w:r>
          </w:p>
        </w:tc>
        <w:tc>
          <w:tcPr>
            <w:tcW w:w="1290" w:type="dxa"/>
            <w:vAlign w:val="top"/>
          </w:tcPr>
          <w:p w14:paraId="2B017077">
            <w:pPr>
              <w:pStyle w:val="6"/>
              <w:spacing w:before="87" w:line="216" w:lineRule="auto"/>
              <w:ind w:left="595"/>
              <w:rPr>
                <w:sz w:val="18"/>
                <w:szCs w:val="18"/>
              </w:rPr>
            </w:pPr>
            <w:r>
              <w:rPr>
                <w:sz w:val="18"/>
                <w:szCs w:val="18"/>
              </w:rPr>
              <w:t>4</w:t>
            </w:r>
          </w:p>
        </w:tc>
        <w:tc>
          <w:tcPr>
            <w:tcW w:w="1360" w:type="dxa"/>
            <w:tcBorders>
              <w:right w:val="nil"/>
            </w:tcBorders>
            <w:vAlign w:val="top"/>
          </w:tcPr>
          <w:p w14:paraId="7DD60CF3">
            <w:pPr>
              <w:pStyle w:val="6"/>
              <w:spacing w:before="87" w:line="216" w:lineRule="auto"/>
              <w:ind w:left="625"/>
              <w:rPr>
                <w:sz w:val="18"/>
                <w:szCs w:val="18"/>
              </w:rPr>
            </w:pPr>
            <w:r>
              <w:rPr>
                <w:sz w:val="18"/>
                <w:szCs w:val="18"/>
              </w:rPr>
              <w:t>5</w:t>
            </w:r>
          </w:p>
        </w:tc>
      </w:tr>
      <w:tr w14:paraId="229FA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830" w:type="dxa"/>
            <w:vMerge w:val="restart"/>
            <w:tcBorders>
              <w:left w:val="nil"/>
              <w:bottom w:val="nil"/>
            </w:tcBorders>
            <w:vAlign w:val="top"/>
          </w:tcPr>
          <w:p w14:paraId="393E1ACB">
            <w:pPr>
              <w:pStyle w:val="6"/>
              <w:spacing w:before="241" w:line="219" w:lineRule="auto"/>
              <w:ind w:left="49"/>
              <w:rPr>
                <w:sz w:val="18"/>
                <w:szCs w:val="18"/>
              </w:rPr>
            </w:pPr>
            <w:r>
              <w:rPr>
                <w:spacing w:val="-2"/>
                <w:sz w:val="18"/>
                <w:szCs w:val="18"/>
              </w:rPr>
              <w:t>水库工程</w:t>
            </w:r>
          </w:p>
        </w:tc>
        <w:tc>
          <w:tcPr>
            <w:tcW w:w="460" w:type="dxa"/>
            <w:vAlign w:val="top"/>
          </w:tcPr>
          <w:p w14:paraId="4E91AF76">
            <w:pPr>
              <w:pStyle w:val="6"/>
              <w:spacing w:before="82" w:line="221" w:lineRule="auto"/>
              <w:ind w:left="44"/>
              <w:rPr>
                <w:sz w:val="18"/>
                <w:szCs w:val="18"/>
              </w:rPr>
            </w:pPr>
            <w:r>
              <w:rPr>
                <w:spacing w:val="-3"/>
                <w:sz w:val="18"/>
                <w:szCs w:val="18"/>
              </w:rPr>
              <w:t>设计</w:t>
            </w:r>
          </w:p>
        </w:tc>
        <w:tc>
          <w:tcPr>
            <w:tcW w:w="1309" w:type="dxa"/>
            <w:vAlign w:val="top"/>
          </w:tcPr>
          <w:p w14:paraId="0FB06ED4">
            <w:pPr>
              <w:pStyle w:val="6"/>
              <w:spacing w:before="99" w:line="224" w:lineRule="auto"/>
              <w:ind w:left="284"/>
              <w:rPr>
                <w:sz w:val="18"/>
                <w:szCs w:val="18"/>
              </w:rPr>
            </w:pPr>
            <w:r>
              <w:rPr>
                <w:spacing w:val="-2"/>
                <w:sz w:val="18"/>
                <w:szCs w:val="18"/>
              </w:rPr>
              <w:t>300～100</w:t>
            </w:r>
          </w:p>
        </w:tc>
        <w:tc>
          <w:tcPr>
            <w:tcW w:w="1300" w:type="dxa"/>
            <w:vAlign w:val="top"/>
          </w:tcPr>
          <w:p w14:paraId="3BD8037D">
            <w:pPr>
              <w:pStyle w:val="6"/>
              <w:spacing w:before="99" w:line="224" w:lineRule="auto"/>
              <w:ind w:left="325"/>
              <w:rPr>
                <w:sz w:val="18"/>
                <w:szCs w:val="18"/>
              </w:rPr>
            </w:pPr>
            <w:r>
              <w:rPr>
                <w:spacing w:val="-3"/>
                <w:sz w:val="18"/>
                <w:szCs w:val="18"/>
              </w:rPr>
              <w:t>100～50</w:t>
            </w:r>
          </w:p>
        </w:tc>
        <w:tc>
          <w:tcPr>
            <w:tcW w:w="1310" w:type="dxa"/>
            <w:vAlign w:val="top"/>
          </w:tcPr>
          <w:p w14:paraId="2BE702BA">
            <w:pPr>
              <w:pStyle w:val="6"/>
              <w:spacing w:before="99" w:line="224" w:lineRule="auto"/>
              <w:ind w:left="376"/>
              <w:rPr>
                <w:sz w:val="18"/>
                <w:szCs w:val="18"/>
              </w:rPr>
            </w:pPr>
            <w:r>
              <w:rPr>
                <w:spacing w:val="-2"/>
                <w:sz w:val="18"/>
                <w:szCs w:val="18"/>
              </w:rPr>
              <w:t>50～20</w:t>
            </w:r>
          </w:p>
        </w:tc>
        <w:tc>
          <w:tcPr>
            <w:tcW w:w="1290" w:type="dxa"/>
            <w:vAlign w:val="top"/>
          </w:tcPr>
          <w:p w14:paraId="597F9AC5">
            <w:pPr>
              <w:pStyle w:val="6"/>
              <w:spacing w:before="99" w:line="224" w:lineRule="auto"/>
              <w:ind w:left="365"/>
              <w:rPr>
                <w:sz w:val="18"/>
                <w:szCs w:val="18"/>
              </w:rPr>
            </w:pPr>
            <w:r>
              <w:rPr>
                <w:spacing w:val="-2"/>
                <w:sz w:val="18"/>
                <w:szCs w:val="18"/>
              </w:rPr>
              <w:t>20～10</w:t>
            </w:r>
          </w:p>
        </w:tc>
        <w:tc>
          <w:tcPr>
            <w:tcW w:w="1360" w:type="dxa"/>
            <w:tcBorders>
              <w:right w:val="nil"/>
            </w:tcBorders>
            <w:vAlign w:val="top"/>
          </w:tcPr>
          <w:p w14:paraId="01522512">
            <w:pPr>
              <w:pStyle w:val="6"/>
              <w:spacing w:before="99" w:line="224" w:lineRule="auto"/>
              <w:ind w:left="585"/>
              <w:rPr>
                <w:sz w:val="18"/>
                <w:szCs w:val="18"/>
              </w:rPr>
            </w:pPr>
            <w:r>
              <w:rPr>
                <w:spacing w:val="-6"/>
                <w:sz w:val="18"/>
                <w:szCs w:val="18"/>
              </w:rPr>
              <w:t>10</w:t>
            </w:r>
          </w:p>
        </w:tc>
      </w:tr>
      <w:tr w14:paraId="334ED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0" w:type="dxa"/>
            <w:vMerge w:val="continue"/>
            <w:tcBorders>
              <w:top w:val="nil"/>
              <w:left w:val="nil"/>
            </w:tcBorders>
            <w:vAlign w:val="top"/>
          </w:tcPr>
          <w:p w14:paraId="3FCBC32C">
            <w:pPr>
              <w:rPr>
                <w:rFonts w:ascii="Arial"/>
                <w:sz w:val="21"/>
              </w:rPr>
            </w:pPr>
          </w:p>
        </w:tc>
        <w:tc>
          <w:tcPr>
            <w:tcW w:w="460" w:type="dxa"/>
            <w:vAlign w:val="top"/>
          </w:tcPr>
          <w:p w14:paraId="7A57B400">
            <w:pPr>
              <w:pStyle w:val="6"/>
              <w:spacing w:before="73" w:line="220" w:lineRule="auto"/>
              <w:ind w:left="44"/>
              <w:rPr>
                <w:sz w:val="18"/>
                <w:szCs w:val="18"/>
              </w:rPr>
            </w:pPr>
            <w:r>
              <w:rPr>
                <w:spacing w:val="-2"/>
                <w:sz w:val="18"/>
                <w:szCs w:val="18"/>
              </w:rPr>
              <w:t>校核</w:t>
            </w:r>
          </w:p>
        </w:tc>
        <w:tc>
          <w:tcPr>
            <w:tcW w:w="1309" w:type="dxa"/>
            <w:vAlign w:val="top"/>
          </w:tcPr>
          <w:p w14:paraId="519DE37B">
            <w:pPr>
              <w:pStyle w:val="6"/>
              <w:spacing w:before="91" w:line="222" w:lineRule="auto"/>
              <w:ind w:left="195"/>
              <w:rPr>
                <w:sz w:val="18"/>
                <w:szCs w:val="18"/>
              </w:rPr>
            </w:pPr>
            <w:r>
              <w:rPr>
                <w:spacing w:val="-1"/>
                <w:sz w:val="18"/>
                <w:szCs w:val="18"/>
              </w:rPr>
              <w:t>2000～1000</w:t>
            </w:r>
          </w:p>
        </w:tc>
        <w:tc>
          <w:tcPr>
            <w:tcW w:w="1300" w:type="dxa"/>
            <w:vAlign w:val="top"/>
          </w:tcPr>
          <w:p w14:paraId="661B860E">
            <w:pPr>
              <w:pStyle w:val="6"/>
              <w:spacing w:before="91" w:line="222" w:lineRule="auto"/>
              <w:ind w:left="235"/>
              <w:rPr>
                <w:sz w:val="18"/>
                <w:szCs w:val="18"/>
              </w:rPr>
            </w:pPr>
            <w:r>
              <w:rPr>
                <w:spacing w:val="-3"/>
                <w:sz w:val="18"/>
                <w:szCs w:val="18"/>
              </w:rPr>
              <w:t>1000～300</w:t>
            </w:r>
          </w:p>
        </w:tc>
        <w:tc>
          <w:tcPr>
            <w:tcW w:w="1310" w:type="dxa"/>
            <w:vAlign w:val="top"/>
          </w:tcPr>
          <w:p w14:paraId="3A66FF4D">
            <w:pPr>
              <w:pStyle w:val="6"/>
              <w:spacing w:before="91" w:line="222" w:lineRule="auto"/>
              <w:ind w:left="285"/>
              <w:rPr>
                <w:sz w:val="18"/>
                <w:szCs w:val="18"/>
              </w:rPr>
            </w:pPr>
            <w:r>
              <w:rPr>
                <w:spacing w:val="-2"/>
                <w:sz w:val="18"/>
                <w:szCs w:val="18"/>
              </w:rPr>
              <w:t>300～100</w:t>
            </w:r>
          </w:p>
        </w:tc>
        <w:tc>
          <w:tcPr>
            <w:tcW w:w="1290" w:type="dxa"/>
            <w:vAlign w:val="top"/>
          </w:tcPr>
          <w:p w14:paraId="08C1F291">
            <w:pPr>
              <w:pStyle w:val="6"/>
              <w:spacing w:before="91" w:line="222" w:lineRule="auto"/>
              <w:ind w:left="325"/>
              <w:rPr>
                <w:sz w:val="18"/>
                <w:szCs w:val="18"/>
              </w:rPr>
            </w:pPr>
            <w:r>
              <w:rPr>
                <w:spacing w:val="-3"/>
                <w:sz w:val="18"/>
                <w:szCs w:val="18"/>
              </w:rPr>
              <w:t>100～50</w:t>
            </w:r>
          </w:p>
        </w:tc>
        <w:tc>
          <w:tcPr>
            <w:tcW w:w="1360" w:type="dxa"/>
            <w:tcBorders>
              <w:right w:val="nil"/>
            </w:tcBorders>
            <w:vAlign w:val="top"/>
          </w:tcPr>
          <w:p w14:paraId="47A23C9B">
            <w:pPr>
              <w:pStyle w:val="6"/>
              <w:spacing w:before="91" w:line="222" w:lineRule="auto"/>
              <w:ind w:left="405"/>
              <w:rPr>
                <w:sz w:val="18"/>
                <w:szCs w:val="18"/>
              </w:rPr>
            </w:pPr>
            <w:r>
              <w:rPr>
                <w:spacing w:val="-2"/>
                <w:sz w:val="18"/>
                <w:szCs w:val="18"/>
              </w:rPr>
              <w:t>50～20</w:t>
            </w:r>
          </w:p>
        </w:tc>
      </w:tr>
      <w:tr w14:paraId="20B51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30" w:type="dxa"/>
            <w:vMerge w:val="restart"/>
            <w:tcBorders>
              <w:left w:val="nil"/>
              <w:bottom w:val="nil"/>
            </w:tcBorders>
            <w:vAlign w:val="top"/>
          </w:tcPr>
          <w:p w14:paraId="2F4A3EBA">
            <w:pPr>
              <w:pStyle w:val="6"/>
              <w:spacing w:before="235" w:line="219" w:lineRule="auto"/>
              <w:ind w:left="49"/>
              <w:rPr>
                <w:sz w:val="18"/>
                <w:szCs w:val="18"/>
              </w:rPr>
            </w:pPr>
            <w:r>
              <w:rPr>
                <w:spacing w:val="4"/>
                <w:sz w:val="18"/>
                <w:szCs w:val="18"/>
              </w:rPr>
              <w:t>拦河水闸</w:t>
            </w:r>
          </w:p>
        </w:tc>
        <w:tc>
          <w:tcPr>
            <w:tcW w:w="460" w:type="dxa"/>
            <w:vAlign w:val="top"/>
          </w:tcPr>
          <w:p w14:paraId="01712622">
            <w:pPr>
              <w:pStyle w:val="6"/>
              <w:spacing w:before="76" w:line="221" w:lineRule="auto"/>
              <w:ind w:left="44"/>
              <w:rPr>
                <w:sz w:val="18"/>
                <w:szCs w:val="18"/>
              </w:rPr>
            </w:pPr>
            <w:r>
              <w:rPr>
                <w:spacing w:val="-3"/>
                <w:sz w:val="18"/>
                <w:szCs w:val="18"/>
              </w:rPr>
              <w:t>设计</w:t>
            </w:r>
          </w:p>
        </w:tc>
        <w:tc>
          <w:tcPr>
            <w:tcW w:w="1309" w:type="dxa"/>
            <w:vAlign w:val="top"/>
          </w:tcPr>
          <w:p w14:paraId="57B47661">
            <w:pPr>
              <w:pStyle w:val="6"/>
              <w:spacing w:before="93" w:line="221" w:lineRule="auto"/>
              <w:ind w:left="334"/>
              <w:rPr>
                <w:sz w:val="18"/>
                <w:szCs w:val="18"/>
              </w:rPr>
            </w:pPr>
            <w:r>
              <w:rPr>
                <w:spacing w:val="-3"/>
                <w:sz w:val="18"/>
                <w:szCs w:val="18"/>
              </w:rPr>
              <w:t>100～50</w:t>
            </w:r>
          </w:p>
        </w:tc>
        <w:tc>
          <w:tcPr>
            <w:tcW w:w="1300" w:type="dxa"/>
            <w:vAlign w:val="top"/>
          </w:tcPr>
          <w:p w14:paraId="7C517054">
            <w:pPr>
              <w:pStyle w:val="6"/>
              <w:spacing w:before="93" w:line="221" w:lineRule="auto"/>
              <w:ind w:left="376"/>
              <w:rPr>
                <w:sz w:val="18"/>
                <w:szCs w:val="18"/>
              </w:rPr>
            </w:pPr>
            <w:r>
              <w:rPr>
                <w:spacing w:val="-2"/>
                <w:sz w:val="18"/>
                <w:szCs w:val="18"/>
              </w:rPr>
              <w:t>50～30</w:t>
            </w:r>
          </w:p>
        </w:tc>
        <w:tc>
          <w:tcPr>
            <w:tcW w:w="1310" w:type="dxa"/>
            <w:vAlign w:val="top"/>
          </w:tcPr>
          <w:p w14:paraId="1581EF0A">
            <w:pPr>
              <w:pStyle w:val="6"/>
              <w:spacing w:before="93" w:line="221" w:lineRule="auto"/>
              <w:ind w:left="425"/>
              <w:rPr>
                <w:sz w:val="18"/>
                <w:szCs w:val="18"/>
              </w:rPr>
            </w:pPr>
            <w:r>
              <w:rPr>
                <w:spacing w:val="-2"/>
                <w:sz w:val="18"/>
                <w:szCs w:val="18"/>
              </w:rPr>
              <w:t>30~20</w:t>
            </w:r>
          </w:p>
        </w:tc>
        <w:tc>
          <w:tcPr>
            <w:tcW w:w="1290" w:type="dxa"/>
            <w:vAlign w:val="top"/>
          </w:tcPr>
          <w:p w14:paraId="65D4A3B7">
            <w:pPr>
              <w:pStyle w:val="6"/>
              <w:spacing w:before="93" w:line="221" w:lineRule="auto"/>
              <w:ind w:left="365"/>
              <w:rPr>
                <w:sz w:val="18"/>
                <w:szCs w:val="18"/>
              </w:rPr>
            </w:pPr>
            <w:r>
              <w:rPr>
                <w:spacing w:val="-2"/>
                <w:sz w:val="18"/>
                <w:szCs w:val="18"/>
              </w:rPr>
              <w:t>20～10</w:t>
            </w:r>
          </w:p>
        </w:tc>
        <w:tc>
          <w:tcPr>
            <w:tcW w:w="1360" w:type="dxa"/>
            <w:tcBorders>
              <w:right w:val="nil"/>
            </w:tcBorders>
            <w:vAlign w:val="top"/>
          </w:tcPr>
          <w:p w14:paraId="4FD52C48">
            <w:pPr>
              <w:pStyle w:val="6"/>
              <w:spacing w:before="93" w:line="221" w:lineRule="auto"/>
              <w:ind w:left="585"/>
              <w:rPr>
                <w:sz w:val="18"/>
                <w:szCs w:val="18"/>
              </w:rPr>
            </w:pPr>
            <w:r>
              <w:rPr>
                <w:spacing w:val="-6"/>
                <w:sz w:val="18"/>
                <w:szCs w:val="18"/>
              </w:rPr>
              <w:t>10</w:t>
            </w:r>
          </w:p>
        </w:tc>
      </w:tr>
      <w:tr w14:paraId="2AEE1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830" w:type="dxa"/>
            <w:vMerge w:val="continue"/>
            <w:tcBorders>
              <w:top w:val="nil"/>
              <w:left w:val="nil"/>
            </w:tcBorders>
            <w:vAlign w:val="top"/>
          </w:tcPr>
          <w:p w14:paraId="645ABE0A">
            <w:pPr>
              <w:rPr>
                <w:rFonts w:ascii="Arial"/>
                <w:sz w:val="21"/>
              </w:rPr>
            </w:pPr>
          </w:p>
        </w:tc>
        <w:tc>
          <w:tcPr>
            <w:tcW w:w="460" w:type="dxa"/>
            <w:vAlign w:val="top"/>
          </w:tcPr>
          <w:p w14:paraId="5F979AD4">
            <w:pPr>
              <w:pStyle w:val="6"/>
              <w:spacing w:before="77" w:line="220" w:lineRule="auto"/>
              <w:ind w:left="44"/>
              <w:rPr>
                <w:sz w:val="18"/>
                <w:szCs w:val="18"/>
              </w:rPr>
            </w:pPr>
            <w:r>
              <w:rPr>
                <w:spacing w:val="-2"/>
                <w:sz w:val="18"/>
                <w:szCs w:val="18"/>
              </w:rPr>
              <w:t>校核</w:t>
            </w:r>
          </w:p>
        </w:tc>
        <w:tc>
          <w:tcPr>
            <w:tcW w:w="1309" w:type="dxa"/>
            <w:vAlign w:val="top"/>
          </w:tcPr>
          <w:p w14:paraId="0284C2EC">
            <w:pPr>
              <w:pStyle w:val="6"/>
              <w:spacing w:before="94" w:line="214" w:lineRule="auto"/>
              <w:ind w:left="284"/>
              <w:rPr>
                <w:sz w:val="18"/>
                <w:szCs w:val="18"/>
              </w:rPr>
            </w:pPr>
            <w:r>
              <w:rPr>
                <w:spacing w:val="-2"/>
                <w:sz w:val="18"/>
                <w:szCs w:val="18"/>
              </w:rPr>
              <w:t>300～200</w:t>
            </w:r>
          </w:p>
        </w:tc>
        <w:tc>
          <w:tcPr>
            <w:tcW w:w="1300" w:type="dxa"/>
            <w:vAlign w:val="top"/>
          </w:tcPr>
          <w:p w14:paraId="58BA73B5">
            <w:pPr>
              <w:pStyle w:val="6"/>
              <w:spacing w:before="94" w:line="214" w:lineRule="auto"/>
              <w:ind w:left="286"/>
              <w:rPr>
                <w:sz w:val="18"/>
                <w:szCs w:val="18"/>
              </w:rPr>
            </w:pPr>
            <w:r>
              <w:rPr>
                <w:spacing w:val="-2"/>
                <w:sz w:val="18"/>
                <w:szCs w:val="18"/>
              </w:rPr>
              <w:t>200～100</w:t>
            </w:r>
          </w:p>
        </w:tc>
        <w:tc>
          <w:tcPr>
            <w:tcW w:w="1310" w:type="dxa"/>
            <w:vAlign w:val="top"/>
          </w:tcPr>
          <w:p w14:paraId="069D192D">
            <w:pPr>
              <w:pStyle w:val="6"/>
              <w:spacing w:before="94" w:line="214" w:lineRule="auto"/>
              <w:ind w:left="335"/>
              <w:rPr>
                <w:sz w:val="18"/>
                <w:szCs w:val="18"/>
              </w:rPr>
            </w:pPr>
            <w:r>
              <w:rPr>
                <w:spacing w:val="-3"/>
                <w:sz w:val="18"/>
                <w:szCs w:val="18"/>
              </w:rPr>
              <w:t>100～50</w:t>
            </w:r>
          </w:p>
        </w:tc>
        <w:tc>
          <w:tcPr>
            <w:tcW w:w="1290" w:type="dxa"/>
            <w:vAlign w:val="top"/>
          </w:tcPr>
          <w:p w14:paraId="25321DE1">
            <w:pPr>
              <w:pStyle w:val="6"/>
              <w:spacing w:before="94" w:line="214" w:lineRule="auto"/>
              <w:ind w:left="365"/>
              <w:rPr>
                <w:sz w:val="18"/>
                <w:szCs w:val="18"/>
              </w:rPr>
            </w:pPr>
            <w:r>
              <w:rPr>
                <w:spacing w:val="-2"/>
                <w:sz w:val="18"/>
                <w:szCs w:val="18"/>
              </w:rPr>
              <w:t>50～30</w:t>
            </w:r>
          </w:p>
        </w:tc>
        <w:tc>
          <w:tcPr>
            <w:tcW w:w="1360" w:type="dxa"/>
            <w:tcBorders>
              <w:right w:val="nil"/>
            </w:tcBorders>
            <w:vAlign w:val="top"/>
          </w:tcPr>
          <w:p w14:paraId="5436CEB0">
            <w:pPr>
              <w:pStyle w:val="6"/>
              <w:spacing w:before="94" w:line="214" w:lineRule="auto"/>
              <w:ind w:left="446"/>
              <w:rPr>
                <w:sz w:val="18"/>
                <w:szCs w:val="18"/>
              </w:rPr>
            </w:pPr>
            <w:r>
              <w:rPr>
                <w:spacing w:val="-2"/>
                <w:sz w:val="18"/>
                <w:szCs w:val="18"/>
              </w:rPr>
              <w:t>30~20</w:t>
            </w:r>
          </w:p>
        </w:tc>
      </w:tr>
    </w:tbl>
    <w:p w14:paraId="4B224966">
      <w:pPr>
        <w:pStyle w:val="2"/>
        <w:spacing w:line="256" w:lineRule="auto"/>
      </w:pPr>
    </w:p>
    <w:p w14:paraId="303A6F1E">
      <w:pPr>
        <w:spacing w:before="66" w:line="219" w:lineRule="auto"/>
        <w:ind w:left="3346"/>
        <w:rPr>
          <w:rFonts w:ascii="宋体" w:hAnsi="宋体" w:eastAsia="宋体" w:cs="宋体"/>
          <w:sz w:val="20"/>
          <w:szCs w:val="20"/>
        </w:rPr>
      </w:pPr>
      <w:r>
        <w:rPr>
          <w:rFonts w:ascii="宋体" w:hAnsi="宋体" w:eastAsia="宋体" w:cs="宋体"/>
          <w:spacing w:val="1"/>
          <w:sz w:val="20"/>
          <w:szCs w:val="20"/>
        </w:rPr>
        <w:t>表1.2-8水库大坝施工期洪水标准[重现期(年)]</w:t>
      </w:r>
    </w:p>
    <w:p w14:paraId="05467F6B">
      <w:pPr>
        <w:spacing w:line="106" w:lineRule="auto"/>
        <w:rPr>
          <w:rFonts w:ascii="Arial"/>
          <w:sz w:val="2"/>
        </w:rPr>
      </w:pPr>
    </w:p>
    <w:tbl>
      <w:tblPr>
        <w:tblStyle w:val="5"/>
        <w:tblW w:w="7860" w:type="dxa"/>
        <w:tblInd w:w="15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0"/>
        <w:gridCol w:w="1530"/>
        <w:gridCol w:w="1540"/>
        <w:gridCol w:w="1520"/>
        <w:gridCol w:w="1580"/>
      </w:tblGrid>
      <w:tr w14:paraId="4CD2A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0" w:type="dxa"/>
            <w:vMerge w:val="restart"/>
            <w:tcBorders>
              <w:left w:val="nil"/>
              <w:bottom w:val="nil"/>
            </w:tcBorders>
            <w:vAlign w:val="top"/>
          </w:tcPr>
          <w:p w14:paraId="6FB9DB9D">
            <w:pPr>
              <w:pStyle w:val="6"/>
              <w:spacing w:before="233" w:line="221" w:lineRule="auto"/>
              <w:ind w:left="659"/>
              <w:rPr>
                <w:sz w:val="18"/>
                <w:szCs w:val="18"/>
              </w:rPr>
            </w:pPr>
            <w:r>
              <w:rPr>
                <w:spacing w:val="-2"/>
                <w:sz w:val="18"/>
                <w:szCs w:val="18"/>
              </w:rPr>
              <w:t>坝型</w:t>
            </w:r>
          </w:p>
        </w:tc>
        <w:tc>
          <w:tcPr>
            <w:tcW w:w="6170" w:type="dxa"/>
            <w:gridSpan w:val="4"/>
            <w:tcBorders>
              <w:right w:val="nil"/>
            </w:tcBorders>
            <w:vAlign w:val="top"/>
          </w:tcPr>
          <w:p w14:paraId="4F75363A">
            <w:pPr>
              <w:pStyle w:val="6"/>
              <w:spacing w:before="72" w:line="219" w:lineRule="auto"/>
              <w:ind w:left="2385"/>
              <w:rPr>
                <w:sz w:val="18"/>
                <w:szCs w:val="18"/>
              </w:rPr>
            </w:pPr>
            <w:r>
              <w:rPr>
                <w:spacing w:val="17"/>
                <w:sz w:val="18"/>
                <w:szCs w:val="18"/>
              </w:rPr>
              <w:t>拦洪库容(10</w:t>
            </w:r>
            <w:r>
              <w:rPr>
                <w:rFonts w:ascii="Calibri" w:hAnsi="Calibri" w:eastAsia="Calibri" w:cs="Calibri"/>
                <w:spacing w:val="17"/>
                <w:sz w:val="18"/>
                <w:szCs w:val="18"/>
              </w:rPr>
              <w:t>⁸</w:t>
            </w:r>
            <w:r>
              <w:rPr>
                <w:spacing w:val="17"/>
                <w:sz w:val="18"/>
                <w:szCs w:val="18"/>
              </w:rPr>
              <w:t>m³)</w:t>
            </w:r>
          </w:p>
        </w:tc>
      </w:tr>
      <w:tr w14:paraId="6C5F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690" w:type="dxa"/>
            <w:vMerge w:val="continue"/>
            <w:tcBorders>
              <w:top w:val="nil"/>
              <w:left w:val="nil"/>
            </w:tcBorders>
            <w:vAlign w:val="top"/>
          </w:tcPr>
          <w:p w14:paraId="7648DA9D">
            <w:pPr>
              <w:rPr>
                <w:rFonts w:ascii="Arial"/>
                <w:sz w:val="21"/>
              </w:rPr>
            </w:pPr>
          </w:p>
        </w:tc>
        <w:tc>
          <w:tcPr>
            <w:tcW w:w="1530" w:type="dxa"/>
            <w:vAlign w:val="top"/>
          </w:tcPr>
          <w:p w14:paraId="7C64F1C8">
            <w:pPr>
              <w:pStyle w:val="6"/>
              <w:spacing w:before="87" w:line="216" w:lineRule="auto"/>
              <w:ind w:left="574"/>
              <w:rPr>
                <w:sz w:val="18"/>
                <w:szCs w:val="18"/>
              </w:rPr>
            </w:pPr>
            <w:r>
              <w:rPr>
                <w:spacing w:val="-7"/>
                <w:sz w:val="18"/>
                <w:szCs w:val="18"/>
              </w:rPr>
              <w:t>≥10</w:t>
            </w:r>
          </w:p>
        </w:tc>
        <w:tc>
          <w:tcPr>
            <w:tcW w:w="1540" w:type="dxa"/>
            <w:vAlign w:val="top"/>
          </w:tcPr>
          <w:p w14:paraId="34233417">
            <w:pPr>
              <w:pStyle w:val="6"/>
              <w:spacing w:before="67" w:line="216" w:lineRule="auto"/>
              <w:ind w:left="355"/>
              <w:rPr>
                <w:sz w:val="18"/>
                <w:szCs w:val="18"/>
              </w:rPr>
            </w:pPr>
            <w:r>
              <w:rPr>
                <w:spacing w:val="-2"/>
                <w:sz w:val="18"/>
                <w:szCs w:val="18"/>
              </w:rPr>
              <w:t>&lt;10,≥1.0</w:t>
            </w:r>
          </w:p>
        </w:tc>
        <w:tc>
          <w:tcPr>
            <w:tcW w:w="1520" w:type="dxa"/>
            <w:vAlign w:val="top"/>
          </w:tcPr>
          <w:p w14:paraId="21DBADFB">
            <w:pPr>
              <w:pStyle w:val="6"/>
              <w:spacing w:before="67" w:line="216" w:lineRule="auto"/>
              <w:ind w:left="305"/>
              <w:rPr>
                <w:sz w:val="18"/>
                <w:szCs w:val="18"/>
              </w:rPr>
            </w:pPr>
            <w:r>
              <w:rPr>
                <w:spacing w:val="-2"/>
                <w:sz w:val="18"/>
                <w:szCs w:val="18"/>
              </w:rPr>
              <w:t>&lt;1.0,≥0.1</w:t>
            </w:r>
          </w:p>
        </w:tc>
        <w:tc>
          <w:tcPr>
            <w:tcW w:w="1580" w:type="dxa"/>
            <w:tcBorders>
              <w:right w:val="nil"/>
            </w:tcBorders>
            <w:vAlign w:val="top"/>
          </w:tcPr>
          <w:p w14:paraId="26A1270E">
            <w:pPr>
              <w:pStyle w:val="6"/>
              <w:spacing w:before="88" w:line="215" w:lineRule="auto"/>
              <w:ind w:left="604"/>
              <w:rPr>
                <w:sz w:val="18"/>
                <w:szCs w:val="18"/>
              </w:rPr>
            </w:pPr>
            <w:r>
              <w:rPr>
                <w:spacing w:val="-3"/>
                <w:sz w:val="18"/>
                <w:szCs w:val="18"/>
              </w:rPr>
              <w:t>&lt;0.1</w:t>
            </w:r>
          </w:p>
        </w:tc>
      </w:tr>
      <w:tr w14:paraId="71602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690" w:type="dxa"/>
            <w:tcBorders>
              <w:left w:val="nil"/>
            </w:tcBorders>
            <w:vAlign w:val="top"/>
          </w:tcPr>
          <w:p w14:paraId="75BFA8A8">
            <w:pPr>
              <w:pStyle w:val="6"/>
              <w:spacing w:before="73" w:line="221" w:lineRule="auto"/>
              <w:ind w:left="569"/>
              <w:rPr>
                <w:sz w:val="18"/>
                <w:szCs w:val="18"/>
              </w:rPr>
            </w:pPr>
            <w:r>
              <w:rPr>
                <w:spacing w:val="-2"/>
                <w:sz w:val="18"/>
                <w:szCs w:val="18"/>
              </w:rPr>
              <w:t>土石坝</w:t>
            </w:r>
          </w:p>
        </w:tc>
        <w:tc>
          <w:tcPr>
            <w:tcW w:w="1530" w:type="dxa"/>
            <w:vAlign w:val="top"/>
          </w:tcPr>
          <w:p w14:paraId="494B9812">
            <w:pPr>
              <w:pStyle w:val="6"/>
              <w:spacing w:before="89" w:line="223" w:lineRule="auto"/>
              <w:ind w:left="534"/>
              <w:rPr>
                <w:sz w:val="18"/>
                <w:szCs w:val="18"/>
              </w:rPr>
            </w:pPr>
            <w:r>
              <w:rPr>
                <w:spacing w:val="-5"/>
                <w:sz w:val="18"/>
                <w:szCs w:val="18"/>
              </w:rPr>
              <w:t>≥200</w:t>
            </w:r>
          </w:p>
        </w:tc>
        <w:tc>
          <w:tcPr>
            <w:tcW w:w="1540" w:type="dxa"/>
            <w:vAlign w:val="top"/>
          </w:tcPr>
          <w:p w14:paraId="21BCBEEE">
            <w:pPr>
              <w:pStyle w:val="6"/>
              <w:spacing w:before="90" w:line="222" w:lineRule="auto"/>
              <w:ind w:left="444"/>
              <w:rPr>
                <w:sz w:val="18"/>
                <w:szCs w:val="18"/>
              </w:rPr>
            </w:pPr>
            <w:r>
              <w:rPr>
                <w:spacing w:val="-2"/>
                <w:sz w:val="18"/>
                <w:szCs w:val="18"/>
              </w:rPr>
              <w:t>200~100</w:t>
            </w:r>
          </w:p>
        </w:tc>
        <w:tc>
          <w:tcPr>
            <w:tcW w:w="1520" w:type="dxa"/>
            <w:vAlign w:val="top"/>
          </w:tcPr>
          <w:p w14:paraId="60F51748">
            <w:pPr>
              <w:pStyle w:val="6"/>
              <w:spacing w:before="90" w:line="222" w:lineRule="auto"/>
              <w:ind w:left="434"/>
              <w:rPr>
                <w:sz w:val="18"/>
                <w:szCs w:val="18"/>
              </w:rPr>
            </w:pPr>
            <w:r>
              <w:rPr>
                <w:spacing w:val="-3"/>
                <w:sz w:val="18"/>
                <w:szCs w:val="18"/>
              </w:rPr>
              <w:t>100～50</w:t>
            </w:r>
          </w:p>
        </w:tc>
        <w:tc>
          <w:tcPr>
            <w:tcW w:w="1580" w:type="dxa"/>
            <w:tcBorders>
              <w:right w:val="nil"/>
            </w:tcBorders>
            <w:vAlign w:val="top"/>
          </w:tcPr>
          <w:p w14:paraId="2FA80742">
            <w:pPr>
              <w:pStyle w:val="6"/>
              <w:spacing w:before="90" w:line="222" w:lineRule="auto"/>
              <w:ind w:left="514"/>
              <w:rPr>
                <w:sz w:val="18"/>
                <w:szCs w:val="18"/>
              </w:rPr>
            </w:pPr>
            <w:r>
              <w:rPr>
                <w:spacing w:val="-2"/>
                <w:sz w:val="18"/>
                <w:szCs w:val="18"/>
              </w:rPr>
              <w:t>50～20</w:t>
            </w:r>
          </w:p>
        </w:tc>
      </w:tr>
      <w:tr w14:paraId="3E2FA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0" w:type="dxa"/>
            <w:tcBorders>
              <w:left w:val="nil"/>
            </w:tcBorders>
            <w:vAlign w:val="top"/>
          </w:tcPr>
          <w:p w14:paraId="0AA2906C">
            <w:pPr>
              <w:pStyle w:val="6"/>
              <w:spacing w:before="75" w:line="219" w:lineRule="auto"/>
              <w:ind w:left="29"/>
              <w:rPr>
                <w:sz w:val="18"/>
                <w:szCs w:val="18"/>
              </w:rPr>
            </w:pPr>
            <w:r>
              <w:rPr>
                <w:spacing w:val="1"/>
                <w:sz w:val="18"/>
                <w:szCs w:val="18"/>
              </w:rPr>
              <w:t>混凝土坝、浆砌石坝</w:t>
            </w:r>
          </w:p>
        </w:tc>
        <w:tc>
          <w:tcPr>
            <w:tcW w:w="1530" w:type="dxa"/>
            <w:vAlign w:val="top"/>
          </w:tcPr>
          <w:p w14:paraId="6BD11003">
            <w:pPr>
              <w:pStyle w:val="6"/>
              <w:spacing w:before="92" w:line="225" w:lineRule="auto"/>
              <w:ind w:left="534"/>
              <w:rPr>
                <w:sz w:val="18"/>
                <w:szCs w:val="18"/>
              </w:rPr>
            </w:pPr>
            <w:r>
              <w:rPr>
                <w:spacing w:val="-5"/>
                <w:sz w:val="18"/>
                <w:szCs w:val="18"/>
              </w:rPr>
              <w:t>≥100</w:t>
            </w:r>
          </w:p>
        </w:tc>
        <w:tc>
          <w:tcPr>
            <w:tcW w:w="1540" w:type="dxa"/>
            <w:vAlign w:val="top"/>
          </w:tcPr>
          <w:p w14:paraId="3985A082">
            <w:pPr>
              <w:pStyle w:val="6"/>
              <w:spacing w:before="93" w:line="224" w:lineRule="auto"/>
              <w:ind w:left="444"/>
              <w:rPr>
                <w:sz w:val="18"/>
                <w:szCs w:val="18"/>
              </w:rPr>
            </w:pPr>
            <w:r>
              <w:rPr>
                <w:spacing w:val="-3"/>
                <w:sz w:val="18"/>
                <w:szCs w:val="18"/>
              </w:rPr>
              <w:t>100～50</w:t>
            </w:r>
          </w:p>
        </w:tc>
        <w:tc>
          <w:tcPr>
            <w:tcW w:w="1520" w:type="dxa"/>
            <w:vAlign w:val="top"/>
          </w:tcPr>
          <w:p w14:paraId="659EB16B">
            <w:pPr>
              <w:pStyle w:val="6"/>
              <w:spacing w:before="93" w:line="224" w:lineRule="auto"/>
              <w:ind w:left="484"/>
              <w:rPr>
                <w:sz w:val="18"/>
                <w:szCs w:val="18"/>
              </w:rPr>
            </w:pPr>
            <w:r>
              <w:rPr>
                <w:spacing w:val="-2"/>
                <w:sz w:val="18"/>
                <w:szCs w:val="18"/>
              </w:rPr>
              <w:t>50～20</w:t>
            </w:r>
          </w:p>
        </w:tc>
        <w:tc>
          <w:tcPr>
            <w:tcW w:w="1580" w:type="dxa"/>
            <w:tcBorders>
              <w:right w:val="nil"/>
            </w:tcBorders>
            <w:vAlign w:val="top"/>
          </w:tcPr>
          <w:p w14:paraId="1E4B73D3">
            <w:pPr>
              <w:pStyle w:val="6"/>
              <w:spacing w:before="93" w:line="224" w:lineRule="auto"/>
              <w:ind w:left="514"/>
              <w:rPr>
                <w:sz w:val="18"/>
                <w:szCs w:val="18"/>
              </w:rPr>
            </w:pPr>
            <w:r>
              <w:rPr>
                <w:spacing w:val="-2"/>
                <w:sz w:val="18"/>
                <w:szCs w:val="18"/>
              </w:rPr>
              <w:t>20～10</w:t>
            </w:r>
          </w:p>
        </w:tc>
      </w:tr>
    </w:tbl>
    <w:p w14:paraId="668DC53C">
      <w:pPr>
        <w:pStyle w:val="2"/>
        <w:spacing w:line="244" w:lineRule="auto"/>
      </w:pPr>
    </w:p>
    <w:p w14:paraId="4A864DA2">
      <w:pPr>
        <w:spacing w:before="65" w:line="288" w:lineRule="auto"/>
        <w:ind w:left="1466" w:right="972" w:firstLine="400"/>
        <w:jc w:val="both"/>
        <w:rPr>
          <w:rFonts w:ascii="宋体" w:hAnsi="宋体" w:eastAsia="宋体" w:cs="宋体"/>
          <w:sz w:val="20"/>
          <w:szCs w:val="20"/>
        </w:rPr>
      </w:pPr>
      <w:r>
        <w:rPr>
          <w:rFonts w:ascii="宋体" w:hAnsi="宋体" w:eastAsia="宋体" w:cs="宋体"/>
          <w:spacing w:val="13"/>
          <w:sz w:val="20"/>
          <w:szCs w:val="20"/>
        </w:rPr>
        <w:t>水库工程导流泄水建筑物封堵期间，进口临时挡水设施的洪水标准应与相应时段</w:t>
      </w:r>
      <w:r>
        <w:rPr>
          <w:rFonts w:ascii="宋体" w:hAnsi="宋体" w:eastAsia="宋体" w:cs="宋体"/>
          <w:spacing w:val="11"/>
          <w:sz w:val="20"/>
          <w:szCs w:val="20"/>
        </w:rPr>
        <w:t xml:space="preserve"> </w:t>
      </w:r>
      <w:r>
        <w:rPr>
          <w:rFonts w:ascii="宋体" w:hAnsi="宋体" w:eastAsia="宋体" w:cs="宋体"/>
          <w:spacing w:val="7"/>
          <w:sz w:val="20"/>
          <w:szCs w:val="20"/>
        </w:rPr>
        <w:t>的大坝施工期洪水标准一致。水库工程导流泄水建筑物封堵后，如永久泄洪建筑物尚未</w:t>
      </w:r>
      <w:r>
        <w:rPr>
          <w:rFonts w:ascii="宋体" w:hAnsi="宋体" w:eastAsia="宋体" w:cs="宋体"/>
          <w:spacing w:val="3"/>
          <w:sz w:val="20"/>
          <w:szCs w:val="20"/>
        </w:rPr>
        <w:t xml:space="preserve"> </w:t>
      </w:r>
      <w:r>
        <w:rPr>
          <w:rFonts w:ascii="宋体" w:hAnsi="宋体" w:eastAsia="宋体" w:cs="宋体"/>
          <w:spacing w:val="8"/>
          <w:sz w:val="20"/>
          <w:szCs w:val="20"/>
        </w:rPr>
        <w:t>具备设计泄洪能力，坝体洪水标准应分析坝体施工和运行要求后按表1.2-9确定。</w:t>
      </w:r>
    </w:p>
    <w:p w14:paraId="44CED6DC">
      <w:pPr>
        <w:spacing w:before="144" w:line="219" w:lineRule="auto"/>
        <w:ind w:left="2509"/>
        <w:rPr>
          <w:rFonts w:ascii="宋体" w:hAnsi="宋体" w:eastAsia="宋体" w:cs="宋体"/>
          <w:sz w:val="20"/>
          <w:szCs w:val="20"/>
        </w:rPr>
      </w:pPr>
      <w:r>
        <w:rPr>
          <w:rFonts w:ascii="宋体" w:hAnsi="宋体" w:eastAsia="宋体" w:cs="宋体"/>
          <w:b/>
          <w:bCs/>
          <w:spacing w:val="-1"/>
          <w:sz w:val="20"/>
          <w:szCs w:val="20"/>
        </w:rPr>
        <w:t>表1.2-9水库工程导流泄水建筑物封堵后坝体洪水标准[重现</w:t>
      </w:r>
      <w:r>
        <w:rPr>
          <w:rFonts w:ascii="宋体" w:hAnsi="宋体" w:eastAsia="宋体" w:cs="宋体"/>
          <w:b/>
          <w:bCs/>
          <w:spacing w:val="-2"/>
          <w:sz w:val="20"/>
          <w:szCs w:val="20"/>
        </w:rPr>
        <w:t>期(年)]</w:t>
      </w:r>
    </w:p>
    <w:p w14:paraId="111FADD8">
      <w:pPr>
        <w:spacing w:line="62" w:lineRule="exact"/>
      </w:pPr>
    </w:p>
    <w:tbl>
      <w:tblPr>
        <w:tblStyle w:val="5"/>
        <w:tblW w:w="7870" w:type="dxa"/>
        <w:tblInd w:w="1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0"/>
        <w:gridCol w:w="450"/>
        <w:gridCol w:w="1890"/>
        <w:gridCol w:w="1880"/>
        <w:gridCol w:w="1950"/>
      </w:tblGrid>
      <w:tr w14:paraId="58CA5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150" w:type="dxa"/>
            <w:gridSpan w:val="2"/>
            <w:vMerge w:val="restart"/>
            <w:tcBorders>
              <w:left w:val="nil"/>
              <w:bottom w:val="nil"/>
            </w:tcBorders>
            <w:vAlign w:val="top"/>
          </w:tcPr>
          <w:p w14:paraId="4626ADCD">
            <w:pPr>
              <w:pStyle w:val="6"/>
              <w:spacing w:before="233" w:line="221" w:lineRule="auto"/>
              <w:ind w:left="900"/>
              <w:rPr>
                <w:sz w:val="18"/>
                <w:szCs w:val="18"/>
              </w:rPr>
            </w:pPr>
            <w:r>
              <w:rPr>
                <w:spacing w:val="-2"/>
                <w:sz w:val="18"/>
                <w:szCs w:val="18"/>
              </w:rPr>
              <w:t>坝型</w:t>
            </w:r>
          </w:p>
        </w:tc>
        <w:tc>
          <w:tcPr>
            <w:tcW w:w="5720" w:type="dxa"/>
            <w:gridSpan w:val="3"/>
            <w:tcBorders>
              <w:right w:val="nil"/>
            </w:tcBorders>
            <w:vAlign w:val="top"/>
          </w:tcPr>
          <w:p w14:paraId="6DCC2DD7">
            <w:pPr>
              <w:pStyle w:val="6"/>
              <w:spacing w:before="73" w:line="220" w:lineRule="auto"/>
              <w:ind w:left="2504"/>
              <w:rPr>
                <w:sz w:val="18"/>
                <w:szCs w:val="18"/>
              </w:rPr>
            </w:pPr>
            <w:r>
              <w:rPr>
                <w:spacing w:val="3"/>
                <w:sz w:val="18"/>
                <w:szCs w:val="18"/>
              </w:rPr>
              <w:t>大坝级别</w:t>
            </w:r>
          </w:p>
        </w:tc>
      </w:tr>
      <w:tr w14:paraId="4D7EC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150" w:type="dxa"/>
            <w:gridSpan w:val="2"/>
            <w:vMerge w:val="continue"/>
            <w:tcBorders>
              <w:top w:val="nil"/>
              <w:left w:val="nil"/>
            </w:tcBorders>
            <w:vAlign w:val="top"/>
          </w:tcPr>
          <w:p w14:paraId="6A044661">
            <w:pPr>
              <w:rPr>
                <w:rFonts w:ascii="Arial"/>
                <w:sz w:val="21"/>
              </w:rPr>
            </w:pPr>
          </w:p>
        </w:tc>
        <w:tc>
          <w:tcPr>
            <w:tcW w:w="1890" w:type="dxa"/>
            <w:vAlign w:val="top"/>
          </w:tcPr>
          <w:p w14:paraId="043C5A18">
            <w:pPr>
              <w:pStyle w:val="6"/>
              <w:spacing w:before="86" w:line="227" w:lineRule="auto"/>
              <w:ind w:left="894"/>
              <w:rPr>
                <w:sz w:val="18"/>
                <w:szCs w:val="18"/>
              </w:rPr>
            </w:pPr>
            <w:r>
              <w:rPr>
                <w:sz w:val="18"/>
                <w:szCs w:val="18"/>
              </w:rPr>
              <w:t>1</w:t>
            </w:r>
          </w:p>
        </w:tc>
        <w:tc>
          <w:tcPr>
            <w:tcW w:w="1880" w:type="dxa"/>
            <w:vAlign w:val="top"/>
          </w:tcPr>
          <w:p w14:paraId="5BC3B270">
            <w:pPr>
              <w:pStyle w:val="6"/>
              <w:spacing w:before="86" w:line="227" w:lineRule="auto"/>
              <w:ind w:left="884"/>
              <w:rPr>
                <w:sz w:val="18"/>
                <w:szCs w:val="18"/>
              </w:rPr>
            </w:pPr>
            <w:r>
              <w:rPr>
                <w:sz w:val="18"/>
                <w:szCs w:val="18"/>
              </w:rPr>
              <w:t>2</w:t>
            </w:r>
          </w:p>
        </w:tc>
        <w:tc>
          <w:tcPr>
            <w:tcW w:w="1950" w:type="dxa"/>
            <w:tcBorders>
              <w:right w:val="nil"/>
            </w:tcBorders>
            <w:vAlign w:val="top"/>
          </w:tcPr>
          <w:p w14:paraId="4C412457">
            <w:pPr>
              <w:pStyle w:val="6"/>
              <w:spacing w:before="86" w:line="227" w:lineRule="auto"/>
              <w:ind w:left="925"/>
              <w:rPr>
                <w:sz w:val="18"/>
                <w:szCs w:val="18"/>
              </w:rPr>
            </w:pPr>
            <w:r>
              <w:rPr>
                <w:sz w:val="18"/>
                <w:szCs w:val="18"/>
              </w:rPr>
              <w:t>3</w:t>
            </w:r>
          </w:p>
        </w:tc>
      </w:tr>
      <w:tr w14:paraId="1E6E1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700" w:type="dxa"/>
            <w:vMerge w:val="restart"/>
            <w:tcBorders>
              <w:left w:val="nil"/>
              <w:bottom w:val="nil"/>
            </w:tcBorders>
            <w:vAlign w:val="top"/>
          </w:tcPr>
          <w:p w14:paraId="722711A3">
            <w:pPr>
              <w:pStyle w:val="6"/>
              <w:spacing w:before="240" w:line="219" w:lineRule="auto"/>
              <w:ind w:left="40"/>
              <w:rPr>
                <w:sz w:val="18"/>
                <w:szCs w:val="18"/>
              </w:rPr>
            </w:pPr>
            <w:r>
              <w:rPr>
                <w:spacing w:val="1"/>
                <w:sz w:val="18"/>
                <w:szCs w:val="18"/>
              </w:rPr>
              <w:t>混凝土坝、浆砌石坝</w:t>
            </w:r>
          </w:p>
        </w:tc>
        <w:tc>
          <w:tcPr>
            <w:tcW w:w="450" w:type="dxa"/>
            <w:vAlign w:val="top"/>
          </w:tcPr>
          <w:p w14:paraId="455BBCF1">
            <w:pPr>
              <w:pStyle w:val="6"/>
              <w:spacing w:before="71" w:line="221" w:lineRule="auto"/>
              <w:ind w:right="9"/>
              <w:jc w:val="right"/>
              <w:rPr>
                <w:sz w:val="18"/>
                <w:szCs w:val="18"/>
              </w:rPr>
            </w:pPr>
            <w:r>
              <w:rPr>
                <w:spacing w:val="-3"/>
                <w:sz w:val="18"/>
                <w:szCs w:val="18"/>
              </w:rPr>
              <w:t>设计</w:t>
            </w:r>
          </w:p>
        </w:tc>
        <w:tc>
          <w:tcPr>
            <w:tcW w:w="1890" w:type="dxa"/>
            <w:vAlign w:val="top"/>
          </w:tcPr>
          <w:p w14:paraId="5E17A607">
            <w:pPr>
              <w:pStyle w:val="6"/>
              <w:spacing w:before="88" w:line="225" w:lineRule="auto"/>
              <w:ind w:left="575"/>
              <w:rPr>
                <w:sz w:val="18"/>
                <w:szCs w:val="18"/>
              </w:rPr>
            </w:pPr>
            <w:r>
              <w:rPr>
                <w:spacing w:val="-2"/>
                <w:sz w:val="18"/>
                <w:szCs w:val="18"/>
              </w:rPr>
              <w:t>200～100</w:t>
            </w:r>
          </w:p>
        </w:tc>
        <w:tc>
          <w:tcPr>
            <w:tcW w:w="1880" w:type="dxa"/>
            <w:vAlign w:val="top"/>
          </w:tcPr>
          <w:p w14:paraId="3B7DDEF8">
            <w:pPr>
              <w:pStyle w:val="6"/>
              <w:spacing w:before="88" w:line="225" w:lineRule="auto"/>
              <w:ind w:left="614"/>
              <w:rPr>
                <w:sz w:val="18"/>
                <w:szCs w:val="18"/>
              </w:rPr>
            </w:pPr>
            <w:r>
              <w:rPr>
                <w:spacing w:val="-3"/>
                <w:sz w:val="18"/>
                <w:szCs w:val="18"/>
              </w:rPr>
              <w:t>100～50</w:t>
            </w:r>
          </w:p>
        </w:tc>
        <w:tc>
          <w:tcPr>
            <w:tcW w:w="1950" w:type="dxa"/>
            <w:tcBorders>
              <w:right w:val="nil"/>
            </w:tcBorders>
            <w:vAlign w:val="top"/>
          </w:tcPr>
          <w:p w14:paraId="1265BFC9">
            <w:pPr>
              <w:pStyle w:val="6"/>
              <w:spacing w:before="88" w:line="225" w:lineRule="auto"/>
              <w:ind w:left="694"/>
              <w:rPr>
                <w:sz w:val="18"/>
                <w:szCs w:val="18"/>
              </w:rPr>
            </w:pPr>
            <w:r>
              <w:rPr>
                <w:spacing w:val="-2"/>
                <w:sz w:val="18"/>
                <w:szCs w:val="18"/>
              </w:rPr>
              <w:t>50～20</w:t>
            </w:r>
          </w:p>
        </w:tc>
      </w:tr>
      <w:tr w14:paraId="747F1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700" w:type="dxa"/>
            <w:vMerge w:val="continue"/>
            <w:tcBorders>
              <w:top w:val="nil"/>
              <w:left w:val="nil"/>
            </w:tcBorders>
            <w:vAlign w:val="top"/>
          </w:tcPr>
          <w:p w14:paraId="65F52523">
            <w:pPr>
              <w:rPr>
                <w:rFonts w:ascii="Arial"/>
                <w:sz w:val="21"/>
              </w:rPr>
            </w:pPr>
          </w:p>
        </w:tc>
        <w:tc>
          <w:tcPr>
            <w:tcW w:w="450" w:type="dxa"/>
            <w:vAlign w:val="top"/>
          </w:tcPr>
          <w:p w14:paraId="48164658">
            <w:pPr>
              <w:pStyle w:val="6"/>
              <w:spacing w:before="73" w:line="220" w:lineRule="auto"/>
              <w:ind w:right="8"/>
              <w:jc w:val="right"/>
              <w:rPr>
                <w:sz w:val="18"/>
                <w:szCs w:val="18"/>
              </w:rPr>
            </w:pPr>
            <w:r>
              <w:rPr>
                <w:spacing w:val="-2"/>
                <w:sz w:val="18"/>
                <w:szCs w:val="18"/>
              </w:rPr>
              <w:t>校核</w:t>
            </w:r>
          </w:p>
        </w:tc>
        <w:tc>
          <w:tcPr>
            <w:tcW w:w="1890" w:type="dxa"/>
            <w:vAlign w:val="top"/>
          </w:tcPr>
          <w:p w14:paraId="51BCEAA5">
            <w:pPr>
              <w:pStyle w:val="6"/>
              <w:spacing w:before="90" w:line="223" w:lineRule="auto"/>
              <w:ind w:left="625"/>
              <w:rPr>
                <w:sz w:val="18"/>
                <w:szCs w:val="18"/>
              </w:rPr>
            </w:pPr>
            <w:r>
              <w:rPr>
                <w:spacing w:val="-2"/>
                <w:sz w:val="18"/>
                <w:szCs w:val="18"/>
              </w:rPr>
              <w:t>500~200</w:t>
            </w:r>
          </w:p>
        </w:tc>
        <w:tc>
          <w:tcPr>
            <w:tcW w:w="1880" w:type="dxa"/>
            <w:vAlign w:val="top"/>
          </w:tcPr>
          <w:p w14:paraId="7A1AA5AC">
            <w:pPr>
              <w:pStyle w:val="6"/>
              <w:spacing w:before="90" w:line="223" w:lineRule="auto"/>
              <w:ind w:left="575"/>
              <w:rPr>
                <w:sz w:val="18"/>
                <w:szCs w:val="18"/>
              </w:rPr>
            </w:pPr>
            <w:r>
              <w:rPr>
                <w:spacing w:val="-2"/>
                <w:sz w:val="18"/>
                <w:szCs w:val="18"/>
              </w:rPr>
              <w:t>200～100</w:t>
            </w:r>
          </w:p>
        </w:tc>
        <w:tc>
          <w:tcPr>
            <w:tcW w:w="1950" w:type="dxa"/>
            <w:tcBorders>
              <w:right w:val="nil"/>
            </w:tcBorders>
            <w:vAlign w:val="top"/>
          </w:tcPr>
          <w:p w14:paraId="513EB4F3">
            <w:pPr>
              <w:pStyle w:val="6"/>
              <w:spacing w:before="90" w:line="223" w:lineRule="auto"/>
              <w:ind w:left="655"/>
              <w:rPr>
                <w:sz w:val="18"/>
                <w:szCs w:val="18"/>
              </w:rPr>
            </w:pPr>
            <w:r>
              <w:rPr>
                <w:spacing w:val="-3"/>
                <w:sz w:val="18"/>
                <w:szCs w:val="18"/>
              </w:rPr>
              <w:t>100～50</w:t>
            </w:r>
          </w:p>
        </w:tc>
      </w:tr>
      <w:tr w14:paraId="67A3F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700" w:type="dxa"/>
            <w:vMerge w:val="restart"/>
            <w:tcBorders>
              <w:left w:val="nil"/>
              <w:bottom w:val="nil"/>
            </w:tcBorders>
            <w:vAlign w:val="top"/>
          </w:tcPr>
          <w:p w14:paraId="0716DAD7">
            <w:pPr>
              <w:pStyle w:val="6"/>
              <w:spacing w:before="235" w:line="221" w:lineRule="auto"/>
              <w:ind w:left="579"/>
              <w:rPr>
                <w:sz w:val="18"/>
                <w:szCs w:val="18"/>
              </w:rPr>
            </w:pPr>
            <w:r>
              <w:rPr>
                <w:spacing w:val="-2"/>
                <w:sz w:val="18"/>
                <w:szCs w:val="18"/>
              </w:rPr>
              <w:t>土石坝</w:t>
            </w:r>
          </w:p>
        </w:tc>
        <w:tc>
          <w:tcPr>
            <w:tcW w:w="450" w:type="dxa"/>
            <w:vAlign w:val="top"/>
          </w:tcPr>
          <w:p w14:paraId="7A7D54F1">
            <w:pPr>
              <w:pStyle w:val="6"/>
              <w:spacing w:before="75" w:line="221" w:lineRule="auto"/>
              <w:ind w:left="54"/>
              <w:rPr>
                <w:sz w:val="18"/>
                <w:szCs w:val="18"/>
              </w:rPr>
            </w:pPr>
            <w:r>
              <w:rPr>
                <w:spacing w:val="-3"/>
                <w:sz w:val="18"/>
                <w:szCs w:val="18"/>
              </w:rPr>
              <w:t>设计</w:t>
            </w:r>
          </w:p>
        </w:tc>
        <w:tc>
          <w:tcPr>
            <w:tcW w:w="1890" w:type="dxa"/>
            <w:vAlign w:val="top"/>
          </w:tcPr>
          <w:p w14:paraId="55D3D684">
            <w:pPr>
              <w:pStyle w:val="6"/>
              <w:spacing w:before="92" w:line="222" w:lineRule="auto"/>
              <w:ind w:left="575"/>
              <w:rPr>
                <w:sz w:val="18"/>
                <w:szCs w:val="18"/>
              </w:rPr>
            </w:pPr>
            <w:r>
              <w:rPr>
                <w:spacing w:val="-2"/>
                <w:sz w:val="18"/>
                <w:szCs w:val="18"/>
              </w:rPr>
              <w:t>500～200</w:t>
            </w:r>
          </w:p>
        </w:tc>
        <w:tc>
          <w:tcPr>
            <w:tcW w:w="1880" w:type="dxa"/>
            <w:vAlign w:val="top"/>
          </w:tcPr>
          <w:p w14:paraId="3FC3652D">
            <w:pPr>
              <w:pStyle w:val="6"/>
              <w:spacing w:before="92" w:line="222" w:lineRule="auto"/>
              <w:ind w:left="575"/>
              <w:rPr>
                <w:sz w:val="18"/>
                <w:szCs w:val="18"/>
              </w:rPr>
            </w:pPr>
            <w:r>
              <w:rPr>
                <w:spacing w:val="-2"/>
                <w:sz w:val="18"/>
                <w:szCs w:val="18"/>
              </w:rPr>
              <w:t>200～100</w:t>
            </w:r>
          </w:p>
        </w:tc>
        <w:tc>
          <w:tcPr>
            <w:tcW w:w="1950" w:type="dxa"/>
            <w:tcBorders>
              <w:right w:val="nil"/>
            </w:tcBorders>
            <w:vAlign w:val="top"/>
          </w:tcPr>
          <w:p w14:paraId="4BA00E9C">
            <w:pPr>
              <w:pStyle w:val="6"/>
              <w:spacing w:before="92" w:line="222" w:lineRule="auto"/>
              <w:ind w:left="655"/>
              <w:rPr>
                <w:sz w:val="18"/>
                <w:szCs w:val="18"/>
              </w:rPr>
            </w:pPr>
            <w:r>
              <w:rPr>
                <w:spacing w:val="-3"/>
                <w:sz w:val="18"/>
                <w:szCs w:val="18"/>
              </w:rPr>
              <w:t>100～50</w:t>
            </w:r>
          </w:p>
        </w:tc>
      </w:tr>
      <w:tr w14:paraId="17E1D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700" w:type="dxa"/>
            <w:vMerge w:val="continue"/>
            <w:tcBorders>
              <w:top w:val="nil"/>
              <w:left w:val="nil"/>
            </w:tcBorders>
            <w:vAlign w:val="top"/>
          </w:tcPr>
          <w:p w14:paraId="4FA481E6">
            <w:pPr>
              <w:rPr>
                <w:rFonts w:ascii="Arial"/>
                <w:sz w:val="21"/>
              </w:rPr>
            </w:pPr>
          </w:p>
        </w:tc>
        <w:tc>
          <w:tcPr>
            <w:tcW w:w="450" w:type="dxa"/>
            <w:vAlign w:val="top"/>
          </w:tcPr>
          <w:p w14:paraId="72C6AC77">
            <w:pPr>
              <w:pStyle w:val="6"/>
              <w:spacing w:before="75" w:line="220" w:lineRule="auto"/>
              <w:ind w:right="8"/>
              <w:jc w:val="right"/>
              <w:rPr>
                <w:sz w:val="18"/>
                <w:szCs w:val="18"/>
              </w:rPr>
            </w:pPr>
            <w:r>
              <w:rPr>
                <w:spacing w:val="-2"/>
                <w:sz w:val="18"/>
                <w:szCs w:val="18"/>
              </w:rPr>
              <w:t>校核</w:t>
            </w:r>
          </w:p>
        </w:tc>
        <w:tc>
          <w:tcPr>
            <w:tcW w:w="1890" w:type="dxa"/>
            <w:vAlign w:val="top"/>
          </w:tcPr>
          <w:p w14:paraId="5DDE0C92">
            <w:pPr>
              <w:pStyle w:val="6"/>
              <w:spacing w:before="93" w:line="215" w:lineRule="auto"/>
              <w:ind w:left="575"/>
              <w:rPr>
                <w:sz w:val="18"/>
                <w:szCs w:val="18"/>
              </w:rPr>
            </w:pPr>
            <w:r>
              <w:rPr>
                <w:spacing w:val="-3"/>
                <w:sz w:val="18"/>
                <w:szCs w:val="18"/>
              </w:rPr>
              <w:t>1000~500</w:t>
            </w:r>
          </w:p>
        </w:tc>
        <w:tc>
          <w:tcPr>
            <w:tcW w:w="1880" w:type="dxa"/>
            <w:vAlign w:val="top"/>
          </w:tcPr>
          <w:p w14:paraId="3BBA4EE0">
            <w:pPr>
              <w:pStyle w:val="6"/>
              <w:spacing w:before="93" w:line="215" w:lineRule="auto"/>
              <w:ind w:left="575"/>
              <w:rPr>
                <w:sz w:val="18"/>
                <w:szCs w:val="18"/>
              </w:rPr>
            </w:pPr>
            <w:r>
              <w:rPr>
                <w:spacing w:val="-2"/>
                <w:sz w:val="18"/>
                <w:szCs w:val="18"/>
              </w:rPr>
              <w:t>500～200</w:t>
            </w:r>
          </w:p>
        </w:tc>
        <w:tc>
          <w:tcPr>
            <w:tcW w:w="1950" w:type="dxa"/>
            <w:tcBorders>
              <w:right w:val="nil"/>
            </w:tcBorders>
            <w:vAlign w:val="top"/>
          </w:tcPr>
          <w:p w14:paraId="29551203">
            <w:pPr>
              <w:pStyle w:val="6"/>
              <w:spacing w:before="93" w:line="215" w:lineRule="auto"/>
              <w:ind w:left="604"/>
              <w:rPr>
                <w:sz w:val="18"/>
                <w:szCs w:val="18"/>
              </w:rPr>
            </w:pPr>
            <w:r>
              <w:rPr>
                <w:spacing w:val="-2"/>
                <w:sz w:val="18"/>
                <w:szCs w:val="18"/>
              </w:rPr>
              <w:t>200～100</w:t>
            </w:r>
          </w:p>
        </w:tc>
      </w:tr>
    </w:tbl>
    <w:p w14:paraId="6F21E04A">
      <w:pPr>
        <w:pStyle w:val="2"/>
        <w:spacing w:line="282" w:lineRule="auto"/>
      </w:pPr>
    </w:p>
    <w:p w14:paraId="4DFD1177">
      <w:pPr>
        <w:spacing w:before="65" w:line="222" w:lineRule="auto"/>
        <w:ind w:left="1869"/>
        <w:rPr>
          <w:rFonts w:ascii="黑体" w:hAnsi="黑体" w:eastAsia="黑体" w:cs="黑体"/>
          <w:sz w:val="20"/>
          <w:szCs w:val="20"/>
        </w:rPr>
      </w:pPr>
      <w:r>
        <w:rPr>
          <w:rFonts w:ascii="黑体" w:hAnsi="黑体" w:eastAsia="黑体" w:cs="黑体"/>
          <w:b/>
          <w:bCs/>
          <w:color w:val="5080A0"/>
          <w:spacing w:val="15"/>
          <w:sz w:val="20"/>
          <w:szCs w:val="20"/>
        </w:rPr>
        <w:t>3)拦河水闸工程永久性水工建筑物</w:t>
      </w:r>
    </w:p>
    <w:p w14:paraId="366C6506">
      <w:pPr>
        <w:spacing w:before="44" w:line="279" w:lineRule="auto"/>
        <w:ind w:left="1466" w:right="973" w:firstLine="400"/>
        <w:rPr>
          <w:rFonts w:ascii="宋体" w:hAnsi="宋体" w:eastAsia="宋体" w:cs="宋体"/>
          <w:sz w:val="20"/>
          <w:szCs w:val="20"/>
        </w:rPr>
      </w:pPr>
      <w:r>
        <w:rPr>
          <w:rFonts w:ascii="宋体" w:hAnsi="宋体" w:eastAsia="宋体" w:cs="宋体"/>
          <w:spacing w:val="13"/>
          <w:sz w:val="20"/>
          <w:szCs w:val="20"/>
        </w:rPr>
        <w:t>拦河闸、挡潮闸挡水建筑物及其消能防冲建筑物设计洪(潮)水标准，应根据其建</w:t>
      </w:r>
      <w:r>
        <w:rPr>
          <w:rFonts w:ascii="宋体" w:hAnsi="宋体" w:eastAsia="宋体" w:cs="宋体"/>
          <w:sz w:val="20"/>
          <w:szCs w:val="20"/>
        </w:rPr>
        <w:t xml:space="preserve"> </w:t>
      </w:r>
      <w:r>
        <w:rPr>
          <w:rFonts w:ascii="宋体" w:hAnsi="宋体" w:eastAsia="宋体" w:cs="宋体"/>
          <w:spacing w:val="8"/>
          <w:sz w:val="20"/>
          <w:szCs w:val="20"/>
        </w:rPr>
        <w:t>筑物级别按表1.2-10确定。</w:t>
      </w:r>
    </w:p>
    <w:p w14:paraId="06514D29">
      <w:pPr>
        <w:spacing w:before="31" w:line="222" w:lineRule="auto"/>
        <w:ind w:left="1869"/>
        <w:rPr>
          <w:rFonts w:ascii="黑体" w:hAnsi="黑体" w:eastAsia="黑体" w:cs="黑体"/>
          <w:sz w:val="20"/>
          <w:szCs w:val="20"/>
        </w:rPr>
      </w:pPr>
      <w:r>
        <w:rPr>
          <w:rFonts w:ascii="黑体" w:hAnsi="黑体" w:eastAsia="黑体" w:cs="黑体"/>
          <w:b/>
          <w:bCs/>
          <w:color w:val="307090"/>
          <w:spacing w:val="19"/>
          <w:sz w:val="20"/>
          <w:szCs w:val="20"/>
        </w:rPr>
        <w:t>4)临时性水工建筑物</w:t>
      </w:r>
    </w:p>
    <w:p w14:paraId="1EB252AD">
      <w:pPr>
        <w:spacing w:before="74" w:line="219" w:lineRule="auto"/>
        <w:ind w:left="1866"/>
        <w:rPr>
          <w:rFonts w:ascii="宋体" w:hAnsi="宋体" w:eastAsia="宋体" w:cs="宋体"/>
          <w:sz w:val="20"/>
          <w:szCs w:val="20"/>
        </w:rPr>
      </w:pPr>
      <w:r>
        <w:rPr>
          <w:rFonts w:ascii="宋体" w:hAnsi="宋体" w:eastAsia="宋体" w:cs="宋体"/>
          <w:spacing w:val="12"/>
          <w:sz w:val="20"/>
          <w:szCs w:val="20"/>
        </w:rPr>
        <w:t>临时性水工建筑物的洪水标准，应根据建筑物的结构类型和级别，在表1.2-1</w:t>
      </w:r>
      <w:r>
        <w:rPr>
          <w:rFonts w:ascii="宋体" w:hAnsi="宋体" w:eastAsia="宋体" w:cs="宋体"/>
          <w:spacing w:val="11"/>
          <w:sz w:val="20"/>
          <w:szCs w:val="20"/>
        </w:rPr>
        <w:t>1的</w:t>
      </w:r>
    </w:p>
    <w:p w14:paraId="1694E841">
      <w:pPr>
        <w:spacing w:line="219" w:lineRule="auto"/>
        <w:rPr>
          <w:rFonts w:ascii="宋体" w:hAnsi="宋体" w:eastAsia="宋体" w:cs="宋体"/>
          <w:sz w:val="20"/>
          <w:szCs w:val="20"/>
        </w:rPr>
        <w:sectPr>
          <w:headerReference r:id="rId18" w:type="default"/>
          <w:footerReference r:id="rId19" w:type="default"/>
          <w:pgSz w:w="10320" w:h="14590"/>
          <w:pgMar w:top="531" w:right="7" w:bottom="267" w:left="3" w:header="0" w:footer="0" w:gutter="0"/>
          <w:cols w:space="720" w:num="1"/>
        </w:sectPr>
      </w:pPr>
    </w:p>
    <w:p w14:paraId="60BD97BE">
      <w:pPr>
        <w:spacing w:line="205" w:lineRule="auto"/>
        <w:ind w:left="310"/>
        <w:rPr>
          <w:rFonts w:ascii="宋体" w:hAnsi="宋体" w:eastAsia="宋体" w:cs="宋体"/>
          <w:sz w:val="22"/>
          <w:szCs w:val="22"/>
        </w:rPr>
      </w:pPr>
      <w:r>
        <w:rPr>
          <w:rFonts w:hint="eastAsia" w:ascii="宋体" w:hAnsi="宋体" w:eastAsia="宋体" w:cs="宋体"/>
          <w:spacing w:val="20"/>
          <w:sz w:val="22"/>
          <w:szCs w:val="22"/>
          <w:lang w:eastAsia="zh-CN"/>
        </w:rPr>
        <w:t>大鱼社区</w:t>
      </w:r>
      <w:r>
        <w:rPr>
          <w:rFonts w:ascii="宋体" w:hAnsi="宋体" w:eastAsia="宋体" w:cs="宋体"/>
          <w:spacing w:val="20"/>
          <w:sz w:val="22"/>
          <w:szCs w:val="22"/>
        </w:rPr>
        <w:t>助你备考：少走弯路，快速通关!认准</w:t>
      </w:r>
      <w:r>
        <w:rPr>
          <w:rFonts w:ascii="Times New Roman" w:hAnsi="Times New Roman" w:eastAsia="Times New Roman" w:cs="Times New Roman"/>
          <w:sz w:val="22"/>
          <w:szCs w:val="22"/>
        </w:rPr>
        <w:t>VX</w:t>
      </w:r>
      <w:r>
        <w:rPr>
          <w:rFonts w:ascii="Times New Roman" w:hAnsi="Times New Roman" w:eastAsia="Times New Roman" w:cs="Times New Roman"/>
          <w:spacing w:val="20"/>
          <w:sz w:val="22"/>
          <w:szCs w:val="22"/>
        </w:rPr>
        <w:t>:</w:t>
      </w:r>
      <w:r>
        <w:rPr>
          <w:rFonts w:hint="eastAsia" w:ascii="Times New Roman" w:hAnsi="Times New Roman" w:eastAsia="宋体" w:cs="Times New Roman"/>
          <w:sz w:val="22"/>
          <w:szCs w:val="22"/>
          <w:lang w:eastAsia="zh-CN"/>
        </w:rPr>
        <w:t>dayu_nm_cn</w:t>
      </w:r>
      <w:r>
        <w:rPr>
          <w:rFonts w:ascii="Times New Roman" w:hAnsi="Times New Roman" w:eastAsia="Times New Roman" w:cs="Times New Roman"/>
          <w:spacing w:val="20"/>
          <w:sz w:val="22"/>
          <w:szCs w:val="22"/>
        </w:rPr>
        <w:t xml:space="preserve">      </w:t>
      </w:r>
      <w:r>
        <w:rPr>
          <w:rFonts w:ascii="宋体" w:hAnsi="宋体" w:eastAsia="宋体" w:cs="宋体"/>
          <w:spacing w:val="20"/>
          <w:sz w:val="22"/>
          <w:szCs w:val="22"/>
        </w:rPr>
        <w:t>(天道酬勤，白嫖勿扰)</w:t>
      </w:r>
    </w:p>
    <w:p w14:paraId="386703AC">
      <w:pPr>
        <w:spacing w:before="49" w:line="219" w:lineRule="auto"/>
        <w:ind w:left="1369"/>
        <w:rPr>
          <w:rFonts w:hint="eastAsia" w:ascii="宋体" w:hAnsi="宋体" w:eastAsia="宋体" w:cs="宋体"/>
          <w:sz w:val="18"/>
          <w:szCs w:val="18"/>
          <w:lang w:eastAsia="zh-CN"/>
        </w:rPr>
      </w:pPr>
      <w:r>
        <w:rPr>
          <w:rFonts w:ascii="宋体" w:hAnsi="宋体" w:eastAsia="宋体" w:cs="宋体"/>
          <w:spacing w:val="18"/>
          <w:sz w:val="18"/>
          <w:szCs w:val="18"/>
        </w:rPr>
        <w:t>一建教材一套四本60元</w:t>
      </w:r>
      <w:r>
        <w:rPr>
          <w:rFonts w:ascii="宋体" w:hAnsi="宋体" w:eastAsia="宋体" w:cs="宋体"/>
          <w:spacing w:val="7"/>
          <w:sz w:val="18"/>
          <w:szCs w:val="18"/>
        </w:rPr>
        <w:t xml:space="preserve">   </w:t>
      </w:r>
      <w:r>
        <w:rPr>
          <w:rFonts w:ascii="宋体" w:hAnsi="宋体" w:eastAsia="宋体" w:cs="宋体"/>
          <w:spacing w:val="18"/>
          <w:sz w:val="18"/>
          <w:szCs w:val="18"/>
        </w:rPr>
        <w:t>群主微信</w:t>
      </w:r>
      <w:r>
        <w:rPr>
          <w:rFonts w:ascii="宋体" w:hAnsi="宋体" w:eastAsia="宋体" w:cs="宋体"/>
          <w:spacing w:val="89"/>
          <w:sz w:val="18"/>
          <w:szCs w:val="18"/>
        </w:rPr>
        <w:t xml:space="preserve"> </w:t>
      </w:r>
      <w:r>
        <w:rPr>
          <w:rFonts w:hint="eastAsia" w:ascii="Times New Roman" w:hAnsi="Times New Roman" w:eastAsia="宋体" w:cs="Times New Roman"/>
          <w:sz w:val="18"/>
          <w:szCs w:val="18"/>
          <w:lang w:eastAsia="zh-CN"/>
        </w:rPr>
        <w:t>dayu_nm_cn</w:t>
      </w:r>
      <w:r>
        <w:rPr>
          <w:rFonts w:ascii="Times New Roman" w:hAnsi="Times New Roman" w:eastAsia="Times New Roman" w:cs="Times New Roman"/>
          <w:spacing w:val="18"/>
          <w:sz w:val="18"/>
          <w:szCs w:val="18"/>
        </w:rPr>
        <w:t xml:space="preserve">         </w:t>
      </w:r>
      <w:r>
        <w:rPr>
          <w:rFonts w:ascii="宋体" w:hAnsi="宋体" w:eastAsia="宋体" w:cs="宋体"/>
          <w:spacing w:val="18"/>
          <w:sz w:val="18"/>
          <w:szCs w:val="18"/>
        </w:rPr>
        <w:t>一</w:t>
      </w:r>
      <w:r>
        <w:rPr>
          <w:rFonts w:ascii="宋体" w:hAnsi="宋体" w:eastAsia="宋体" w:cs="宋体"/>
          <w:spacing w:val="-45"/>
          <w:sz w:val="18"/>
          <w:szCs w:val="18"/>
        </w:rPr>
        <w:t xml:space="preserve"> </w:t>
      </w:r>
      <w:r>
        <w:rPr>
          <w:rFonts w:ascii="宋体" w:hAnsi="宋体" w:eastAsia="宋体" w:cs="宋体"/>
          <w:spacing w:val="18"/>
          <w:sz w:val="18"/>
          <w:szCs w:val="18"/>
        </w:rPr>
        <w:t>级建造师学习</w:t>
      </w:r>
      <w:r>
        <w:rPr>
          <w:rFonts w:ascii="宋体" w:hAnsi="宋体" w:eastAsia="宋体" w:cs="宋体"/>
          <w:spacing w:val="17"/>
          <w:sz w:val="18"/>
          <w:szCs w:val="18"/>
        </w:rPr>
        <w:t>群</w:t>
      </w:r>
      <w:r>
        <w:rPr>
          <w:rFonts w:hint="eastAsia" w:ascii="宋体" w:hAnsi="宋体" w:eastAsia="宋体" w:cs="宋体"/>
          <w:spacing w:val="17"/>
          <w:sz w:val="18"/>
          <w:szCs w:val="18"/>
          <w:lang w:eastAsia="zh-CN"/>
        </w:rPr>
        <w:t>dayu_nm_cn</w:t>
      </w:r>
    </w:p>
    <w:p w14:paraId="539C2565">
      <w:pPr>
        <w:spacing w:before="265" w:line="222" w:lineRule="auto"/>
        <w:ind w:left="1010"/>
        <w:rPr>
          <w:rFonts w:ascii="黑体" w:hAnsi="黑体" w:eastAsia="黑体" w:cs="黑体"/>
          <w:sz w:val="16"/>
          <w:szCs w:val="16"/>
        </w:rPr>
      </w:pPr>
      <w:r>
        <w:drawing>
          <wp:anchor distT="0" distB="0" distL="0" distR="0" simplePos="0" relativeHeight="251665408" behindDoc="0" locked="0" layoutInCell="1" allowOverlap="1">
            <wp:simplePos x="0" y="0"/>
            <wp:positionH relativeFrom="column">
              <wp:posOffset>631825</wp:posOffset>
            </wp:positionH>
            <wp:positionV relativeFrom="paragraph">
              <wp:posOffset>264160</wp:posOffset>
            </wp:positionV>
            <wp:extent cx="5012690" cy="635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0"/>
                    <a:stretch>
                      <a:fillRect/>
                    </a:stretch>
                  </pic:blipFill>
                  <pic:spPr>
                    <a:xfrm>
                      <a:off x="0" y="0"/>
                      <a:ext cx="5012906" cy="6350"/>
                    </a:xfrm>
                    <a:prstGeom prst="rect">
                      <a:avLst/>
                    </a:prstGeom>
                  </pic:spPr>
                </pic:pic>
              </a:graphicData>
            </a:graphic>
          </wp:anchor>
        </w:drawing>
      </w:r>
      <w:r>
        <w:rPr>
          <w:rFonts w:ascii="黑体" w:hAnsi="黑体" w:eastAsia="黑体" w:cs="黑体"/>
          <w:spacing w:val="-7"/>
          <w:sz w:val="16"/>
          <w:szCs w:val="16"/>
        </w:rPr>
        <w:t>1 6</w:t>
      </w:r>
      <w:r>
        <w:rPr>
          <w:rFonts w:ascii="黑体" w:hAnsi="黑体" w:eastAsia="黑体" w:cs="黑体"/>
          <w:spacing w:val="4"/>
          <w:sz w:val="16"/>
          <w:szCs w:val="16"/>
        </w:rPr>
        <w:t xml:space="preserve">     </w:t>
      </w:r>
      <w:r>
        <w:rPr>
          <w:rFonts w:ascii="黑体" w:hAnsi="黑体" w:eastAsia="黑体" w:cs="黑体"/>
          <w:spacing w:val="-7"/>
          <w:sz w:val="16"/>
          <w:szCs w:val="16"/>
        </w:rPr>
        <w:t>第</w:t>
      </w:r>
      <w:r>
        <w:rPr>
          <w:rFonts w:ascii="黑体" w:hAnsi="黑体" w:eastAsia="黑体" w:cs="黑体"/>
          <w:spacing w:val="18"/>
          <w:sz w:val="16"/>
          <w:szCs w:val="16"/>
        </w:rPr>
        <w:t xml:space="preserve"> </w:t>
      </w:r>
      <w:r>
        <w:rPr>
          <w:rFonts w:ascii="黑体" w:hAnsi="黑体" w:eastAsia="黑体" w:cs="黑体"/>
          <w:spacing w:val="-7"/>
          <w:sz w:val="16"/>
          <w:szCs w:val="16"/>
        </w:rPr>
        <w:t>1</w:t>
      </w:r>
      <w:r>
        <w:rPr>
          <w:rFonts w:ascii="黑体" w:hAnsi="黑体" w:eastAsia="黑体" w:cs="黑体"/>
          <w:spacing w:val="9"/>
          <w:sz w:val="16"/>
          <w:szCs w:val="16"/>
        </w:rPr>
        <w:t xml:space="preserve"> </w:t>
      </w:r>
      <w:r>
        <w:rPr>
          <w:rFonts w:ascii="黑体" w:hAnsi="黑体" w:eastAsia="黑体" w:cs="黑体"/>
          <w:spacing w:val="-7"/>
          <w:sz w:val="16"/>
          <w:szCs w:val="16"/>
        </w:rPr>
        <w:t>篇</w:t>
      </w:r>
      <w:r>
        <w:rPr>
          <w:rFonts w:ascii="黑体" w:hAnsi="黑体" w:eastAsia="黑体" w:cs="黑体"/>
          <w:spacing w:val="4"/>
          <w:sz w:val="16"/>
          <w:szCs w:val="16"/>
        </w:rPr>
        <w:t xml:space="preserve">   </w:t>
      </w:r>
      <w:r>
        <w:rPr>
          <w:rFonts w:ascii="黑体" w:hAnsi="黑体" w:eastAsia="黑体" w:cs="黑体"/>
          <w:spacing w:val="-7"/>
          <w:sz w:val="16"/>
          <w:szCs w:val="16"/>
        </w:rPr>
        <w:t>水</w:t>
      </w:r>
      <w:r>
        <w:rPr>
          <w:rFonts w:ascii="黑体" w:hAnsi="黑体" w:eastAsia="黑体" w:cs="黑体"/>
          <w:spacing w:val="11"/>
          <w:sz w:val="16"/>
          <w:szCs w:val="16"/>
        </w:rPr>
        <w:t xml:space="preserve"> </w:t>
      </w:r>
      <w:r>
        <w:rPr>
          <w:rFonts w:ascii="黑体" w:hAnsi="黑体" w:eastAsia="黑体" w:cs="黑体"/>
          <w:spacing w:val="-7"/>
          <w:sz w:val="16"/>
          <w:szCs w:val="16"/>
        </w:rPr>
        <w:t>利</w:t>
      </w:r>
      <w:r>
        <w:rPr>
          <w:rFonts w:ascii="黑体" w:hAnsi="黑体" w:eastAsia="黑体" w:cs="黑体"/>
          <w:spacing w:val="8"/>
          <w:sz w:val="16"/>
          <w:szCs w:val="16"/>
        </w:rPr>
        <w:t xml:space="preserve"> </w:t>
      </w:r>
      <w:r>
        <w:rPr>
          <w:rFonts w:ascii="黑体" w:hAnsi="黑体" w:eastAsia="黑体" w:cs="黑体"/>
          <w:spacing w:val="-7"/>
          <w:sz w:val="16"/>
          <w:szCs w:val="16"/>
        </w:rPr>
        <w:t>水</w:t>
      </w:r>
      <w:r>
        <w:rPr>
          <w:rFonts w:ascii="黑体" w:hAnsi="黑体" w:eastAsia="黑体" w:cs="黑体"/>
          <w:spacing w:val="20"/>
          <w:sz w:val="16"/>
          <w:szCs w:val="16"/>
        </w:rPr>
        <w:t xml:space="preserve"> </w:t>
      </w:r>
      <w:r>
        <w:rPr>
          <w:rFonts w:ascii="黑体" w:hAnsi="黑体" w:eastAsia="黑体" w:cs="黑体"/>
          <w:spacing w:val="-7"/>
          <w:sz w:val="16"/>
          <w:szCs w:val="16"/>
        </w:rPr>
        <w:t>电</w:t>
      </w:r>
      <w:r>
        <w:rPr>
          <w:rFonts w:ascii="黑体" w:hAnsi="黑体" w:eastAsia="黑体" w:cs="黑体"/>
          <w:spacing w:val="10"/>
          <w:sz w:val="16"/>
          <w:szCs w:val="16"/>
        </w:rPr>
        <w:t xml:space="preserve"> </w:t>
      </w:r>
      <w:r>
        <w:rPr>
          <w:rFonts w:ascii="黑体" w:hAnsi="黑体" w:eastAsia="黑体" w:cs="黑体"/>
          <w:spacing w:val="-7"/>
          <w:sz w:val="16"/>
          <w:szCs w:val="16"/>
        </w:rPr>
        <w:t>工</w:t>
      </w:r>
      <w:r>
        <w:rPr>
          <w:rFonts w:ascii="黑体" w:hAnsi="黑体" w:eastAsia="黑体" w:cs="黑体"/>
          <w:spacing w:val="8"/>
          <w:sz w:val="16"/>
          <w:szCs w:val="16"/>
        </w:rPr>
        <w:t xml:space="preserve"> </w:t>
      </w:r>
      <w:r>
        <w:rPr>
          <w:rFonts w:ascii="黑体" w:hAnsi="黑体" w:eastAsia="黑体" w:cs="黑体"/>
          <w:spacing w:val="-7"/>
          <w:sz w:val="16"/>
          <w:szCs w:val="16"/>
        </w:rPr>
        <w:t>程</w:t>
      </w:r>
      <w:r>
        <w:rPr>
          <w:rFonts w:ascii="黑体" w:hAnsi="黑体" w:eastAsia="黑体" w:cs="黑体"/>
          <w:spacing w:val="10"/>
          <w:sz w:val="16"/>
          <w:szCs w:val="16"/>
        </w:rPr>
        <w:t xml:space="preserve"> </w:t>
      </w:r>
      <w:r>
        <w:rPr>
          <w:rFonts w:ascii="黑体" w:hAnsi="黑体" w:eastAsia="黑体" w:cs="黑体"/>
          <w:spacing w:val="-7"/>
          <w:sz w:val="16"/>
          <w:szCs w:val="16"/>
        </w:rPr>
        <w:t>技</w:t>
      </w:r>
      <w:r>
        <w:rPr>
          <w:rFonts w:ascii="黑体" w:hAnsi="黑体" w:eastAsia="黑体" w:cs="黑体"/>
          <w:spacing w:val="8"/>
          <w:sz w:val="16"/>
          <w:szCs w:val="16"/>
        </w:rPr>
        <w:t xml:space="preserve"> </w:t>
      </w:r>
      <w:r>
        <w:rPr>
          <w:rFonts w:ascii="黑体" w:hAnsi="黑体" w:eastAsia="黑体" w:cs="黑体"/>
          <w:spacing w:val="-7"/>
          <w:sz w:val="16"/>
          <w:szCs w:val="16"/>
        </w:rPr>
        <w:t>术</w:t>
      </w:r>
    </w:p>
    <w:p w14:paraId="2F71BBA6">
      <w:pPr>
        <w:spacing w:before="258" w:line="218" w:lineRule="auto"/>
        <w:ind w:left="1010"/>
        <w:rPr>
          <w:rFonts w:ascii="宋体" w:hAnsi="宋体" w:eastAsia="宋体" w:cs="宋体"/>
          <w:sz w:val="20"/>
          <w:szCs w:val="20"/>
        </w:rPr>
      </w:pPr>
      <w:r>
        <w:rPr>
          <w:rFonts w:ascii="宋体" w:hAnsi="宋体" w:eastAsia="宋体" w:cs="宋体"/>
          <w:spacing w:val="5"/>
          <w:sz w:val="20"/>
          <w:szCs w:val="20"/>
        </w:rPr>
        <w:t>幅度内，合理选用。对失事后果严重的，应考虑遇超标准洪水的应急措施。</w:t>
      </w:r>
    </w:p>
    <w:p w14:paraId="31F56BD1">
      <w:pPr>
        <w:spacing w:before="193" w:line="219" w:lineRule="auto"/>
        <w:ind w:left="1833"/>
        <w:rPr>
          <w:rFonts w:ascii="宋体" w:hAnsi="宋体" w:eastAsia="宋体" w:cs="宋体"/>
          <w:sz w:val="21"/>
          <w:szCs w:val="21"/>
        </w:rPr>
      </w:pPr>
      <w:r>
        <w:rPr>
          <w:rFonts w:ascii="宋体" w:hAnsi="宋体" w:eastAsia="宋体" w:cs="宋体"/>
          <w:b/>
          <w:bCs/>
          <w:spacing w:val="-1"/>
          <w:sz w:val="21"/>
          <w:szCs w:val="21"/>
        </w:rPr>
        <w:t>表1.2-10拦河闸、挡潮闸永久性水工建筑物洪(潮)水</w:t>
      </w:r>
      <w:r>
        <w:rPr>
          <w:rFonts w:ascii="宋体" w:hAnsi="宋体" w:eastAsia="宋体" w:cs="宋体"/>
          <w:b/>
          <w:bCs/>
          <w:spacing w:val="-2"/>
          <w:sz w:val="21"/>
          <w:szCs w:val="21"/>
        </w:rPr>
        <w:t>标准[重现期(年)]</w:t>
      </w:r>
    </w:p>
    <w:p w14:paraId="0B53E616">
      <w:pPr>
        <w:spacing w:line="71" w:lineRule="exact"/>
      </w:pPr>
    </w:p>
    <w:tbl>
      <w:tblPr>
        <w:tblStyle w:val="5"/>
        <w:tblW w:w="7810" w:type="dxa"/>
        <w:tblInd w:w="10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0"/>
        <w:gridCol w:w="570"/>
        <w:gridCol w:w="1220"/>
        <w:gridCol w:w="1220"/>
        <w:gridCol w:w="1230"/>
        <w:gridCol w:w="1230"/>
        <w:gridCol w:w="1220"/>
      </w:tblGrid>
      <w:tr w14:paraId="573AC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90" w:type="dxa"/>
            <w:gridSpan w:val="2"/>
            <w:tcBorders>
              <w:left w:val="nil"/>
            </w:tcBorders>
            <w:vAlign w:val="top"/>
          </w:tcPr>
          <w:p w14:paraId="1303B0B8">
            <w:pPr>
              <w:pStyle w:val="6"/>
              <w:spacing w:before="72" w:line="219" w:lineRule="auto"/>
              <w:jc w:val="right"/>
              <w:rPr>
                <w:sz w:val="17"/>
                <w:szCs w:val="17"/>
              </w:rPr>
            </w:pPr>
            <w:r>
              <w:rPr>
                <w:spacing w:val="-4"/>
                <w:sz w:val="17"/>
                <w:szCs w:val="17"/>
              </w:rPr>
              <w:t>永久性水工建筑物级别</w:t>
            </w:r>
          </w:p>
        </w:tc>
        <w:tc>
          <w:tcPr>
            <w:tcW w:w="1220" w:type="dxa"/>
            <w:vAlign w:val="top"/>
          </w:tcPr>
          <w:p w14:paraId="08AB529F">
            <w:pPr>
              <w:pStyle w:val="6"/>
              <w:spacing w:before="89" w:line="231" w:lineRule="auto"/>
              <w:ind w:left="555"/>
              <w:rPr>
                <w:sz w:val="17"/>
                <w:szCs w:val="17"/>
              </w:rPr>
            </w:pPr>
            <w:r>
              <w:rPr>
                <w:sz w:val="17"/>
                <w:szCs w:val="17"/>
              </w:rPr>
              <w:t>1</w:t>
            </w:r>
          </w:p>
        </w:tc>
        <w:tc>
          <w:tcPr>
            <w:tcW w:w="1220" w:type="dxa"/>
            <w:vAlign w:val="top"/>
          </w:tcPr>
          <w:p w14:paraId="56E08DDE">
            <w:pPr>
              <w:pStyle w:val="6"/>
              <w:spacing w:before="89" w:line="231" w:lineRule="auto"/>
              <w:ind w:left="554"/>
              <w:rPr>
                <w:sz w:val="17"/>
                <w:szCs w:val="17"/>
              </w:rPr>
            </w:pPr>
            <w:r>
              <w:rPr>
                <w:sz w:val="17"/>
                <w:szCs w:val="17"/>
              </w:rPr>
              <w:t>2</w:t>
            </w:r>
          </w:p>
        </w:tc>
        <w:tc>
          <w:tcPr>
            <w:tcW w:w="1230" w:type="dxa"/>
            <w:vAlign w:val="top"/>
          </w:tcPr>
          <w:p w14:paraId="0048EFE5">
            <w:pPr>
              <w:pStyle w:val="6"/>
              <w:spacing w:before="89" w:line="231" w:lineRule="auto"/>
              <w:ind w:left="565"/>
              <w:rPr>
                <w:sz w:val="17"/>
                <w:szCs w:val="17"/>
              </w:rPr>
            </w:pPr>
            <w:r>
              <w:rPr>
                <w:sz w:val="17"/>
                <w:szCs w:val="17"/>
              </w:rPr>
              <w:t>3</w:t>
            </w:r>
          </w:p>
        </w:tc>
        <w:tc>
          <w:tcPr>
            <w:tcW w:w="1230" w:type="dxa"/>
            <w:vAlign w:val="top"/>
          </w:tcPr>
          <w:p w14:paraId="10494F34">
            <w:pPr>
              <w:pStyle w:val="6"/>
              <w:spacing w:before="89" w:line="231" w:lineRule="auto"/>
              <w:ind w:left="565"/>
              <w:rPr>
                <w:sz w:val="17"/>
                <w:szCs w:val="17"/>
              </w:rPr>
            </w:pPr>
            <w:r>
              <w:rPr>
                <w:sz w:val="17"/>
                <w:szCs w:val="17"/>
              </w:rPr>
              <w:t>4</w:t>
            </w:r>
          </w:p>
        </w:tc>
        <w:tc>
          <w:tcPr>
            <w:tcW w:w="1220" w:type="dxa"/>
            <w:tcBorders>
              <w:right w:val="nil"/>
            </w:tcBorders>
            <w:vAlign w:val="top"/>
          </w:tcPr>
          <w:p w14:paraId="622CB4A0">
            <w:pPr>
              <w:pStyle w:val="6"/>
              <w:spacing w:before="89" w:line="231" w:lineRule="auto"/>
              <w:ind w:left="555"/>
              <w:rPr>
                <w:sz w:val="17"/>
                <w:szCs w:val="17"/>
              </w:rPr>
            </w:pPr>
            <w:r>
              <w:rPr>
                <w:sz w:val="17"/>
                <w:szCs w:val="17"/>
              </w:rPr>
              <w:t>5</w:t>
            </w:r>
          </w:p>
        </w:tc>
      </w:tr>
      <w:tr w14:paraId="70D7B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120" w:type="dxa"/>
            <w:vMerge w:val="restart"/>
            <w:tcBorders>
              <w:left w:val="nil"/>
              <w:bottom w:val="nil"/>
            </w:tcBorders>
            <w:vAlign w:val="top"/>
          </w:tcPr>
          <w:p w14:paraId="7D3D9D29">
            <w:pPr>
              <w:pStyle w:val="6"/>
              <w:spacing w:before="240" w:line="219" w:lineRule="auto"/>
              <w:ind w:left="240"/>
              <w:rPr>
                <w:sz w:val="17"/>
                <w:szCs w:val="17"/>
              </w:rPr>
            </w:pPr>
            <w:r>
              <w:rPr>
                <w:spacing w:val="-2"/>
                <w:sz w:val="17"/>
                <w:szCs w:val="17"/>
              </w:rPr>
              <w:t>洪水标准</w:t>
            </w:r>
          </w:p>
        </w:tc>
        <w:tc>
          <w:tcPr>
            <w:tcW w:w="570" w:type="dxa"/>
            <w:vAlign w:val="top"/>
          </w:tcPr>
          <w:p w14:paraId="52C7613F">
            <w:pPr>
              <w:pStyle w:val="6"/>
              <w:spacing w:before="80" w:line="221" w:lineRule="auto"/>
              <w:ind w:left="105"/>
              <w:rPr>
                <w:sz w:val="17"/>
                <w:szCs w:val="17"/>
              </w:rPr>
            </w:pPr>
            <w:r>
              <w:rPr>
                <w:spacing w:val="-3"/>
                <w:sz w:val="17"/>
                <w:szCs w:val="17"/>
              </w:rPr>
              <w:t>设计</w:t>
            </w:r>
          </w:p>
        </w:tc>
        <w:tc>
          <w:tcPr>
            <w:tcW w:w="1220" w:type="dxa"/>
            <w:vAlign w:val="top"/>
          </w:tcPr>
          <w:p w14:paraId="2D53F2A3">
            <w:pPr>
              <w:pStyle w:val="6"/>
              <w:spacing w:before="96"/>
              <w:ind w:left="305"/>
              <w:rPr>
                <w:sz w:val="17"/>
                <w:szCs w:val="17"/>
              </w:rPr>
            </w:pPr>
            <w:r>
              <w:rPr>
                <w:spacing w:val="-3"/>
                <w:sz w:val="17"/>
                <w:szCs w:val="17"/>
              </w:rPr>
              <w:t>100～50</w:t>
            </w:r>
          </w:p>
        </w:tc>
        <w:tc>
          <w:tcPr>
            <w:tcW w:w="1220" w:type="dxa"/>
            <w:vAlign w:val="top"/>
          </w:tcPr>
          <w:p w14:paraId="583535BE">
            <w:pPr>
              <w:pStyle w:val="6"/>
              <w:spacing w:before="96"/>
              <w:ind w:left="345"/>
              <w:rPr>
                <w:sz w:val="17"/>
                <w:szCs w:val="17"/>
              </w:rPr>
            </w:pPr>
            <w:r>
              <w:rPr>
                <w:spacing w:val="-2"/>
                <w:sz w:val="17"/>
                <w:szCs w:val="17"/>
              </w:rPr>
              <w:t>50～30</w:t>
            </w:r>
          </w:p>
        </w:tc>
        <w:tc>
          <w:tcPr>
            <w:tcW w:w="1230" w:type="dxa"/>
            <w:vAlign w:val="top"/>
          </w:tcPr>
          <w:p w14:paraId="36B92419">
            <w:pPr>
              <w:pStyle w:val="6"/>
              <w:spacing w:before="96"/>
              <w:ind w:left="355"/>
              <w:rPr>
                <w:sz w:val="17"/>
                <w:szCs w:val="17"/>
              </w:rPr>
            </w:pPr>
            <w:r>
              <w:rPr>
                <w:spacing w:val="-2"/>
                <w:sz w:val="17"/>
                <w:szCs w:val="17"/>
              </w:rPr>
              <w:t>30～20</w:t>
            </w:r>
          </w:p>
        </w:tc>
        <w:tc>
          <w:tcPr>
            <w:tcW w:w="1230" w:type="dxa"/>
            <w:vAlign w:val="top"/>
          </w:tcPr>
          <w:p w14:paraId="62BD3E7C">
            <w:pPr>
              <w:pStyle w:val="6"/>
              <w:spacing w:before="96"/>
              <w:ind w:left="355"/>
              <w:rPr>
                <w:sz w:val="17"/>
                <w:szCs w:val="17"/>
              </w:rPr>
            </w:pPr>
            <w:r>
              <w:rPr>
                <w:spacing w:val="-2"/>
                <w:sz w:val="17"/>
                <w:szCs w:val="17"/>
              </w:rPr>
              <w:t>20～10</w:t>
            </w:r>
          </w:p>
        </w:tc>
        <w:tc>
          <w:tcPr>
            <w:tcW w:w="1220" w:type="dxa"/>
            <w:tcBorders>
              <w:right w:val="nil"/>
            </w:tcBorders>
            <w:vAlign w:val="top"/>
          </w:tcPr>
          <w:p w14:paraId="6A422551">
            <w:pPr>
              <w:pStyle w:val="6"/>
              <w:spacing w:before="96"/>
              <w:ind w:left="515"/>
              <w:rPr>
                <w:sz w:val="17"/>
                <w:szCs w:val="17"/>
              </w:rPr>
            </w:pPr>
            <w:r>
              <w:rPr>
                <w:spacing w:val="-5"/>
                <w:sz w:val="17"/>
                <w:szCs w:val="17"/>
              </w:rPr>
              <w:t>10</w:t>
            </w:r>
          </w:p>
        </w:tc>
      </w:tr>
      <w:tr w14:paraId="5645F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20" w:type="dxa"/>
            <w:vMerge w:val="continue"/>
            <w:tcBorders>
              <w:top w:val="nil"/>
              <w:left w:val="nil"/>
            </w:tcBorders>
            <w:vAlign w:val="top"/>
          </w:tcPr>
          <w:p w14:paraId="7B8631A1">
            <w:pPr>
              <w:rPr>
                <w:rFonts w:ascii="Arial"/>
                <w:sz w:val="21"/>
              </w:rPr>
            </w:pPr>
          </w:p>
        </w:tc>
        <w:tc>
          <w:tcPr>
            <w:tcW w:w="570" w:type="dxa"/>
            <w:vAlign w:val="top"/>
          </w:tcPr>
          <w:p w14:paraId="1D6CF06E">
            <w:pPr>
              <w:pStyle w:val="6"/>
              <w:spacing w:before="72" w:line="220" w:lineRule="auto"/>
              <w:ind w:left="105"/>
              <w:rPr>
                <w:sz w:val="17"/>
                <w:szCs w:val="17"/>
              </w:rPr>
            </w:pPr>
            <w:r>
              <w:rPr>
                <w:spacing w:val="-2"/>
                <w:sz w:val="17"/>
                <w:szCs w:val="17"/>
              </w:rPr>
              <w:t>校核</w:t>
            </w:r>
          </w:p>
        </w:tc>
        <w:tc>
          <w:tcPr>
            <w:tcW w:w="1220" w:type="dxa"/>
            <w:vAlign w:val="top"/>
          </w:tcPr>
          <w:p w14:paraId="7B8AE286">
            <w:pPr>
              <w:pStyle w:val="6"/>
              <w:spacing w:before="88" w:line="227" w:lineRule="auto"/>
              <w:ind w:left="265"/>
              <w:rPr>
                <w:sz w:val="17"/>
                <w:szCs w:val="17"/>
              </w:rPr>
            </w:pPr>
            <w:r>
              <w:rPr>
                <w:spacing w:val="-2"/>
                <w:sz w:val="17"/>
                <w:szCs w:val="17"/>
              </w:rPr>
              <w:t>300～200</w:t>
            </w:r>
          </w:p>
        </w:tc>
        <w:tc>
          <w:tcPr>
            <w:tcW w:w="1220" w:type="dxa"/>
            <w:vAlign w:val="top"/>
          </w:tcPr>
          <w:p w14:paraId="27D72BB7">
            <w:pPr>
              <w:pStyle w:val="6"/>
              <w:spacing w:before="88" w:line="227" w:lineRule="auto"/>
              <w:ind w:left="265"/>
              <w:rPr>
                <w:sz w:val="17"/>
                <w:szCs w:val="17"/>
              </w:rPr>
            </w:pPr>
            <w:r>
              <w:rPr>
                <w:spacing w:val="-2"/>
                <w:sz w:val="17"/>
                <w:szCs w:val="17"/>
              </w:rPr>
              <w:t>200～100</w:t>
            </w:r>
          </w:p>
        </w:tc>
        <w:tc>
          <w:tcPr>
            <w:tcW w:w="1230" w:type="dxa"/>
            <w:vAlign w:val="top"/>
          </w:tcPr>
          <w:p w14:paraId="07EC1DA2">
            <w:pPr>
              <w:pStyle w:val="6"/>
              <w:spacing w:before="88" w:line="227" w:lineRule="auto"/>
              <w:ind w:left="305"/>
              <w:rPr>
                <w:sz w:val="17"/>
                <w:szCs w:val="17"/>
              </w:rPr>
            </w:pPr>
            <w:r>
              <w:rPr>
                <w:spacing w:val="-3"/>
                <w:sz w:val="17"/>
                <w:szCs w:val="17"/>
              </w:rPr>
              <w:t>100～50</w:t>
            </w:r>
          </w:p>
        </w:tc>
        <w:tc>
          <w:tcPr>
            <w:tcW w:w="1230" w:type="dxa"/>
            <w:vAlign w:val="top"/>
          </w:tcPr>
          <w:p w14:paraId="010DE5A1">
            <w:pPr>
              <w:pStyle w:val="6"/>
              <w:spacing w:before="88" w:line="227" w:lineRule="auto"/>
              <w:ind w:left="355"/>
              <w:rPr>
                <w:sz w:val="17"/>
                <w:szCs w:val="17"/>
              </w:rPr>
            </w:pPr>
            <w:r>
              <w:rPr>
                <w:spacing w:val="-2"/>
                <w:sz w:val="17"/>
                <w:szCs w:val="17"/>
              </w:rPr>
              <w:t>50～30</w:t>
            </w:r>
          </w:p>
        </w:tc>
        <w:tc>
          <w:tcPr>
            <w:tcW w:w="1220" w:type="dxa"/>
            <w:tcBorders>
              <w:right w:val="nil"/>
            </w:tcBorders>
            <w:vAlign w:val="top"/>
          </w:tcPr>
          <w:p w14:paraId="34F19F7E">
            <w:pPr>
              <w:pStyle w:val="6"/>
              <w:spacing w:before="88" w:line="227" w:lineRule="auto"/>
              <w:ind w:left="344"/>
              <w:rPr>
                <w:sz w:val="17"/>
                <w:szCs w:val="17"/>
              </w:rPr>
            </w:pPr>
            <w:r>
              <w:rPr>
                <w:spacing w:val="-2"/>
                <w:sz w:val="17"/>
                <w:szCs w:val="17"/>
              </w:rPr>
              <w:t>30～20</w:t>
            </w:r>
          </w:p>
        </w:tc>
      </w:tr>
      <w:tr w14:paraId="57626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0" w:type="dxa"/>
            <w:gridSpan w:val="2"/>
            <w:tcBorders>
              <w:left w:val="nil"/>
            </w:tcBorders>
            <w:vAlign w:val="top"/>
          </w:tcPr>
          <w:p w14:paraId="1DF67DC5">
            <w:pPr>
              <w:pStyle w:val="6"/>
              <w:spacing w:before="84" w:line="219" w:lineRule="auto"/>
              <w:ind w:left="500"/>
              <w:rPr>
                <w:sz w:val="17"/>
                <w:szCs w:val="17"/>
              </w:rPr>
            </w:pPr>
            <w:r>
              <w:rPr>
                <w:spacing w:val="-2"/>
                <w:sz w:val="17"/>
                <w:szCs w:val="17"/>
              </w:rPr>
              <w:t>潮水标准</w:t>
            </w:r>
          </w:p>
        </w:tc>
        <w:tc>
          <w:tcPr>
            <w:tcW w:w="1220" w:type="dxa"/>
            <w:vAlign w:val="top"/>
          </w:tcPr>
          <w:p w14:paraId="7A0A64A1">
            <w:pPr>
              <w:pStyle w:val="6"/>
              <w:spacing w:before="100" w:line="230" w:lineRule="auto"/>
              <w:ind w:left="384"/>
              <w:rPr>
                <w:sz w:val="17"/>
                <w:szCs w:val="17"/>
              </w:rPr>
            </w:pPr>
            <w:r>
              <w:rPr>
                <w:spacing w:val="-5"/>
                <w:sz w:val="17"/>
                <w:szCs w:val="17"/>
              </w:rPr>
              <w:t>≥100</w:t>
            </w:r>
          </w:p>
        </w:tc>
        <w:tc>
          <w:tcPr>
            <w:tcW w:w="1220" w:type="dxa"/>
            <w:vAlign w:val="top"/>
          </w:tcPr>
          <w:p w14:paraId="38AADE16">
            <w:pPr>
              <w:pStyle w:val="6"/>
              <w:spacing w:before="101" w:line="229" w:lineRule="auto"/>
              <w:ind w:left="305"/>
              <w:rPr>
                <w:sz w:val="17"/>
                <w:szCs w:val="17"/>
              </w:rPr>
            </w:pPr>
            <w:r>
              <w:rPr>
                <w:spacing w:val="-3"/>
                <w:sz w:val="17"/>
                <w:szCs w:val="17"/>
              </w:rPr>
              <w:t>100～50</w:t>
            </w:r>
          </w:p>
        </w:tc>
        <w:tc>
          <w:tcPr>
            <w:tcW w:w="1230" w:type="dxa"/>
            <w:vAlign w:val="top"/>
          </w:tcPr>
          <w:p w14:paraId="2B5CFFCC">
            <w:pPr>
              <w:pStyle w:val="6"/>
              <w:spacing w:before="101" w:line="229" w:lineRule="auto"/>
              <w:ind w:left="355"/>
              <w:rPr>
                <w:sz w:val="17"/>
                <w:szCs w:val="17"/>
              </w:rPr>
            </w:pPr>
            <w:r>
              <w:rPr>
                <w:spacing w:val="-2"/>
                <w:sz w:val="17"/>
                <w:szCs w:val="17"/>
              </w:rPr>
              <w:t>50～30</w:t>
            </w:r>
          </w:p>
        </w:tc>
        <w:tc>
          <w:tcPr>
            <w:tcW w:w="1230" w:type="dxa"/>
            <w:vAlign w:val="top"/>
          </w:tcPr>
          <w:p w14:paraId="0C15C2BC">
            <w:pPr>
              <w:pStyle w:val="6"/>
              <w:spacing w:before="101" w:line="229" w:lineRule="auto"/>
              <w:ind w:left="355"/>
              <w:rPr>
                <w:sz w:val="17"/>
                <w:szCs w:val="17"/>
              </w:rPr>
            </w:pPr>
            <w:r>
              <w:rPr>
                <w:spacing w:val="-2"/>
                <w:sz w:val="17"/>
                <w:szCs w:val="17"/>
              </w:rPr>
              <w:t>30～20</w:t>
            </w:r>
          </w:p>
        </w:tc>
        <w:tc>
          <w:tcPr>
            <w:tcW w:w="1220" w:type="dxa"/>
            <w:tcBorders>
              <w:right w:val="nil"/>
            </w:tcBorders>
            <w:vAlign w:val="top"/>
          </w:tcPr>
          <w:p w14:paraId="6285B16D">
            <w:pPr>
              <w:pStyle w:val="6"/>
              <w:spacing w:before="101" w:line="229" w:lineRule="auto"/>
              <w:ind w:left="344"/>
              <w:rPr>
                <w:sz w:val="17"/>
                <w:szCs w:val="17"/>
              </w:rPr>
            </w:pPr>
            <w:r>
              <w:rPr>
                <w:spacing w:val="-2"/>
                <w:sz w:val="17"/>
                <w:szCs w:val="17"/>
              </w:rPr>
              <w:t>20～10</w:t>
            </w:r>
          </w:p>
        </w:tc>
      </w:tr>
    </w:tbl>
    <w:p w14:paraId="74B14C0C">
      <w:pPr>
        <w:spacing w:before="210" w:line="219" w:lineRule="auto"/>
        <w:ind w:left="2762"/>
        <w:rPr>
          <w:rFonts w:ascii="宋体" w:hAnsi="宋体" w:eastAsia="宋体" w:cs="宋体"/>
          <w:sz w:val="21"/>
          <w:szCs w:val="21"/>
        </w:rPr>
      </w:pPr>
      <w:r>
        <w:rPr>
          <w:rFonts w:ascii="宋体" w:hAnsi="宋体" w:eastAsia="宋体" w:cs="宋体"/>
          <w:b/>
          <w:bCs/>
          <w:spacing w:val="-1"/>
          <w:sz w:val="21"/>
          <w:szCs w:val="21"/>
        </w:rPr>
        <w:t>表1.2-11临时性水工建筑物洪水标准[重现期(年)]</w:t>
      </w:r>
    </w:p>
    <w:p w14:paraId="6774713D">
      <w:pPr>
        <w:spacing w:line="40" w:lineRule="exact"/>
      </w:pPr>
    </w:p>
    <w:tbl>
      <w:tblPr>
        <w:tblStyle w:val="5"/>
        <w:tblW w:w="7800" w:type="dxa"/>
        <w:tblInd w:w="10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3"/>
        <w:gridCol w:w="2038"/>
        <w:gridCol w:w="2027"/>
        <w:gridCol w:w="2042"/>
      </w:tblGrid>
      <w:tr w14:paraId="0A7E6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3" w:type="dxa"/>
            <w:vMerge w:val="restart"/>
            <w:tcBorders>
              <w:bottom w:val="nil"/>
            </w:tcBorders>
            <w:vAlign w:val="top"/>
          </w:tcPr>
          <w:p w14:paraId="772D815B">
            <w:pPr>
              <w:pStyle w:val="6"/>
              <w:spacing w:before="251" w:line="219" w:lineRule="auto"/>
              <w:ind w:left="195"/>
              <w:rPr>
                <w:sz w:val="16"/>
                <w:szCs w:val="16"/>
              </w:rPr>
            </w:pPr>
            <w:r>
              <w:rPr>
                <w:spacing w:val="1"/>
                <w:sz w:val="16"/>
                <w:szCs w:val="16"/>
              </w:rPr>
              <w:t>临时性建筑物类型</w:t>
            </w:r>
          </w:p>
        </w:tc>
        <w:tc>
          <w:tcPr>
            <w:tcW w:w="6107" w:type="dxa"/>
            <w:gridSpan w:val="3"/>
            <w:vAlign w:val="top"/>
          </w:tcPr>
          <w:p w14:paraId="780F9CAB">
            <w:pPr>
              <w:pStyle w:val="6"/>
              <w:spacing w:before="79" w:line="219" w:lineRule="auto"/>
              <w:ind w:left="2234"/>
              <w:rPr>
                <w:sz w:val="16"/>
                <w:szCs w:val="16"/>
              </w:rPr>
            </w:pPr>
            <w:r>
              <w:rPr>
                <w:b/>
                <w:bCs/>
                <w:spacing w:val="-1"/>
                <w:sz w:val="16"/>
                <w:szCs w:val="16"/>
              </w:rPr>
              <w:t>临时性水工建筑物级别</w:t>
            </w:r>
          </w:p>
        </w:tc>
      </w:tr>
      <w:tr w14:paraId="60BAB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693" w:type="dxa"/>
            <w:vMerge w:val="continue"/>
            <w:tcBorders>
              <w:top w:val="nil"/>
            </w:tcBorders>
            <w:vAlign w:val="top"/>
          </w:tcPr>
          <w:p w14:paraId="0A46A4A2">
            <w:pPr>
              <w:rPr>
                <w:rFonts w:ascii="Arial"/>
                <w:sz w:val="21"/>
              </w:rPr>
            </w:pPr>
          </w:p>
        </w:tc>
        <w:tc>
          <w:tcPr>
            <w:tcW w:w="2038" w:type="dxa"/>
            <w:vAlign w:val="top"/>
          </w:tcPr>
          <w:p w14:paraId="44A7A5B5">
            <w:pPr>
              <w:pStyle w:val="6"/>
              <w:spacing w:before="95"/>
              <w:ind w:left="971"/>
              <w:rPr>
                <w:sz w:val="16"/>
                <w:szCs w:val="16"/>
              </w:rPr>
            </w:pPr>
            <w:r>
              <w:rPr>
                <w:sz w:val="16"/>
                <w:szCs w:val="16"/>
              </w:rPr>
              <w:t>3</w:t>
            </w:r>
          </w:p>
        </w:tc>
        <w:tc>
          <w:tcPr>
            <w:tcW w:w="2027" w:type="dxa"/>
            <w:vAlign w:val="top"/>
          </w:tcPr>
          <w:p w14:paraId="36489BAC">
            <w:pPr>
              <w:pStyle w:val="6"/>
              <w:spacing w:before="95" w:line="241" w:lineRule="auto"/>
              <w:ind w:left="964"/>
              <w:rPr>
                <w:sz w:val="16"/>
                <w:szCs w:val="16"/>
              </w:rPr>
            </w:pPr>
            <w:r>
              <w:rPr>
                <w:sz w:val="16"/>
                <w:szCs w:val="16"/>
              </w:rPr>
              <w:t>4</w:t>
            </w:r>
          </w:p>
        </w:tc>
        <w:tc>
          <w:tcPr>
            <w:tcW w:w="2042" w:type="dxa"/>
            <w:vAlign w:val="top"/>
          </w:tcPr>
          <w:p w14:paraId="0A9079FE">
            <w:pPr>
              <w:pStyle w:val="6"/>
              <w:spacing w:before="95"/>
              <w:ind w:left="976"/>
              <w:rPr>
                <w:sz w:val="16"/>
                <w:szCs w:val="16"/>
              </w:rPr>
            </w:pPr>
            <w:r>
              <w:rPr>
                <w:sz w:val="16"/>
                <w:szCs w:val="16"/>
              </w:rPr>
              <w:t>5</w:t>
            </w:r>
          </w:p>
        </w:tc>
      </w:tr>
      <w:tr w14:paraId="4B210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693" w:type="dxa"/>
            <w:vAlign w:val="top"/>
          </w:tcPr>
          <w:p w14:paraId="07D1F419">
            <w:pPr>
              <w:pStyle w:val="6"/>
              <w:spacing w:before="82" w:line="220" w:lineRule="auto"/>
              <w:ind w:left="515"/>
              <w:rPr>
                <w:sz w:val="16"/>
                <w:szCs w:val="16"/>
              </w:rPr>
            </w:pPr>
            <w:r>
              <w:rPr>
                <w:spacing w:val="-2"/>
                <w:sz w:val="16"/>
                <w:szCs w:val="16"/>
              </w:rPr>
              <w:t>土石结构</w:t>
            </w:r>
          </w:p>
        </w:tc>
        <w:tc>
          <w:tcPr>
            <w:tcW w:w="2038" w:type="dxa"/>
            <w:vAlign w:val="top"/>
          </w:tcPr>
          <w:p w14:paraId="00A95B12">
            <w:pPr>
              <w:pStyle w:val="6"/>
              <w:spacing w:before="97"/>
              <w:ind w:left="771"/>
              <w:rPr>
                <w:sz w:val="16"/>
                <w:szCs w:val="16"/>
              </w:rPr>
            </w:pPr>
            <w:r>
              <w:rPr>
                <w:spacing w:val="-2"/>
                <w:sz w:val="16"/>
                <w:szCs w:val="16"/>
              </w:rPr>
              <w:t>50～20</w:t>
            </w:r>
          </w:p>
        </w:tc>
        <w:tc>
          <w:tcPr>
            <w:tcW w:w="2027" w:type="dxa"/>
            <w:vAlign w:val="top"/>
          </w:tcPr>
          <w:p w14:paraId="36EE257A">
            <w:pPr>
              <w:pStyle w:val="6"/>
              <w:spacing w:before="97"/>
              <w:ind w:left="764"/>
              <w:rPr>
                <w:sz w:val="16"/>
                <w:szCs w:val="16"/>
              </w:rPr>
            </w:pPr>
            <w:r>
              <w:rPr>
                <w:spacing w:val="-2"/>
                <w:sz w:val="16"/>
                <w:szCs w:val="16"/>
              </w:rPr>
              <w:t>20～10</w:t>
            </w:r>
          </w:p>
        </w:tc>
        <w:tc>
          <w:tcPr>
            <w:tcW w:w="2042" w:type="dxa"/>
            <w:vAlign w:val="top"/>
          </w:tcPr>
          <w:p w14:paraId="2185C069">
            <w:pPr>
              <w:pStyle w:val="6"/>
              <w:spacing w:before="97"/>
              <w:ind w:left="817"/>
              <w:rPr>
                <w:sz w:val="16"/>
                <w:szCs w:val="16"/>
              </w:rPr>
            </w:pPr>
            <w:r>
              <w:rPr>
                <w:spacing w:val="-4"/>
                <w:sz w:val="16"/>
                <w:szCs w:val="16"/>
              </w:rPr>
              <w:t>10～5</w:t>
            </w:r>
          </w:p>
        </w:tc>
      </w:tr>
      <w:tr w14:paraId="64713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93" w:type="dxa"/>
            <w:vAlign w:val="top"/>
          </w:tcPr>
          <w:p w14:paraId="5711C743">
            <w:pPr>
              <w:pStyle w:val="6"/>
              <w:spacing w:before="83" w:line="219" w:lineRule="auto"/>
              <w:ind w:left="115"/>
              <w:rPr>
                <w:sz w:val="16"/>
                <w:szCs w:val="16"/>
              </w:rPr>
            </w:pPr>
            <w:r>
              <w:rPr>
                <w:spacing w:val="-1"/>
                <w:sz w:val="16"/>
                <w:szCs w:val="16"/>
              </w:rPr>
              <w:t>混凝土、浆砌石结构</w:t>
            </w:r>
          </w:p>
        </w:tc>
        <w:tc>
          <w:tcPr>
            <w:tcW w:w="2038" w:type="dxa"/>
            <w:vAlign w:val="top"/>
          </w:tcPr>
          <w:p w14:paraId="70D9F170">
            <w:pPr>
              <w:pStyle w:val="6"/>
              <w:spacing w:before="100" w:line="233" w:lineRule="auto"/>
              <w:ind w:left="771"/>
              <w:rPr>
                <w:sz w:val="16"/>
                <w:szCs w:val="16"/>
              </w:rPr>
            </w:pPr>
            <w:r>
              <w:rPr>
                <w:spacing w:val="-2"/>
                <w:sz w:val="16"/>
                <w:szCs w:val="16"/>
              </w:rPr>
              <w:t>20～10</w:t>
            </w:r>
          </w:p>
        </w:tc>
        <w:tc>
          <w:tcPr>
            <w:tcW w:w="2027" w:type="dxa"/>
            <w:vAlign w:val="top"/>
          </w:tcPr>
          <w:p w14:paraId="47E90694">
            <w:pPr>
              <w:pStyle w:val="6"/>
              <w:spacing w:before="100" w:line="233" w:lineRule="auto"/>
              <w:ind w:left="804"/>
              <w:rPr>
                <w:sz w:val="16"/>
                <w:szCs w:val="16"/>
              </w:rPr>
            </w:pPr>
            <w:r>
              <w:rPr>
                <w:spacing w:val="-4"/>
                <w:sz w:val="16"/>
                <w:szCs w:val="16"/>
              </w:rPr>
              <w:t>10～5</w:t>
            </w:r>
          </w:p>
        </w:tc>
        <w:tc>
          <w:tcPr>
            <w:tcW w:w="2042" w:type="dxa"/>
            <w:vAlign w:val="top"/>
          </w:tcPr>
          <w:p w14:paraId="4E828705">
            <w:pPr>
              <w:pStyle w:val="6"/>
              <w:spacing w:before="100" w:line="233" w:lineRule="auto"/>
              <w:ind w:left="857"/>
              <w:rPr>
                <w:sz w:val="16"/>
                <w:szCs w:val="16"/>
              </w:rPr>
            </w:pPr>
            <w:r>
              <w:rPr>
                <w:spacing w:val="-3"/>
                <w:sz w:val="16"/>
                <w:szCs w:val="16"/>
              </w:rPr>
              <w:t>5～3</w:t>
            </w:r>
          </w:p>
        </w:tc>
      </w:tr>
    </w:tbl>
    <w:p w14:paraId="5BC365A2">
      <w:pPr>
        <w:pStyle w:val="2"/>
        <w:spacing w:line="262" w:lineRule="auto"/>
      </w:pPr>
    </w:p>
    <w:p w14:paraId="7F32B5B6">
      <w:pPr>
        <w:spacing w:before="65" w:line="221" w:lineRule="auto"/>
        <w:ind w:left="1442"/>
        <w:rPr>
          <w:rFonts w:ascii="黑体" w:hAnsi="黑体" w:eastAsia="黑体" w:cs="黑体"/>
          <w:sz w:val="20"/>
          <w:szCs w:val="20"/>
        </w:rPr>
      </w:pPr>
      <w:r>
        <w:rPr>
          <w:rFonts w:ascii="宋体" w:hAnsi="宋体" w:eastAsia="宋体" w:cs="宋体"/>
          <w:b/>
          <w:bCs/>
          <w:color w:val="3090A0"/>
          <w:spacing w:val="15"/>
          <w:sz w:val="20"/>
          <w:szCs w:val="20"/>
        </w:rPr>
        <w:t>4.</w:t>
      </w:r>
      <w:r>
        <w:rPr>
          <w:rFonts w:ascii="宋体" w:hAnsi="宋体" w:eastAsia="宋体" w:cs="宋体"/>
          <w:color w:val="3090A0"/>
          <w:spacing w:val="-36"/>
          <w:sz w:val="20"/>
          <w:szCs w:val="20"/>
        </w:rPr>
        <w:t xml:space="preserve"> </w:t>
      </w:r>
      <w:r>
        <w:rPr>
          <w:rFonts w:ascii="黑体" w:hAnsi="黑体" w:eastAsia="黑体" w:cs="黑体"/>
          <w:b/>
          <w:bCs/>
          <w:color w:val="3090A0"/>
          <w:spacing w:val="15"/>
          <w:sz w:val="20"/>
          <w:szCs w:val="20"/>
        </w:rPr>
        <w:t>水利水电工程抗震设防标准</w:t>
      </w:r>
    </w:p>
    <w:p w14:paraId="57F493C5">
      <w:pPr>
        <w:spacing w:before="74" w:line="219" w:lineRule="auto"/>
        <w:ind w:left="1439"/>
        <w:rPr>
          <w:rFonts w:ascii="宋体" w:hAnsi="宋体" w:eastAsia="宋体" w:cs="宋体"/>
          <w:sz w:val="20"/>
          <w:szCs w:val="20"/>
        </w:rPr>
      </w:pPr>
      <w:r>
        <w:rPr>
          <w:rFonts w:ascii="宋体" w:hAnsi="宋体" w:eastAsia="宋体" w:cs="宋体"/>
          <w:spacing w:val="17"/>
          <w:sz w:val="20"/>
          <w:szCs w:val="20"/>
        </w:rPr>
        <w:t>水工建筑物的工程抗震设防类别，应根据其重要性和工程场地地震基本烈度按</w:t>
      </w:r>
    </w:p>
    <w:p w14:paraId="266B8680">
      <w:pPr>
        <w:spacing w:before="75" w:line="220" w:lineRule="auto"/>
        <w:ind w:left="1010"/>
        <w:rPr>
          <w:rFonts w:ascii="宋体" w:hAnsi="宋体" w:eastAsia="宋体" w:cs="宋体"/>
          <w:sz w:val="20"/>
          <w:szCs w:val="20"/>
        </w:rPr>
      </w:pPr>
      <w:r>
        <w:rPr>
          <w:rFonts w:ascii="宋体" w:hAnsi="宋体" w:eastAsia="宋体" w:cs="宋体"/>
          <w:spacing w:val="9"/>
          <w:sz w:val="20"/>
          <w:szCs w:val="20"/>
        </w:rPr>
        <w:t>表1.2-12确定。</w:t>
      </w:r>
    </w:p>
    <w:p w14:paraId="4A9CE2FA">
      <w:pPr>
        <w:spacing w:before="61" w:line="219" w:lineRule="auto"/>
        <w:ind w:left="3759"/>
        <w:rPr>
          <w:rFonts w:ascii="宋体" w:hAnsi="宋体" w:eastAsia="宋体" w:cs="宋体"/>
          <w:sz w:val="20"/>
          <w:szCs w:val="20"/>
        </w:rPr>
      </w:pPr>
      <w:r>
        <w:rPr>
          <w:rFonts w:ascii="宋体" w:hAnsi="宋体" w:eastAsia="宋体" w:cs="宋体"/>
          <w:spacing w:val="1"/>
          <w:sz w:val="20"/>
          <w:szCs w:val="20"/>
        </w:rPr>
        <w:t>表1.2-12工程抗震设防类别</w:t>
      </w:r>
    </w:p>
    <w:p w14:paraId="5FEADFC7">
      <w:pPr>
        <w:spacing w:line="40" w:lineRule="exact"/>
      </w:pPr>
    </w:p>
    <w:tbl>
      <w:tblPr>
        <w:tblStyle w:val="5"/>
        <w:tblW w:w="7809" w:type="dxa"/>
        <w:tblInd w:w="10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1"/>
        <w:gridCol w:w="2607"/>
        <w:gridCol w:w="2611"/>
      </w:tblGrid>
      <w:tr w14:paraId="210C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2591" w:type="dxa"/>
            <w:vAlign w:val="top"/>
          </w:tcPr>
          <w:p w14:paraId="55C8CC78">
            <w:pPr>
              <w:pStyle w:val="6"/>
              <w:spacing w:before="72" w:line="219" w:lineRule="auto"/>
              <w:ind w:left="564"/>
              <w:rPr>
                <w:sz w:val="18"/>
                <w:szCs w:val="18"/>
              </w:rPr>
            </w:pPr>
            <w:r>
              <w:rPr>
                <w:spacing w:val="1"/>
                <w:sz w:val="18"/>
                <w:szCs w:val="18"/>
              </w:rPr>
              <w:t>工程抗震设防类别</w:t>
            </w:r>
          </w:p>
        </w:tc>
        <w:tc>
          <w:tcPr>
            <w:tcW w:w="2607" w:type="dxa"/>
            <w:vAlign w:val="top"/>
          </w:tcPr>
          <w:p w14:paraId="6C8AD510">
            <w:pPr>
              <w:pStyle w:val="6"/>
              <w:spacing w:before="73" w:line="220" w:lineRule="auto"/>
              <w:ind w:left="843"/>
              <w:rPr>
                <w:sz w:val="18"/>
                <w:szCs w:val="18"/>
              </w:rPr>
            </w:pPr>
            <w:r>
              <w:rPr>
                <w:spacing w:val="2"/>
                <w:sz w:val="18"/>
                <w:szCs w:val="18"/>
              </w:rPr>
              <w:t>建筑物级别</w:t>
            </w:r>
          </w:p>
        </w:tc>
        <w:tc>
          <w:tcPr>
            <w:tcW w:w="2611" w:type="dxa"/>
            <w:vAlign w:val="top"/>
          </w:tcPr>
          <w:p w14:paraId="76DB8E7A">
            <w:pPr>
              <w:pStyle w:val="6"/>
              <w:spacing w:before="71" w:line="219" w:lineRule="auto"/>
              <w:ind w:left="577"/>
              <w:rPr>
                <w:sz w:val="18"/>
                <w:szCs w:val="18"/>
              </w:rPr>
            </w:pPr>
            <w:r>
              <w:rPr>
                <w:spacing w:val="-1"/>
                <w:sz w:val="18"/>
                <w:szCs w:val="18"/>
              </w:rPr>
              <w:t>场地地震基本烈度</w:t>
            </w:r>
          </w:p>
        </w:tc>
      </w:tr>
      <w:tr w14:paraId="29578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2591" w:type="dxa"/>
            <w:vAlign w:val="top"/>
          </w:tcPr>
          <w:p w14:paraId="27F0C0FC">
            <w:pPr>
              <w:pStyle w:val="6"/>
              <w:spacing w:before="72" w:line="222" w:lineRule="auto"/>
              <w:ind w:left="1195"/>
              <w:rPr>
                <w:sz w:val="18"/>
                <w:szCs w:val="18"/>
              </w:rPr>
            </w:pPr>
            <w:r>
              <w:rPr>
                <w:sz w:val="18"/>
                <w:szCs w:val="18"/>
              </w:rPr>
              <w:t>甲</w:t>
            </w:r>
          </w:p>
        </w:tc>
        <w:tc>
          <w:tcPr>
            <w:tcW w:w="2607" w:type="dxa"/>
            <w:vAlign w:val="top"/>
          </w:tcPr>
          <w:p w14:paraId="0C982550">
            <w:pPr>
              <w:pStyle w:val="6"/>
              <w:spacing w:before="69" w:line="219" w:lineRule="auto"/>
              <w:ind w:left="534"/>
              <w:rPr>
                <w:sz w:val="18"/>
                <w:szCs w:val="18"/>
              </w:rPr>
            </w:pPr>
            <w:r>
              <w:rPr>
                <w:spacing w:val="3"/>
                <w:sz w:val="18"/>
                <w:szCs w:val="18"/>
              </w:rPr>
              <w:t>1(壅水和重要泄水)</w:t>
            </w:r>
          </w:p>
        </w:tc>
        <w:tc>
          <w:tcPr>
            <w:tcW w:w="2611" w:type="dxa"/>
            <w:vMerge w:val="restart"/>
            <w:tcBorders>
              <w:bottom w:val="nil"/>
            </w:tcBorders>
            <w:vAlign w:val="top"/>
          </w:tcPr>
          <w:p w14:paraId="703A3F31">
            <w:pPr>
              <w:pStyle w:val="6"/>
              <w:spacing w:before="247" w:line="237" w:lineRule="auto"/>
              <w:ind w:left="1116"/>
              <w:rPr>
                <w:sz w:val="18"/>
                <w:szCs w:val="18"/>
              </w:rPr>
            </w:pPr>
            <w:r>
              <w:rPr>
                <w:spacing w:val="-7"/>
                <w:sz w:val="18"/>
                <w:szCs w:val="18"/>
              </w:rPr>
              <w:t>≥VI</w:t>
            </w:r>
          </w:p>
        </w:tc>
      </w:tr>
      <w:tr w14:paraId="5D31A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591" w:type="dxa"/>
            <w:vAlign w:val="top"/>
          </w:tcPr>
          <w:p w14:paraId="3939D783">
            <w:pPr>
              <w:pStyle w:val="6"/>
              <w:spacing w:before="85" w:line="228" w:lineRule="auto"/>
              <w:ind w:left="1195"/>
              <w:rPr>
                <w:sz w:val="18"/>
                <w:szCs w:val="18"/>
              </w:rPr>
            </w:pPr>
            <w:r>
              <w:rPr>
                <w:sz w:val="18"/>
                <w:szCs w:val="18"/>
              </w:rPr>
              <w:t>乙</w:t>
            </w:r>
          </w:p>
        </w:tc>
        <w:tc>
          <w:tcPr>
            <w:tcW w:w="2607" w:type="dxa"/>
            <w:vAlign w:val="top"/>
          </w:tcPr>
          <w:p w14:paraId="29C66D1A">
            <w:pPr>
              <w:pStyle w:val="6"/>
              <w:spacing w:before="68" w:line="216" w:lineRule="auto"/>
              <w:ind w:left="534"/>
              <w:rPr>
                <w:sz w:val="18"/>
                <w:szCs w:val="18"/>
              </w:rPr>
            </w:pPr>
            <w:r>
              <w:rPr>
                <w:spacing w:val="3"/>
                <w:sz w:val="18"/>
                <w:szCs w:val="18"/>
              </w:rPr>
              <w:t>1(非壅水),2(壅水)</w:t>
            </w:r>
          </w:p>
        </w:tc>
        <w:tc>
          <w:tcPr>
            <w:tcW w:w="2611" w:type="dxa"/>
            <w:vMerge w:val="continue"/>
            <w:tcBorders>
              <w:top w:val="nil"/>
            </w:tcBorders>
            <w:vAlign w:val="top"/>
          </w:tcPr>
          <w:p w14:paraId="0884241C">
            <w:pPr>
              <w:rPr>
                <w:rFonts w:ascii="Arial"/>
                <w:sz w:val="21"/>
              </w:rPr>
            </w:pPr>
          </w:p>
        </w:tc>
      </w:tr>
      <w:tr w14:paraId="321D7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591" w:type="dxa"/>
            <w:vAlign w:val="top"/>
          </w:tcPr>
          <w:p w14:paraId="4214F95B">
            <w:pPr>
              <w:pStyle w:val="6"/>
              <w:spacing w:before="83" w:line="220" w:lineRule="auto"/>
              <w:ind w:left="1195"/>
              <w:rPr>
                <w:sz w:val="18"/>
                <w:szCs w:val="18"/>
              </w:rPr>
            </w:pPr>
            <w:r>
              <w:rPr>
                <w:sz w:val="18"/>
                <w:szCs w:val="18"/>
              </w:rPr>
              <w:t>丙</w:t>
            </w:r>
          </w:p>
        </w:tc>
        <w:tc>
          <w:tcPr>
            <w:tcW w:w="2607" w:type="dxa"/>
            <w:vAlign w:val="top"/>
          </w:tcPr>
          <w:p w14:paraId="31360AD5">
            <w:pPr>
              <w:pStyle w:val="6"/>
              <w:spacing w:before="80" w:line="216" w:lineRule="auto"/>
              <w:ind w:left="804"/>
              <w:rPr>
                <w:sz w:val="18"/>
                <w:szCs w:val="18"/>
              </w:rPr>
            </w:pPr>
            <w:r>
              <w:rPr>
                <w:spacing w:val="1"/>
                <w:sz w:val="18"/>
                <w:szCs w:val="18"/>
              </w:rPr>
              <w:t>2(非壅水),3</w:t>
            </w:r>
          </w:p>
        </w:tc>
        <w:tc>
          <w:tcPr>
            <w:tcW w:w="2611" w:type="dxa"/>
            <w:vMerge w:val="restart"/>
            <w:tcBorders>
              <w:bottom w:val="nil"/>
            </w:tcBorders>
            <w:vAlign w:val="top"/>
          </w:tcPr>
          <w:p w14:paraId="660C9470">
            <w:pPr>
              <w:pStyle w:val="6"/>
              <w:spacing w:before="261" w:line="237" w:lineRule="auto"/>
              <w:ind w:left="1116"/>
              <w:rPr>
                <w:sz w:val="18"/>
                <w:szCs w:val="18"/>
              </w:rPr>
            </w:pPr>
            <w:r>
              <w:rPr>
                <w:spacing w:val="-7"/>
                <w:sz w:val="18"/>
                <w:szCs w:val="18"/>
              </w:rPr>
              <w:t>≥VI</w:t>
            </w:r>
          </w:p>
        </w:tc>
      </w:tr>
      <w:tr w14:paraId="3C01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2591" w:type="dxa"/>
            <w:vAlign w:val="top"/>
          </w:tcPr>
          <w:p w14:paraId="516ABFC8">
            <w:pPr>
              <w:pStyle w:val="6"/>
              <w:spacing w:before="76" w:line="221" w:lineRule="auto"/>
              <w:ind w:left="1195"/>
              <w:rPr>
                <w:sz w:val="18"/>
                <w:szCs w:val="18"/>
              </w:rPr>
            </w:pPr>
            <w:r>
              <w:rPr>
                <w:sz w:val="18"/>
                <w:szCs w:val="18"/>
              </w:rPr>
              <w:t>丁</w:t>
            </w:r>
          </w:p>
        </w:tc>
        <w:tc>
          <w:tcPr>
            <w:tcW w:w="2607" w:type="dxa"/>
            <w:vAlign w:val="top"/>
          </w:tcPr>
          <w:p w14:paraId="37AC06A9">
            <w:pPr>
              <w:pStyle w:val="6"/>
              <w:spacing w:before="72" w:line="216" w:lineRule="auto"/>
              <w:ind w:left="1163"/>
              <w:rPr>
                <w:sz w:val="18"/>
                <w:szCs w:val="18"/>
              </w:rPr>
            </w:pPr>
            <w:r>
              <w:rPr>
                <w:spacing w:val="-2"/>
                <w:sz w:val="18"/>
                <w:szCs w:val="18"/>
              </w:rPr>
              <w:t>4,5</w:t>
            </w:r>
          </w:p>
        </w:tc>
        <w:tc>
          <w:tcPr>
            <w:tcW w:w="2611" w:type="dxa"/>
            <w:vMerge w:val="continue"/>
            <w:tcBorders>
              <w:top w:val="nil"/>
            </w:tcBorders>
            <w:vAlign w:val="top"/>
          </w:tcPr>
          <w:p w14:paraId="37B9700D">
            <w:pPr>
              <w:rPr>
                <w:rFonts w:ascii="Arial"/>
                <w:sz w:val="21"/>
              </w:rPr>
            </w:pPr>
          </w:p>
        </w:tc>
      </w:tr>
    </w:tbl>
    <w:p w14:paraId="179D4999">
      <w:pPr>
        <w:spacing w:before="111" w:line="219" w:lineRule="auto"/>
        <w:ind w:left="1379"/>
        <w:rPr>
          <w:rFonts w:ascii="宋体" w:hAnsi="宋体" w:eastAsia="宋体" w:cs="宋体"/>
          <w:sz w:val="16"/>
          <w:szCs w:val="16"/>
        </w:rPr>
      </w:pPr>
      <w:r>
        <w:rPr>
          <w:rFonts w:ascii="宋体" w:hAnsi="宋体" w:eastAsia="宋体" w:cs="宋体"/>
          <w:spacing w:val="-1"/>
          <w:sz w:val="16"/>
          <w:szCs w:val="16"/>
        </w:rPr>
        <w:t>注：重要泄水建筑物是指其失效可能危及壅水建筑物安全的泄水建筑物。</w:t>
      </w:r>
    </w:p>
    <w:p w14:paraId="2955E662">
      <w:pPr>
        <w:spacing w:before="281" w:line="286" w:lineRule="auto"/>
        <w:ind w:left="1010" w:right="1478" w:firstLine="429"/>
        <w:rPr>
          <w:rFonts w:ascii="宋体" w:hAnsi="宋体" w:eastAsia="宋体" w:cs="宋体"/>
          <w:sz w:val="20"/>
          <w:szCs w:val="20"/>
        </w:rPr>
      </w:pPr>
      <w:r>
        <w:rPr>
          <w:rFonts w:ascii="宋体" w:hAnsi="宋体" w:eastAsia="宋体" w:cs="宋体"/>
          <w:spacing w:val="11"/>
          <w:sz w:val="20"/>
          <w:szCs w:val="20"/>
        </w:rPr>
        <w:t>各类水工建筑物的抗震设防水准，应以平坦地表的设计烈度和水平向设计地震动</w:t>
      </w:r>
      <w:r>
        <w:rPr>
          <w:rFonts w:ascii="宋体" w:hAnsi="宋体" w:eastAsia="宋体" w:cs="宋体"/>
          <w:spacing w:val="7"/>
          <w:sz w:val="20"/>
          <w:szCs w:val="20"/>
        </w:rPr>
        <w:t xml:space="preserve"> </w:t>
      </w:r>
      <w:r>
        <w:rPr>
          <w:rFonts w:ascii="宋体" w:hAnsi="宋体" w:eastAsia="宋体" w:cs="宋体"/>
          <w:spacing w:val="4"/>
          <w:sz w:val="20"/>
          <w:szCs w:val="20"/>
        </w:rPr>
        <w:t>峰值加速度代表值表征，并按下列规定确定：</w:t>
      </w:r>
    </w:p>
    <w:p w14:paraId="03A3F420">
      <w:pPr>
        <w:spacing w:before="2" w:line="296" w:lineRule="auto"/>
        <w:ind w:left="1010" w:right="1392" w:firstLine="429"/>
        <w:jc w:val="both"/>
        <w:rPr>
          <w:rFonts w:ascii="宋体" w:hAnsi="宋体" w:eastAsia="宋体" w:cs="宋体"/>
          <w:sz w:val="20"/>
          <w:szCs w:val="20"/>
        </w:rPr>
      </w:pPr>
      <w:r>
        <w:rPr>
          <w:rFonts w:ascii="宋体" w:hAnsi="宋体" w:eastAsia="宋体" w:cs="宋体"/>
          <w:spacing w:val="7"/>
          <w:sz w:val="20"/>
          <w:szCs w:val="20"/>
        </w:rPr>
        <w:t>依据《中国地震动参数区划图》</w:t>
      </w:r>
      <w:r>
        <w:rPr>
          <w:rFonts w:ascii="Times New Roman" w:hAnsi="Times New Roman" w:eastAsia="Times New Roman" w:cs="Times New Roman"/>
          <w:sz w:val="20"/>
          <w:szCs w:val="20"/>
        </w:rPr>
        <w:t>GB</w:t>
      </w:r>
      <w:r>
        <w:rPr>
          <w:rFonts w:ascii="Times New Roman" w:hAnsi="Times New Roman" w:eastAsia="Times New Roman" w:cs="Times New Roman"/>
          <w:spacing w:val="7"/>
          <w:sz w:val="20"/>
          <w:szCs w:val="20"/>
        </w:rPr>
        <w:t xml:space="preserve">   18306—2015 </w:t>
      </w:r>
      <w:r>
        <w:rPr>
          <w:rFonts w:ascii="宋体" w:hAnsi="宋体" w:eastAsia="宋体" w:cs="宋体"/>
          <w:spacing w:val="7"/>
          <w:sz w:val="20"/>
          <w:szCs w:val="20"/>
        </w:rPr>
        <w:t xml:space="preserve">确定其设防水准的水工建筑物， </w:t>
      </w:r>
      <w:r>
        <w:rPr>
          <w:rFonts w:ascii="宋体" w:hAnsi="宋体" w:eastAsia="宋体" w:cs="宋体"/>
          <w:spacing w:val="6"/>
          <w:sz w:val="20"/>
          <w:szCs w:val="20"/>
        </w:rPr>
        <w:t>对一般工程应取该图中其场址所在地区的地震动峰值加速度的分区</w:t>
      </w:r>
      <w:r>
        <w:rPr>
          <w:rFonts w:ascii="宋体" w:hAnsi="宋体" w:eastAsia="宋体" w:cs="宋体"/>
          <w:spacing w:val="5"/>
          <w:sz w:val="20"/>
          <w:szCs w:val="20"/>
        </w:rPr>
        <w:t>值，按场地类别调整</w:t>
      </w:r>
      <w:r>
        <w:rPr>
          <w:rFonts w:ascii="宋体" w:hAnsi="宋体" w:eastAsia="宋体" w:cs="宋体"/>
          <w:sz w:val="20"/>
          <w:szCs w:val="20"/>
        </w:rPr>
        <w:t xml:space="preserve">  </w:t>
      </w:r>
      <w:r>
        <w:rPr>
          <w:rFonts w:ascii="宋体" w:hAnsi="宋体" w:eastAsia="宋体" w:cs="宋体"/>
          <w:spacing w:val="6"/>
          <w:sz w:val="20"/>
          <w:szCs w:val="20"/>
        </w:rPr>
        <w:t>后，作为设计水平向地震动峰值加速度代表值，将与之对应的地震基本烈度作为设计烈</w:t>
      </w:r>
      <w:r>
        <w:rPr>
          <w:rFonts w:ascii="宋体" w:hAnsi="宋体" w:eastAsia="宋体" w:cs="宋体"/>
          <w:sz w:val="20"/>
          <w:szCs w:val="20"/>
        </w:rPr>
        <w:t xml:space="preserve">  </w:t>
      </w:r>
      <w:r>
        <w:rPr>
          <w:rFonts w:ascii="宋体" w:hAnsi="宋体" w:eastAsia="宋体" w:cs="宋体"/>
          <w:spacing w:val="8"/>
          <w:sz w:val="20"/>
          <w:szCs w:val="20"/>
        </w:rPr>
        <w:t>度；对其中工程抗震设防类别为甲类的水工建筑物，应在基本烈度基础上提高1度作为</w:t>
      </w:r>
      <w:r>
        <w:rPr>
          <w:rFonts w:ascii="宋体" w:hAnsi="宋体" w:eastAsia="宋体" w:cs="宋体"/>
          <w:spacing w:val="7"/>
          <w:sz w:val="20"/>
          <w:szCs w:val="20"/>
        </w:rPr>
        <w:t xml:space="preserve">  </w:t>
      </w:r>
      <w:r>
        <w:rPr>
          <w:rFonts w:ascii="宋体" w:hAnsi="宋体" w:eastAsia="宋体" w:cs="宋体"/>
          <w:spacing w:val="8"/>
          <w:sz w:val="20"/>
          <w:szCs w:val="20"/>
        </w:rPr>
        <w:t>设计烈度，设计水平向地震动峰值加速度代表值相应增加1倍。</w:t>
      </w:r>
    </w:p>
    <w:p w14:paraId="0C70CC05">
      <w:pPr>
        <w:spacing w:before="1" w:line="221" w:lineRule="auto"/>
        <w:ind w:left="1442"/>
        <w:rPr>
          <w:rFonts w:ascii="黑体" w:hAnsi="黑体" w:eastAsia="黑体" w:cs="黑体"/>
          <w:sz w:val="20"/>
          <w:szCs w:val="20"/>
        </w:rPr>
      </w:pPr>
      <w:r>
        <w:rPr>
          <w:rFonts w:ascii="宋体" w:hAnsi="宋体" w:eastAsia="宋体" w:cs="宋体"/>
          <w:b/>
          <w:bCs/>
          <w:color w:val="3090A0"/>
          <w:spacing w:val="14"/>
          <w:sz w:val="20"/>
          <w:szCs w:val="20"/>
        </w:rPr>
        <w:t>5.</w:t>
      </w:r>
      <w:r>
        <w:rPr>
          <w:rFonts w:ascii="宋体" w:hAnsi="宋体" w:eastAsia="宋体" w:cs="宋体"/>
          <w:color w:val="3090A0"/>
          <w:spacing w:val="-37"/>
          <w:sz w:val="20"/>
          <w:szCs w:val="20"/>
        </w:rPr>
        <w:t xml:space="preserve"> </w:t>
      </w:r>
      <w:r>
        <w:rPr>
          <w:rFonts w:ascii="黑体" w:hAnsi="黑体" w:eastAsia="黑体" w:cs="黑体"/>
          <w:b/>
          <w:bCs/>
          <w:color w:val="3090A0"/>
          <w:spacing w:val="14"/>
          <w:sz w:val="20"/>
          <w:szCs w:val="20"/>
        </w:rPr>
        <w:t>水库特征水位及特征库容</w:t>
      </w:r>
    </w:p>
    <w:p w14:paraId="74B30823">
      <w:pPr>
        <w:spacing w:before="91" w:line="221" w:lineRule="auto"/>
        <w:ind w:left="1442"/>
        <w:rPr>
          <w:rFonts w:ascii="黑体" w:hAnsi="黑体" w:eastAsia="黑体" w:cs="黑体"/>
          <w:sz w:val="20"/>
          <w:szCs w:val="20"/>
        </w:rPr>
      </w:pPr>
      <w:r>
        <w:rPr>
          <w:rFonts w:ascii="黑体" w:hAnsi="黑体" w:eastAsia="黑体" w:cs="黑体"/>
          <w:b/>
          <w:bCs/>
          <w:color w:val="208090"/>
          <w:spacing w:val="19"/>
          <w:sz w:val="20"/>
          <w:szCs w:val="20"/>
        </w:rPr>
        <w:t>1)水库特征水位</w:t>
      </w:r>
    </w:p>
    <w:p w14:paraId="3DCB2F62">
      <w:pPr>
        <w:spacing w:before="64" w:line="270" w:lineRule="auto"/>
        <w:ind w:left="1010" w:right="1452" w:firstLine="429"/>
        <w:rPr>
          <w:rFonts w:ascii="宋体" w:hAnsi="宋体" w:eastAsia="宋体" w:cs="宋体"/>
          <w:sz w:val="20"/>
          <w:szCs w:val="20"/>
        </w:rPr>
      </w:pPr>
      <w:r>
        <w:rPr>
          <w:rFonts w:ascii="宋体" w:hAnsi="宋体" w:eastAsia="宋体" w:cs="宋体"/>
          <w:spacing w:val="14"/>
          <w:sz w:val="20"/>
          <w:szCs w:val="20"/>
        </w:rPr>
        <w:t xml:space="preserve">(1)校核洪水位。指水库遇大坝的校核洪水时，在坝前达到的最高水位。它是水 </w:t>
      </w:r>
      <w:r>
        <w:rPr>
          <w:rFonts w:ascii="宋体" w:hAnsi="宋体" w:eastAsia="宋体" w:cs="宋体"/>
          <w:spacing w:val="6"/>
          <w:sz w:val="20"/>
          <w:szCs w:val="20"/>
        </w:rPr>
        <w:t>库在非常运用校核情况下允许临时达到的最高洪水位，是确定大坝顶</w:t>
      </w:r>
      <w:r>
        <w:rPr>
          <w:rFonts w:ascii="宋体" w:hAnsi="宋体" w:eastAsia="宋体" w:cs="宋体"/>
          <w:spacing w:val="5"/>
          <w:sz w:val="20"/>
          <w:szCs w:val="20"/>
        </w:rPr>
        <w:t>高程及进行大坝安</w:t>
      </w:r>
      <w:r>
        <w:rPr>
          <w:rFonts w:ascii="宋体" w:hAnsi="宋体" w:eastAsia="宋体" w:cs="宋体"/>
          <w:sz w:val="20"/>
          <w:szCs w:val="20"/>
        </w:rPr>
        <w:t xml:space="preserve"> </w:t>
      </w:r>
      <w:r>
        <w:rPr>
          <w:rFonts w:ascii="宋体" w:hAnsi="宋体" w:eastAsia="宋体" w:cs="宋体"/>
          <w:spacing w:val="3"/>
          <w:sz w:val="20"/>
          <w:szCs w:val="20"/>
        </w:rPr>
        <w:t>全校核的主要依据。</w:t>
      </w:r>
    </w:p>
    <w:p w14:paraId="0167193B">
      <w:pPr>
        <w:spacing w:before="84" w:line="252" w:lineRule="auto"/>
        <w:ind w:left="1010" w:right="1449" w:firstLine="429"/>
        <w:rPr>
          <w:rFonts w:ascii="宋体" w:hAnsi="宋体" w:eastAsia="宋体" w:cs="宋体"/>
          <w:sz w:val="20"/>
          <w:szCs w:val="20"/>
        </w:rPr>
      </w:pPr>
      <w:r>
        <w:rPr>
          <w:rFonts w:ascii="宋体" w:hAnsi="宋体" w:eastAsia="宋体" w:cs="宋体"/>
          <w:spacing w:val="9"/>
          <w:sz w:val="20"/>
          <w:szCs w:val="20"/>
        </w:rPr>
        <w:t>(2)设计洪水位。指水库遇大坝的设计洪水时，在坝前达</w:t>
      </w:r>
      <w:r>
        <w:rPr>
          <w:rFonts w:ascii="宋体" w:hAnsi="宋体" w:eastAsia="宋体" w:cs="宋体"/>
          <w:spacing w:val="8"/>
          <w:sz w:val="20"/>
          <w:szCs w:val="20"/>
        </w:rPr>
        <w:t>到的最高水位。它是水库</w:t>
      </w:r>
      <w:r>
        <w:rPr>
          <w:rFonts w:ascii="宋体" w:hAnsi="宋体" w:eastAsia="宋体" w:cs="宋体"/>
          <w:sz w:val="20"/>
          <w:szCs w:val="20"/>
        </w:rPr>
        <w:t xml:space="preserve"> </w:t>
      </w:r>
      <w:r>
        <w:rPr>
          <w:rFonts w:ascii="宋体" w:hAnsi="宋体" w:eastAsia="宋体" w:cs="宋体"/>
          <w:spacing w:val="5"/>
          <w:sz w:val="20"/>
          <w:szCs w:val="20"/>
        </w:rPr>
        <w:t>在正常运用设计情况下允许达到的最高洪水位，也是挡水建筑物稳定计算的主要依据。</w:t>
      </w:r>
    </w:p>
    <w:p w14:paraId="78A711C4">
      <w:pPr>
        <w:spacing w:before="84" w:line="219" w:lineRule="auto"/>
        <w:ind w:left="1439"/>
        <w:rPr>
          <w:rFonts w:ascii="宋体" w:hAnsi="宋体" w:eastAsia="宋体" w:cs="宋体"/>
          <w:sz w:val="20"/>
          <w:szCs w:val="20"/>
        </w:rPr>
      </w:pPr>
      <w:r>
        <w:rPr>
          <w:rFonts w:ascii="宋体" w:hAnsi="宋体" w:eastAsia="宋体" w:cs="宋体"/>
          <w:spacing w:val="11"/>
          <w:sz w:val="20"/>
          <w:szCs w:val="20"/>
        </w:rPr>
        <w:t>(3)防洪高水位。指水库遇下游保护对象的设计洪水时，在坝前达到的最高水位。</w:t>
      </w:r>
    </w:p>
    <w:p w14:paraId="6A482EAF">
      <w:pPr>
        <w:pStyle w:val="2"/>
        <w:spacing w:line="336" w:lineRule="auto"/>
      </w:pPr>
    </w:p>
    <w:p w14:paraId="3E0D6A15">
      <w:pPr>
        <w:spacing w:line="191" w:lineRule="auto"/>
        <w:rPr>
          <w:rFonts w:ascii="宋体" w:hAnsi="宋体" w:eastAsia="宋体" w:cs="宋体"/>
          <w:sz w:val="24"/>
          <w:szCs w:val="24"/>
        </w:rPr>
        <w:sectPr>
          <w:pgSz w:w="10320" w:h="14590"/>
          <w:pgMar w:top="1" w:right="7" w:bottom="10" w:left="0" w:header="0" w:footer="0" w:gutter="0"/>
          <w:cols w:space="720" w:num="1"/>
        </w:sectPr>
      </w:pPr>
    </w:p>
    <w:p w14:paraId="03A3282B">
      <w:pPr>
        <w:spacing w:before="2" w:line="233" w:lineRule="auto"/>
        <w:ind w:left="1371" w:right="360" w:hanging="1079"/>
        <w:rPr>
          <w:rFonts w:hint="eastAsia" w:ascii="宋体" w:hAnsi="宋体" w:eastAsia="宋体" w:cs="宋体"/>
          <w:sz w:val="21"/>
          <w:szCs w:val="21"/>
          <w:lang w:eastAsia="zh-CN"/>
        </w:rPr>
      </w:pPr>
      <w:r>
        <w:rPr>
          <w:rFonts w:hint="eastAsia" w:ascii="宋体" w:hAnsi="宋体" w:eastAsia="宋体" w:cs="宋体"/>
          <w:b/>
          <w:bCs/>
          <w:spacing w:val="23"/>
          <w:sz w:val="21"/>
          <w:szCs w:val="21"/>
          <w:lang w:eastAsia="zh-CN"/>
        </w:rPr>
        <w:t>大鱼社区</w:t>
      </w:r>
      <w:r>
        <w:rPr>
          <w:rFonts w:ascii="宋体" w:hAnsi="宋体" w:eastAsia="宋体" w:cs="宋体"/>
          <w:b/>
          <w:bCs/>
          <w:spacing w:val="23"/>
          <w:sz w:val="21"/>
          <w:szCs w:val="21"/>
        </w:rPr>
        <w:t>助你备考：少走弯路，快速通关!认准</w:t>
      </w:r>
      <w:r>
        <w:rPr>
          <w:rFonts w:ascii="Times New Roman" w:hAnsi="Times New Roman" w:eastAsia="Times New Roman" w:cs="Times New Roman"/>
          <w:b/>
          <w:bCs/>
          <w:sz w:val="21"/>
          <w:szCs w:val="21"/>
        </w:rPr>
        <w:t>VX</w:t>
      </w:r>
      <w:r>
        <w:rPr>
          <w:rFonts w:ascii="Times New Roman" w:hAnsi="Times New Roman" w:eastAsia="Times New Roman" w:cs="Times New Roman"/>
          <w:b/>
          <w:bCs/>
          <w:spacing w:val="23"/>
          <w:sz w:val="21"/>
          <w:szCs w:val="21"/>
        </w:rPr>
        <w:t>:</w:t>
      </w:r>
      <w:r>
        <w:rPr>
          <w:rFonts w:hint="eastAsia" w:ascii="Times New Roman" w:hAnsi="Times New Roman" w:eastAsia="宋体" w:cs="Times New Roman"/>
          <w:b/>
          <w:bCs/>
          <w:sz w:val="21"/>
          <w:szCs w:val="21"/>
          <w:lang w:eastAsia="zh-CN"/>
        </w:rPr>
        <w:t>dayu_nm_cn</w:t>
      </w:r>
      <w:r>
        <w:rPr>
          <w:rFonts w:ascii="Times New Roman" w:hAnsi="Times New Roman" w:eastAsia="Times New Roman" w:cs="Times New Roman"/>
          <w:b/>
          <w:bCs/>
          <w:spacing w:val="23"/>
          <w:sz w:val="21"/>
          <w:szCs w:val="21"/>
        </w:rPr>
        <w:t xml:space="preserve">      </w:t>
      </w:r>
      <w:r>
        <w:rPr>
          <w:rFonts w:ascii="宋体" w:hAnsi="宋体" w:eastAsia="宋体" w:cs="宋体"/>
          <w:b/>
          <w:bCs/>
          <w:spacing w:val="23"/>
          <w:sz w:val="21"/>
          <w:szCs w:val="21"/>
        </w:rPr>
        <w:t>(天道酬勤，白嫖勿</w:t>
      </w:r>
      <w:r>
        <w:rPr>
          <w:rFonts w:ascii="宋体" w:hAnsi="宋体" w:eastAsia="宋体" w:cs="宋体"/>
          <w:spacing w:val="23"/>
          <w:sz w:val="21"/>
          <w:szCs w:val="21"/>
        </w:rPr>
        <w:t>扰 )</w:t>
      </w:r>
      <w:r>
        <w:rPr>
          <w:rFonts w:ascii="宋体" w:hAnsi="宋体" w:eastAsia="宋体" w:cs="宋体"/>
          <w:spacing w:val="9"/>
          <w:sz w:val="21"/>
          <w:szCs w:val="21"/>
        </w:rPr>
        <w:t xml:space="preserve"> </w:t>
      </w:r>
      <w:bookmarkStart w:id="1" w:name="bookmark50"/>
      <w:bookmarkEnd w:id="1"/>
      <w:r>
        <w:rPr>
          <w:rFonts w:ascii="宋体" w:hAnsi="宋体" w:eastAsia="宋体" w:cs="宋体"/>
          <w:b/>
          <w:bCs/>
          <w:sz w:val="21"/>
          <w:szCs w:val="21"/>
        </w:rPr>
        <w:t>一建教材一套四本60元</w:t>
      </w:r>
      <w:r>
        <w:rPr>
          <w:rFonts w:ascii="宋体" w:hAnsi="宋体" w:eastAsia="宋体" w:cs="宋体"/>
          <w:spacing w:val="43"/>
          <w:sz w:val="21"/>
          <w:szCs w:val="21"/>
        </w:rPr>
        <w:t xml:space="preserve">  </w:t>
      </w:r>
      <w:r>
        <w:rPr>
          <w:rFonts w:ascii="宋体" w:hAnsi="宋体" w:eastAsia="宋体" w:cs="宋体"/>
          <w:b/>
          <w:bCs/>
          <w:sz w:val="21"/>
          <w:szCs w:val="21"/>
        </w:rPr>
        <w:t>群主微信</w:t>
      </w:r>
      <w:r>
        <w:rPr>
          <w:rFonts w:ascii="宋体" w:hAnsi="宋体" w:eastAsia="宋体" w:cs="宋体"/>
          <w:spacing w:val="65"/>
          <w:sz w:val="21"/>
          <w:szCs w:val="21"/>
        </w:rPr>
        <w:t xml:space="preserve"> </w:t>
      </w:r>
      <w:r>
        <w:rPr>
          <w:rFonts w:hint="eastAsia" w:ascii="Times New Roman" w:hAnsi="Times New Roman" w:eastAsia="宋体" w:cs="Times New Roman"/>
          <w:b/>
          <w:bCs/>
          <w:sz w:val="21"/>
          <w:szCs w:val="21"/>
          <w:lang w:eastAsia="zh-CN"/>
        </w:rPr>
        <w:t>dayu_nm_cn</w:t>
      </w:r>
      <w:r>
        <w:rPr>
          <w:rFonts w:ascii="Times New Roman" w:hAnsi="Times New Roman" w:eastAsia="Times New Roman" w:cs="Times New Roman"/>
          <w:b/>
          <w:bCs/>
          <w:sz w:val="21"/>
          <w:szCs w:val="21"/>
        </w:rPr>
        <w:t xml:space="preserve">      </w:t>
      </w:r>
      <w:r>
        <w:rPr>
          <w:rFonts w:ascii="宋体" w:hAnsi="宋体" w:eastAsia="宋体" w:cs="宋体"/>
          <w:b/>
          <w:bCs/>
          <w:sz w:val="21"/>
          <w:szCs w:val="21"/>
        </w:rPr>
        <w:t>一</w:t>
      </w:r>
      <w:r>
        <w:rPr>
          <w:rFonts w:ascii="宋体" w:hAnsi="宋体" w:eastAsia="宋体" w:cs="宋体"/>
          <w:b/>
          <w:bCs/>
          <w:spacing w:val="-1"/>
          <w:sz w:val="21"/>
          <w:szCs w:val="21"/>
        </w:rPr>
        <w:t>级建造师学习群</w:t>
      </w:r>
      <w:r>
        <w:rPr>
          <w:rFonts w:hint="eastAsia" w:ascii="宋体" w:hAnsi="宋体" w:eastAsia="宋体" w:cs="宋体"/>
          <w:b/>
          <w:bCs/>
          <w:spacing w:val="-1"/>
          <w:sz w:val="21"/>
          <w:szCs w:val="21"/>
          <w:lang w:eastAsia="zh-CN"/>
        </w:rPr>
        <w:t>dayu_nm_cn</w:t>
      </w:r>
    </w:p>
    <w:p w14:paraId="1411BF41">
      <w:pPr>
        <w:spacing w:before="141" w:line="222" w:lineRule="auto"/>
        <w:ind w:left="6439"/>
        <w:rPr>
          <w:rFonts w:ascii="黑体" w:hAnsi="黑体" w:eastAsia="黑体" w:cs="黑体"/>
          <w:sz w:val="16"/>
          <w:szCs w:val="16"/>
        </w:rPr>
      </w:pPr>
      <w:r>
        <w:drawing>
          <wp:anchor distT="0" distB="0" distL="0" distR="0" simplePos="0" relativeHeight="251666432" behindDoc="0" locked="0" layoutInCell="1" allowOverlap="1">
            <wp:simplePos x="0" y="0"/>
            <wp:positionH relativeFrom="column">
              <wp:posOffset>965200</wp:posOffset>
            </wp:positionH>
            <wp:positionV relativeFrom="paragraph">
              <wp:posOffset>250825</wp:posOffset>
            </wp:positionV>
            <wp:extent cx="5029200" cy="6350"/>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1"/>
                    <a:stretch>
                      <a:fillRect/>
                    </a:stretch>
                  </pic:blipFill>
                  <pic:spPr>
                    <a:xfrm>
                      <a:off x="0" y="0"/>
                      <a:ext cx="5029187" cy="6393"/>
                    </a:xfrm>
                    <a:prstGeom prst="rect">
                      <a:avLst/>
                    </a:prstGeom>
                  </pic:spPr>
                </pic:pic>
              </a:graphicData>
            </a:graphic>
          </wp:anchor>
        </w:drawing>
      </w:r>
      <w:r>
        <w:rPr>
          <w:rFonts w:ascii="黑体" w:hAnsi="黑体" w:eastAsia="黑体" w:cs="黑体"/>
          <w:spacing w:val="12"/>
          <w:sz w:val="16"/>
          <w:szCs w:val="16"/>
        </w:rPr>
        <w:t>第1章</w:t>
      </w:r>
      <w:r>
        <w:rPr>
          <w:rFonts w:ascii="黑体" w:hAnsi="黑体" w:eastAsia="黑体" w:cs="黑体"/>
          <w:spacing w:val="49"/>
          <w:sz w:val="16"/>
          <w:szCs w:val="16"/>
        </w:rPr>
        <w:t xml:space="preserve"> </w:t>
      </w:r>
      <w:r>
        <w:rPr>
          <w:rFonts w:ascii="黑体" w:hAnsi="黑体" w:eastAsia="黑体" w:cs="黑体"/>
          <w:spacing w:val="12"/>
          <w:sz w:val="16"/>
          <w:szCs w:val="16"/>
        </w:rPr>
        <w:t>水利水电工程勘测与设计</w:t>
      </w:r>
    </w:p>
    <w:p w14:paraId="2E2AF9BD">
      <w:pPr>
        <w:spacing w:before="249" w:line="219" w:lineRule="auto"/>
        <w:ind w:left="1520"/>
        <w:rPr>
          <w:rFonts w:ascii="宋体" w:hAnsi="宋体" w:eastAsia="宋体" w:cs="宋体"/>
          <w:sz w:val="21"/>
          <w:szCs w:val="21"/>
        </w:rPr>
      </w:pPr>
      <w:r>
        <w:rPr>
          <w:rFonts w:ascii="宋体" w:hAnsi="宋体" w:eastAsia="宋体" w:cs="宋体"/>
          <w:spacing w:val="-5"/>
          <w:sz w:val="21"/>
          <w:szCs w:val="21"/>
        </w:rPr>
        <w:t>只有水库承担下游防洪任务时，才需确定这一水位。</w:t>
      </w:r>
    </w:p>
    <w:p w14:paraId="620CD107">
      <w:pPr>
        <w:spacing w:before="72" w:line="250" w:lineRule="auto"/>
        <w:ind w:left="1520" w:right="895" w:firstLine="389"/>
        <w:rPr>
          <w:rFonts w:ascii="宋体" w:hAnsi="宋体" w:eastAsia="宋体" w:cs="宋体"/>
          <w:sz w:val="21"/>
          <w:szCs w:val="21"/>
        </w:rPr>
      </w:pPr>
      <w:r>
        <w:rPr>
          <w:rFonts w:ascii="宋体" w:hAnsi="宋体" w:eastAsia="宋体" w:cs="宋体"/>
          <w:spacing w:val="7"/>
          <w:sz w:val="21"/>
          <w:szCs w:val="21"/>
        </w:rPr>
        <w:t>(4)防洪限制水位(汛前限制水位)。指水库在汛期允许兴利的上限水</w:t>
      </w:r>
      <w:r>
        <w:rPr>
          <w:rFonts w:ascii="宋体" w:hAnsi="宋体" w:eastAsia="宋体" w:cs="宋体"/>
          <w:spacing w:val="6"/>
          <w:sz w:val="21"/>
          <w:szCs w:val="21"/>
        </w:rPr>
        <w:t>位，也是水</w:t>
      </w:r>
      <w:r>
        <w:rPr>
          <w:rFonts w:ascii="宋体" w:hAnsi="宋体" w:eastAsia="宋体" w:cs="宋体"/>
          <w:sz w:val="21"/>
          <w:szCs w:val="21"/>
        </w:rPr>
        <w:t xml:space="preserve"> </w:t>
      </w:r>
      <w:r>
        <w:rPr>
          <w:rFonts w:ascii="宋体" w:hAnsi="宋体" w:eastAsia="宋体" w:cs="宋体"/>
          <w:spacing w:val="-5"/>
          <w:sz w:val="21"/>
          <w:szCs w:val="21"/>
        </w:rPr>
        <w:t>库汛期防洪运用时的起调水位。</w:t>
      </w:r>
    </w:p>
    <w:p w14:paraId="07AF44C4">
      <w:pPr>
        <w:spacing w:before="48" w:line="266" w:lineRule="auto"/>
        <w:ind w:left="1520" w:right="801" w:firstLine="389"/>
        <w:rPr>
          <w:rFonts w:ascii="宋体" w:hAnsi="宋体" w:eastAsia="宋体" w:cs="宋体"/>
          <w:sz w:val="21"/>
          <w:szCs w:val="21"/>
        </w:rPr>
      </w:pPr>
      <w:r>
        <w:rPr>
          <w:rFonts w:ascii="宋体" w:hAnsi="宋体" w:eastAsia="宋体" w:cs="宋体"/>
          <w:spacing w:val="6"/>
          <w:sz w:val="21"/>
          <w:szCs w:val="21"/>
        </w:rPr>
        <w:t>(5)正常蓄水位(正常高水位、设计蓄水位、兴利水位)。指水库在正常运用的情</w:t>
      </w:r>
      <w:r>
        <w:rPr>
          <w:rFonts w:ascii="宋体" w:hAnsi="宋体" w:eastAsia="宋体" w:cs="宋体"/>
          <w:sz w:val="21"/>
          <w:szCs w:val="21"/>
        </w:rPr>
        <w:t xml:space="preserve">  况下，为满足设计的兴利要求在供水期开始时应蓄到的最高水位。它决定水库的规模、</w:t>
      </w:r>
      <w:r>
        <w:rPr>
          <w:rFonts w:ascii="宋体" w:hAnsi="宋体" w:eastAsia="宋体" w:cs="宋体"/>
          <w:spacing w:val="3"/>
          <w:sz w:val="21"/>
          <w:szCs w:val="21"/>
        </w:rPr>
        <w:t xml:space="preserve"> </w:t>
      </w:r>
      <w:r>
        <w:rPr>
          <w:rFonts w:ascii="宋体" w:hAnsi="宋体" w:eastAsia="宋体" w:cs="宋体"/>
          <w:spacing w:val="-2"/>
          <w:sz w:val="21"/>
          <w:szCs w:val="21"/>
        </w:rPr>
        <w:t>效益和调节方式，在很大程度上决定水工建筑物的</w:t>
      </w:r>
      <w:r>
        <w:rPr>
          <w:rFonts w:ascii="宋体" w:hAnsi="宋体" w:eastAsia="宋体" w:cs="宋体"/>
          <w:spacing w:val="-3"/>
          <w:sz w:val="21"/>
          <w:szCs w:val="21"/>
        </w:rPr>
        <w:t>尺寸、形式和水库的淹没损失，是水</w:t>
      </w:r>
      <w:r>
        <w:rPr>
          <w:rFonts w:ascii="宋体" w:hAnsi="宋体" w:eastAsia="宋体" w:cs="宋体"/>
          <w:sz w:val="21"/>
          <w:szCs w:val="21"/>
        </w:rPr>
        <w:t xml:space="preserve">  </w:t>
      </w:r>
      <w:r>
        <w:rPr>
          <w:rFonts w:ascii="宋体" w:hAnsi="宋体" w:eastAsia="宋体" w:cs="宋体"/>
          <w:spacing w:val="-4"/>
          <w:sz w:val="21"/>
          <w:szCs w:val="21"/>
        </w:rPr>
        <w:t>库最重要的一项特征参数，也是挡水建筑物稳定计算</w:t>
      </w:r>
      <w:r>
        <w:rPr>
          <w:rFonts w:ascii="宋体" w:hAnsi="宋体" w:eastAsia="宋体" w:cs="宋体"/>
          <w:spacing w:val="-5"/>
          <w:sz w:val="21"/>
          <w:szCs w:val="21"/>
        </w:rPr>
        <w:t>的主要依据。</w:t>
      </w:r>
    </w:p>
    <w:p w14:paraId="6A90502A">
      <w:pPr>
        <w:spacing w:before="73" w:line="253" w:lineRule="auto"/>
        <w:ind w:left="1520" w:right="830" w:firstLine="389"/>
        <w:rPr>
          <w:rFonts w:ascii="宋体" w:hAnsi="宋体" w:eastAsia="宋体" w:cs="宋体"/>
          <w:sz w:val="21"/>
          <w:szCs w:val="21"/>
        </w:rPr>
      </w:pPr>
      <w:r>
        <w:rPr>
          <w:rFonts w:ascii="宋体" w:hAnsi="宋体" w:eastAsia="宋体" w:cs="宋体"/>
          <w:spacing w:val="3"/>
          <w:sz w:val="21"/>
          <w:szCs w:val="21"/>
        </w:rPr>
        <w:t>(6)死水位(设计低水位)。指水库在正常运用的情况下，允许消落到的</w:t>
      </w:r>
      <w:r>
        <w:rPr>
          <w:rFonts w:ascii="宋体" w:hAnsi="宋体" w:eastAsia="宋体" w:cs="宋体"/>
          <w:spacing w:val="2"/>
          <w:sz w:val="21"/>
          <w:szCs w:val="21"/>
        </w:rPr>
        <w:t>最低水位。</w:t>
      </w:r>
      <w:r>
        <w:rPr>
          <w:rFonts w:ascii="宋体" w:hAnsi="宋体" w:eastAsia="宋体" w:cs="宋体"/>
          <w:sz w:val="21"/>
          <w:szCs w:val="21"/>
        </w:rPr>
        <w:t xml:space="preserve"> </w:t>
      </w:r>
      <w:r>
        <w:rPr>
          <w:rFonts w:ascii="宋体" w:hAnsi="宋体" w:eastAsia="宋体" w:cs="宋体"/>
          <w:spacing w:val="-4"/>
          <w:sz w:val="21"/>
          <w:szCs w:val="21"/>
        </w:rPr>
        <w:t>水库正常蓄水位与死水位之间的变幅称为水库消落深</w:t>
      </w:r>
      <w:r>
        <w:rPr>
          <w:rFonts w:ascii="宋体" w:hAnsi="宋体" w:eastAsia="宋体" w:cs="宋体"/>
          <w:spacing w:val="-5"/>
          <w:sz w:val="21"/>
          <w:szCs w:val="21"/>
        </w:rPr>
        <w:t>度。</w:t>
      </w:r>
    </w:p>
    <w:p w14:paraId="0B7CB43B">
      <w:pPr>
        <w:spacing w:before="109" w:line="221" w:lineRule="auto"/>
        <w:ind w:left="1913"/>
        <w:rPr>
          <w:rFonts w:ascii="黑体" w:hAnsi="黑体" w:eastAsia="黑体" w:cs="黑体"/>
          <w:sz w:val="21"/>
          <w:szCs w:val="21"/>
        </w:rPr>
      </w:pPr>
      <w:r>
        <w:rPr>
          <w:rFonts w:ascii="黑体" w:hAnsi="黑体" w:eastAsia="黑体" w:cs="黑体"/>
          <w:b/>
          <w:bCs/>
          <w:color w:val="3080A0"/>
          <w:spacing w:val="12"/>
          <w:sz w:val="21"/>
          <w:szCs w:val="21"/>
        </w:rPr>
        <w:t>2)水库特征库容</w:t>
      </w:r>
    </w:p>
    <w:p w14:paraId="1DF2F942">
      <w:pPr>
        <w:spacing w:before="32" w:line="219" w:lineRule="auto"/>
        <w:ind w:left="1910"/>
        <w:rPr>
          <w:rFonts w:ascii="宋体" w:hAnsi="宋体" w:eastAsia="宋体" w:cs="宋体"/>
          <w:sz w:val="21"/>
          <w:szCs w:val="21"/>
        </w:rPr>
      </w:pPr>
      <w:r>
        <w:rPr>
          <w:rFonts w:ascii="宋体" w:hAnsi="宋体" w:eastAsia="宋体" w:cs="宋体"/>
          <w:sz w:val="21"/>
          <w:szCs w:val="21"/>
        </w:rPr>
        <w:t>(1)静库容。指坝前某一特征水位水平面以下的水库容积。</w:t>
      </w:r>
    </w:p>
    <w:p w14:paraId="27758D08">
      <w:pPr>
        <w:spacing w:before="52" w:line="254" w:lineRule="auto"/>
        <w:ind w:left="1520" w:right="925" w:firstLine="389"/>
        <w:rPr>
          <w:rFonts w:ascii="宋体" w:hAnsi="宋体" w:eastAsia="宋体" w:cs="宋体"/>
          <w:sz w:val="21"/>
          <w:szCs w:val="21"/>
        </w:rPr>
      </w:pPr>
      <w:r>
        <w:rPr>
          <w:rFonts w:ascii="宋体" w:hAnsi="宋体" w:eastAsia="宋体" w:cs="宋体"/>
          <w:spacing w:val="6"/>
          <w:sz w:val="21"/>
          <w:szCs w:val="21"/>
        </w:rPr>
        <w:t>(2)总库容。指最高洪水位以下的水库静库容。它是一项表示水库工程规模的代</w:t>
      </w:r>
      <w:r>
        <w:rPr>
          <w:rFonts w:ascii="宋体" w:hAnsi="宋体" w:eastAsia="宋体" w:cs="宋体"/>
          <w:spacing w:val="8"/>
          <w:sz w:val="21"/>
          <w:szCs w:val="21"/>
        </w:rPr>
        <w:t xml:space="preserve"> </w:t>
      </w:r>
      <w:r>
        <w:rPr>
          <w:rFonts w:ascii="宋体" w:hAnsi="宋体" w:eastAsia="宋体" w:cs="宋体"/>
          <w:spacing w:val="-3"/>
          <w:sz w:val="21"/>
          <w:szCs w:val="21"/>
        </w:rPr>
        <w:t>表性指标，可作为划分水库工程等别及建筑物级别，确定</w:t>
      </w:r>
      <w:r>
        <w:rPr>
          <w:rFonts w:ascii="宋体" w:hAnsi="宋体" w:eastAsia="宋体" w:cs="宋体"/>
          <w:spacing w:val="-4"/>
          <w:sz w:val="21"/>
          <w:szCs w:val="21"/>
        </w:rPr>
        <w:t>工程安全标准的重要依据。</w:t>
      </w:r>
    </w:p>
    <w:p w14:paraId="5BE96FA8">
      <w:pPr>
        <w:spacing w:before="61" w:line="255" w:lineRule="auto"/>
        <w:ind w:left="1520" w:right="926" w:firstLine="389"/>
        <w:rPr>
          <w:rFonts w:ascii="宋体" w:hAnsi="宋体" w:eastAsia="宋体" w:cs="宋体"/>
          <w:sz w:val="21"/>
          <w:szCs w:val="21"/>
        </w:rPr>
      </w:pPr>
      <w:r>
        <w:rPr>
          <w:rFonts w:ascii="宋体" w:hAnsi="宋体" w:eastAsia="宋体" w:cs="宋体"/>
          <w:sz w:val="21"/>
          <w:szCs w:val="21"/>
        </w:rPr>
        <w:t>(3)防洪库容。指防洪高水位至防洪限制水位之间的水库容积。用以控制洪水，满</w:t>
      </w:r>
      <w:r>
        <w:rPr>
          <w:rFonts w:ascii="宋体" w:hAnsi="宋体" w:eastAsia="宋体" w:cs="宋体"/>
          <w:spacing w:val="13"/>
          <w:sz w:val="21"/>
          <w:szCs w:val="21"/>
        </w:rPr>
        <w:t xml:space="preserve"> </w:t>
      </w:r>
      <w:r>
        <w:rPr>
          <w:rFonts w:ascii="宋体" w:hAnsi="宋体" w:eastAsia="宋体" w:cs="宋体"/>
          <w:spacing w:val="-5"/>
          <w:sz w:val="21"/>
          <w:szCs w:val="21"/>
        </w:rPr>
        <w:t>足水库下游防护对象的防护要求。</w:t>
      </w:r>
    </w:p>
    <w:p w14:paraId="4AFB5681">
      <w:pPr>
        <w:spacing w:before="71" w:line="246" w:lineRule="auto"/>
        <w:ind w:left="1520" w:right="924" w:firstLine="389"/>
        <w:rPr>
          <w:rFonts w:ascii="宋体" w:hAnsi="宋体" w:eastAsia="宋体" w:cs="宋体"/>
          <w:sz w:val="21"/>
          <w:szCs w:val="21"/>
        </w:rPr>
      </w:pPr>
      <w:r>
        <w:rPr>
          <w:rFonts w:ascii="宋体" w:hAnsi="宋体" w:eastAsia="宋体" w:cs="宋体"/>
          <w:spacing w:val="6"/>
          <w:sz w:val="21"/>
          <w:szCs w:val="21"/>
        </w:rPr>
        <w:t>(4)调洪库容。指校核洪水位至防洪限制水位之间的水库容积。用于保证下游防</w:t>
      </w:r>
      <w:r>
        <w:rPr>
          <w:rFonts w:ascii="宋体" w:hAnsi="宋体" w:eastAsia="宋体" w:cs="宋体"/>
          <w:spacing w:val="9"/>
          <w:sz w:val="21"/>
          <w:szCs w:val="21"/>
        </w:rPr>
        <w:t xml:space="preserve"> </w:t>
      </w:r>
      <w:r>
        <w:rPr>
          <w:rFonts w:ascii="宋体" w:hAnsi="宋体" w:eastAsia="宋体" w:cs="宋体"/>
          <w:spacing w:val="2"/>
          <w:sz w:val="21"/>
          <w:szCs w:val="21"/>
        </w:rPr>
        <w:t>洪安全(指其中的防洪库容部分)及对校核洪水调洪削峰，保证大坝</w:t>
      </w:r>
      <w:r>
        <w:rPr>
          <w:rFonts w:ascii="宋体" w:hAnsi="宋体" w:eastAsia="宋体" w:cs="宋体"/>
          <w:spacing w:val="1"/>
          <w:sz w:val="21"/>
          <w:szCs w:val="21"/>
        </w:rPr>
        <w:t>安全。</w:t>
      </w:r>
    </w:p>
    <w:p w14:paraId="396FA796">
      <w:pPr>
        <w:spacing w:before="60" w:line="254" w:lineRule="auto"/>
        <w:ind w:left="1520" w:right="831" w:firstLine="389"/>
        <w:rPr>
          <w:rFonts w:ascii="宋体" w:hAnsi="宋体" w:eastAsia="宋体" w:cs="宋体"/>
          <w:sz w:val="21"/>
          <w:szCs w:val="21"/>
        </w:rPr>
      </w:pPr>
      <w:r>
        <w:rPr>
          <w:rFonts w:ascii="宋体" w:hAnsi="宋体" w:eastAsia="宋体" w:cs="宋体"/>
          <w:spacing w:val="9"/>
          <w:sz w:val="21"/>
          <w:szCs w:val="21"/>
        </w:rPr>
        <w:t>(5)兴利库容(有效库容、调节库容)。指正常</w:t>
      </w:r>
      <w:r>
        <w:rPr>
          <w:rFonts w:ascii="宋体" w:hAnsi="宋体" w:eastAsia="宋体" w:cs="宋体"/>
          <w:spacing w:val="8"/>
          <w:sz w:val="21"/>
          <w:szCs w:val="21"/>
        </w:rPr>
        <w:t>蓄水位至死水位之间的水库容积。</w:t>
      </w:r>
      <w:r>
        <w:rPr>
          <w:rFonts w:ascii="宋体" w:hAnsi="宋体" w:eastAsia="宋体" w:cs="宋体"/>
          <w:sz w:val="21"/>
          <w:szCs w:val="21"/>
        </w:rPr>
        <w:t xml:space="preserve"> </w:t>
      </w:r>
      <w:r>
        <w:rPr>
          <w:rFonts w:ascii="宋体" w:hAnsi="宋体" w:eastAsia="宋体" w:cs="宋体"/>
          <w:spacing w:val="-5"/>
          <w:sz w:val="21"/>
          <w:szCs w:val="21"/>
        </w:rPr>
        <w:t>用以调节径流，按兴利要求提供水库的供水量或水电站的流量。</w:t>
      </w:r>
    </w:p>
    <w:p w14:paraId="590E2057">
      <w:pPr>
        <w:spacing w:before="62" w:line="255" w:lineRule="auto"/>
        <w:ind w:left="1520" w:right="831" w:firstLine="389"/>
        <w:rPr>
          <w:rFonts w:ascii="宋体" w:hAnsi="宋体" w:eastAsia="宋体" w:cs="宋体"/>
          <w:sz w:val="21"/>
          <w:szCs w:val="21"/>
        </w:rPr>
      </w:pPr>
      <w:r>
        <w:rPr>
          <w:rFonts w:ascii="宋体" w:hAnsi="宋体" w:eastAsia="宋体" w:cs="宋体"/>
          <w:spacing w:val="9"/>
          <w:sz w:val="21"/>
          <w:szCs w:val="21"/>
        </w:rPr>
        <w:t>(6)重叠库容(共用库容、结合库容)。指防洪</w:t>
      </w:r>
      <w:r>
        <w:rPr>
          <w:rFonts w:ascii="宋体" w:hAnsi="宋体" w:eastAsia="宋体" w:cs="宋体"/>
          <w:spacing w:val="8"/>
          <w:sz w:val="21"/>
          <w:szCs w:val="21"/>
        </w:rPr>
        <w:t>库容与兴利库容重叠部分的库容，</w:t>
      </w:r>
      <w:r>
        <w:rPr>
          <w:rFonts w:ascii="宋体" w:hAnsi="宋体" w:eastAsia="宋体" w:cs="宋体"/>
          <w:sz w:val="21"/>
          <w:szCs w:val="21"/>
        </w:rPr>
        <w:t xml:space="preserve"> </w:t>
      </w:r>
      <w:r>
        <w:rPr>
          <w:rFonts w:ascii="宋体" w:hAnsi="宋体" w:eastAsia="宋体" w:cs="宋体"/>
          <w:spacing w:val="-3"/>
          <w:sz w:val="21"/>
          <w:szCs w:val="21"/>
        </w:rPr>
        <w:t>是正常蓄水位至防洪限制水位之间汛期用于蓄洪、非汛期用于</w:t>
      </w:r>
      <w:r>
        <w:rPr>
          <w:rFonts w:ascii="宋体" w:hAnsi="宋体" w:eastAsia="宋体" w:cs="宋体"/>
          <w:spacing w:val="-4"/>
          <w:sz w:val="21"/>
          <w:szCs w:val="21"/>
        </w:rPr>
        <w:t>兴利的水库容积。</w:t>
      </w:r>
    </w:p>
    <w:p w14:paraId="1FE9F376">
      <w:pPr>
        <w:spacing w:before="50" w:line="255" w:lineRule="auto"/>
        <w:ind w:left="1520" w:right="921" w:firstLine="389"/>
        <w:rPr>
          <w:rFonts w:ascii="宋体" w:hAnsi="宋体" w:eastAsia="宋体" w:cs="宋体"/>
          <w:sz w:val="21"/>
          <w:szCs w:val="21"/>
        </w:rPr>
      </w:pPr>
      <w:r>
        <w:rPr>
          <w:rFonts w:ascii="宋体" w:hAnsi="宋体" w:eastAsia="宋体" w:cs="宋体"/>
          <w:spacing w:val="2"/>
          <w:sz w:val="21"/>
          <w:szCs w:val="21"/>
        </w:rPr>
        <w:t>(7)死库容(垫底库容)。指死水位以下的水库容积。</w:t>
      </w:r>
      <w:r>
        <w:rPr>
          <w:rFonts w:ascii="宋体" w:hAnsi="宋体" w:eastAsia="宋体" w:cs="宋体"/>
          <w:spacing w:val="49"/>
          <w:sz w:val="21"/>
          <w:szCs w:val="21"/>
        </w:rPr>
        <w:t xml:space="preserve"> </w:t>
      </w:r>
      <w:r>
        <w:rPr>
          <w:rFonts w:ascii="宋体" w:hAnsi="宋体" w:eastAsia="宋体" w:cs="宋体"/>
          <w:spacing w:val="2"/>
          <w:sz w:val="21"/>
          <w:szCs w:val="21"/>
        </w:rPr>
        <w:t>一般用于容纳水库淤沙，抬</w:t>
      </w:r>
      <w:r>
        <w:rPr>
          <w:rFonts w:ascii="宋体" w:hAnsi="宋体" w:eastAsia="宋体" w:cs="宋体"/>
          <w:sz w:val="21"/>
          <w:szCs w:val="21"/>
        </w:rPr>
        <w:t xml:space="preserve"> </w:t>
      </w:r>
      <w:r>
        <w:rPr>
          <w:rFonts w:ascii="宋体" w:hAnsi="宋体" w:eastAsia="宋体" w:cs="宋体"/>
          <w:spacing w:val="-5"/>
          <w:sz w:val="21"/>
          <w:szCs w:val="21"/>
        </w:rPr>
        <w:t>高坝前水位和库区水深。在正常运用中不调节径流，也不放空。</w:t>
      </w:r>
    </w:p>
    <w:p w14:paraId="2435181D">
      <w:pPr>
        <w:spacing w:before="71" w:line="219" w:lineRule="auto"/>
        <w:ind w:left="1910"/>
        <w:rPr>
          <w:rFonts w:ascii="宋体" w:hAnsi="宋体" w:eastAsia="宋体" w:cs="宋体"/>
          <w:sz w:val="21"/>
          <w:szCs w:val="21"/>
        </w:rPr>
      </w:pPr>
      <w:r>
        <w:rPr>
          <w:rFonts w:ascii="宋体" w:hAnsi="宋体" w:eastAsia="宋体" w:cs="宋体"/>
          <w:spacing w:val="-2"/>
          <w:sz w:val="21"/>
          <w:szCs w:val="21"/>
        </w:rPr>
        <w:t>水库特征水位和相应库容关系如图1.2-1所示。</w:t>
      </w:r>
    </w:p>
    <w:p w14:paraId="7BA40C02">
      <w:pPr>
        <w:pStyle w:val="2"/>
        <w:spacing w:before="228" w:line="3104" w:lineRule="exact"/>
        <w:ind w:firstLine="2559"/>
      </w:pPr>
      <w:r>
        <mc:AlternateContent>
          <mc:Choice Requires="wps">
            <w:drawing>
              <wp:anchor distT="0" distB="0" distL="0" distR="0" simplePos="0" relativeHeight="251671552" behindDoc="0" locked="0" layoutInCell="1" allowOverlap="1">
                <wp:simplePos x="0" y="0"/>
                <wp:positionH relativeFrom="column">
                  <wp:posOffset>4516120</wp:posOffset>
                </wp:positionH>
                <wp:positionV relativeFrom="paragraph">
                  <wp:posOffset>855345</wp:posOffset>
                </wp:positionV>
                <wp:extent cx="411480" cy="165735"/>
                <wp:effectExtent l="0" t="0" r="0" b="0"/>
                <wp:wrapNone/>
                <wp:docPr id="22" name="TextBox 22"/>
                <wp:cNvGraphicFramePr/>
                <a:graphic xmlns:a="http://schemas.openxmlformats.org/drawingml/2006/main">
                  <a:graphicData uri="http://schemas.microsoft.com/office/word/2010/wordprocessingShape">
                    <wps:wsp>
                      <wps:cNvSpPr txBox="1"/>
                      <wps:spPr>
                        <a:xfrm rot="16200000">
                          <a:off x="4516373" y="855932"/>
                          <a:ext cx="411480" cy="16573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02790F30">
                            <w:pPr>
                              <w:spacing w:before="50" w:line="219" w:lineRule="auto"/>
                              <w:ind w:left="20"/>
                              <w:rPr>
                                <w:rFonts w:ascii="宋体" w:hAnsi="宋体" w:eastAsia="宋体" w:cs="宋体"/>
                                <w:sz w:val="16"/>
                                <w:szCs w:val="16"/>
                              </w:rPr>
                            </w:pPr>
                            <w:r>
                              <w:rPr>
                                <w:rFonts w:ascii="宋体" w:hAnsi="宋体" w:eastAsia="宋体" w:cs="宋体"/>
                                <w:spacing w:val="-7"/>
                                <w:sz w:val="16"/>
                                <w:szCs w:val="16"/>
                              </w:rPr>
                              <w:t>重叠库容</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2" o:spid="_x0000_s1026" o:spt="202" type="#_x0000_t202" style="position:absolute;left:0pt;margin-left:355.6pt;margin-top:67.35pt;height:13.05pt;width:32.4pt;rotation:-5898240f;z-index:251671552;mso-width-relative:page;mso-height-relative:page;" filled="f" stroked="f" coordsize="21600,21600" o:gfxdata="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HmGc7YAAAACwEAAA8A&#10;AAAAAAAAAQAgAAAAIgAAAGRycy9kb3ducmV2LnhtbFBLAQIUABQAAAAIAIdO4kA3moy+UAIAAKIE&#10;AAAOAAAAAAAAAAEAIAAAACcBAABkcnMvZTJvRG9jLnhtbFBLBQYAAAAABgAGAFkBAADpBQAAAAA=&#10;">
                <v:fill on="f" focussize="0,0"/>
                <v:stroke on="f" weight="0pt" miterlimit="0" joinstyle="miter"/>
                <v:imagedata o:title=""/>
                <o:lock v:ext="edit" aspectratio="f"/>
                <v:textbox inset="0mm,0mm,0mm,0mm">
                  <w:txbxContent>
                    <w:p w14:paraId="02790F30">
                      <w:pPr>
                        <w:spacing w:before="50" w:line="219" w:lineRule="auto"/>
                        <w:ind w:left="20"/>
                        <w:rPr>
                          <w:rFonts w:ascii="宋体" w:hAnsi="宋体" w:eastAsia="宋体" w:cs="宋体"/>
                          <w:sz w:val="16"/>
                          <w:szCs w:val="16"/>
                        </w:rPr>
                      </w:pPr>
                      <w:r>
                        <w:rPr>
                          <w:rFonts w:ascii="宋体" w:hAnsi="宋体" w:eastAsia="宋体" w:cs="宋体"/>
                          <w:spacing w:val="-7"/>
                          <w:sz w:val="16"/>
                          <w:szCs w:val="16"/>
                        </w:rPr>
                        <w:t>重叠库容</w:t>
                      </w:r>
                    </w:p>
                  </w:txbxContent>
                </v:textbox>
              </v:shape>
            </w:pict>
          </mc:Fallback>
        </mc:AlternateContent>
      </w:r>
      <w:r>
        <mc:AlternateContent>
          <mc:Choice Requires="wps">
            <w:drawing>
              <wp:anchor distT="0" distB="0" distL="0" distR="0" simplePos="0" relativeHeight="251670528" behindDoc="0" locked="0" layoutInCell="1" allowOverlap="1">
                <wp:simplePos x="0" y="0"/>
                <wp:positionH relativeFrom="column">
                  <wp:posOffset>4631690</wp:posOffset>
                </wp:positionH>
                <wp:positionV relativeFrom="paragraph">
                  <wp:posOffset>793750</wp:posOffset>
                </wp:positionV>
                <wp:extent cx="421640" cy="165735"/>
                <wp:effectExtent l="0" t="0" r="0" b="0"/>
                <wp:wrapNone/>
                <wp:docPr id="24" name="TextBox 24"/>
                <wp:cNvGraphicFramePr/>
                <a:graphic xmlns:a="http://schemas.openxmlformats.org/drawingml/2006/main">
                  <a:graphicData uri="http://schemas.microsoft.com/office/word/2010/wordprocessingShape">
                    <wps:wsp>
                      <wps:cNvSpPr txBox="1"/>
                      <wps:spPr>
                        <a:xfrm rot="16200000">
                          <a:off x="4631968" y="793812"/>
                          <a:ext cx="421640" cy="16573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393F18CF">
                            <w:pPr>
                              <w:spacing w:before="50" w:line="219" w:lineRule="auto"/>
                              <w:ind w:left="20"/>
                              <w:rPr>
                                <w:rFonts w:ascii="宋体" w:hAnsi="宋体" w:eastAsia="宋体" w:cs="宋体"/>
                                <w:sz w:val="16"/>
                                <w:szCs w:val="16"/>
                              </w:rPr>
                            </w:pPr>
                            <w:r>
                              <w:rPr>
                                <w:rFonts w:ascii="宋体" w:hAnsi="宋体" w:eastAsia="宋体" w:cs="宋体"/>
                                <w:spacing w:val="-4"/>
                                <w:sz w:val="16"/>
                                <w:szCs w:val="16"/>
                              </w:rPr>
                              <w:t>防洪库容</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4" o:spid="_x0000_s1026" o:spt="202" type="#_x0000_t202" style="position:absolute;left:0pt;margin-left:364.7pt;margin-top:62.5pt;height:13.05pt;width:33.2pt;rotation:-5898240f;z-index:251670528;mso-width-relative:page;mso-height-relative:page;" filled="f" stroked="f" coordsize="21600,21600" o:gfxdata="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Nt7+A2QAAAAsBAAAP&#10;AAAAAAAAAAEAIAAAACIAAABkcnMvZG93bnJldi54bWxQSwECFAAUAAAACACHTuJAnSUT2FACAACi&#10;BAAADgAAAAAAAAABACAAAAAoAQAAZHJzL2Uyb0RvYy54bWxQSwUGAAAAAAYABgBZAQAA6gUAAAAA&#10;">
                <v:fill on="f" focussize="0,0"/>
                <v:stroke on="f" weight="0pt" miterlimit="0" joinstyle="miter"/>
                <v:imagedata o:title=""/>
                <o:lock v:ext="edit" aspectratio="f"/>
                <v:textbox inset="0mm,0mm,0mm,0mm">
                  <w:txbxContent>
                    <w:p w14:paraId="393F18CF">
                      <w:pPr>
                        <w:spacing w:before="50" w:line="219" w:lineRule="auto"/>
                        <w:ind w:left="20"/>
                        <w:rPr>
                          <w:rFonts w:ascii="宋体" w:hAnsi="宋体" w:eastAsia="宋体" w:cs="宋体"/>
                          <w:sz w:val="16"/>
                          <w:szCs w:val="16"/>
                        </w:rPr>
                      </w:pPr>
                      <w:r>
                        <w:rPr>
                          <w:rFonts w:ascii="宋体" w:hAnsi="宋体" w:eastAsia="宋体" w:cs="宋体"/>
                          <w:spacing w:val="-4"/>
                          <w:sz w:val="16"/>
                          <w:szCs w:val="16"/>
                        </w:rPr>
                        <w:t>防洪库容</w:t>
                      </w:r>
                    </w:p>
                  </w:txbxContent>
                </v:textbox>
              </v:shape>
            </w:pict>
          </mc:Fallback>
        </mc:AlternateContent>
      </w:r>
      <w:r>
        <mc:AlternateContent>
          <mc:Choice Requires="wps">
            <w:drawing>
              <wp:anchor distT="0" distB="0" distL="0" distR="0" simplePos="0" relativeHeight="251668480" behindDoc="0" locked="0" layoutInCell="1" allowOverlap="1">
                <wp:simplePos x="0" y="0"/>
                <wp:positionH relativeFrom="column">
                  <wp:posOffset>4763770</wp:posOffset>
                </wp:positionH>
                <wp:positionV relativeFrom="paragraph">
                  <wp:posOffset>373380</wp:posOffset>
                </wp:positionV>
                <wp:extent cx="398780" cy="165735"/>
                <wp:effectExtent l="0" t="0" r="0" b="0"/>
                <wp:wrapNone/>
                <wp:docPr id="26" name="TextBox 26"/>
                <wp:cNvGraphicFramePr/>
                <a:graphic xmlns:a="http://schemas.openxmlformats.org/drawingml/2006/main">
                  <a:graphicData uri="http://schemas.microsoft.com/office/word/2010/wordprocessingShape">
                    <wps:wsp>
                      <wps:cNvSpPr txBox="1"/>
                      <wps:spPr>
                        <a:xfrm rot="16200000">
                          <a:off x="4764087" y="373463"/>
                          <a:ext cx="398779" cy="16573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6CE843EF">
                            <w:pPr>
                              <w:spacing w:before="50" w:line="219" w:lineRule="auto"/>
                              <w:ind w:left="20"/>
                              <w:rPr>
                                <w:rFonts w:ascii="宋体" w:hAnsi="宋体" w:eastAsia="宋体" w:cs="宋体"/>
                                <w:sz w:val="16"/>
                                <w:szCs w:val="16"/>
                              </w:rPr>
                            </w:pPr>
                            <w:r>
                              <w:rPr>
                                <w:rFonts w:ascii="宋体" w:hAnsi="宋体" w:eastAsia="宋体" w:cs="宋体"/>
                                <w:spacing w:val="-10"/>
                                <w:sz w:val="16"/>
                                <w:szCs w:val="16"/>
                              </w:rPr>
                              <w:t>调洪库容</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6" o:spid="_x0000_s1026" o:spt="202" type="#_x0000_t202" style="position:absolute;left:0pt;margin-left:375.1pt;margin-top:29.4pt;height:13.05pt;width:31.4pt;rotation:-5898240f;z-index:251668480;mso-width-relative:page;mso-height-relative:page;" filled="f" stroked="f" coordsize="21600,21600" o:gfxdata="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eNRSgdgAAAAJAQAA&#10;DwAAAAAAAAABACAAAAAiAAAAZHJzL2Rvd25yZXYueG1sUEsBAhQAFAAAAAgAh07iQMJD93lSAgAA&#10;ogQAAA4AAAAAAAAAAQAgAAAAJwEAAGRycy9lMm9Eb2MueG1sUEsFBgAAAAAGAAYAWQEAAOsFAAAA&#10;AA==&#10;">
                <v:fill on="f" focussize="0,0"/>
                <v:stroke on="f" weight="0pt" miterlimit="0" joinstyle="miter"/>
                <v:imagedata o:title=""/>
                <o:lock v:ext="edit" aspectratio="f"/>
                <v:textbox inset="0mm,0mm,0mm,0mm">
                  <w:txbxContent>
                    <w:p w14:paraId="6CE843EF">
                      <w:pPr>
                        <w:spacing w:before="50" w:line="219" w:lineRule="auto"/>
                        <w:ind w:left="20"/>
                        <w:rPr>
                          <w:rFonts w:ascii="宋体" w:hAnsi="宋体" w:eastAsia="宋体" w:cs="宋体"/>
                          <w:sz w:val="16"/>
                          <w:szCs w:val="16"/>
                        </w:rPr>
                      </w:pPr>
                      <w:r>
                        <w:rPr>
                          <w:rFonts w:ascii="宋体" w:hAnsi="宋体" w:eastAsia="宋体" w:cs="宋体"/>
                          <w:spacing w:val="-10"/>
                          <w:sz w:val="16"/>
                          <w:szCs w:val="16"/>
                        </w:rPr>
                        <w:t>调洪库容</w:t>
                      </w:r>
                    </w:p>
                  </w:txbxContent>
                </v:textbox>
              </v:shape>
            </w:pict>
          </mc:Fallback>
        </mc:AlternateContent>
      </w:r>
      <w:r>
        <mc:AlternateContent>
          <mc:Choice Requires="wps">
            <w:drawing>
              <wp:anchor distT="0" distB="0" distL="0" distR="0" simplePos="0" relativeHeight="251669504" behindDoc="0" locked="0" layoutInCell="1" allowOverlap="1">
                <wp:simplePos x="0" y="0"/>
                <wp:positionH relativeFrom="column">
                  <wp:posOffset>4297680</wp:posOffset>
                </wp:positionH>
                <wp:positionV relativeFrom="paragraph">
                  <wp:posOffset>1507490</wp:posOffset>
                </wp:positionV>
                <wp:extent cx="378460" cy="165735"/>
                <wp:effectExtent l="0" t="0" r="0" b="0"/>
                <wp:wrapNone/>
                <wp:docPr id="28" name="TextBox 28"/>
                <wp:cNvGraphicFramePr/>
                <a:graphic xmlns:a="http://schemas.openxmlformats.org/drawingml/2006/main">
                  <a:graphicData uri="http://schemas.microsoft.com/office/word/2010/wordprocessingShape">
                    <wps:wsp>
                      <wps:cNvSpPr txBox="1"/>
                      <wps:spPr>
                        <a:xfrm rot="16200000">
                          <a:off x="4298184" y="1507675"/>
                          <a:ext cx="378459" cy="16573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51D46335">
                            <w:pPr>
                              <w:spacing w:before="50" w:line="219" w:lineRule="auto"/>
                              <w:ind w:left="20"/>
                              <w:rPr>
                                <w:rFonts w:ascii="宋体" w:hAnsi="宋体" w:eastAsia="宋体" w:cs="宋体"/>
                                <w:sz w:val="16"/>
                                <w:szCs w:val="16"/>
                              </w:rPr>
                            </w:pPr>
                            <w:r>
                              <w:rPr>
                                <w:rFonts w:ascii="宋体" w:hAnsi="宋体" w:eastAsia="宋体" w:cs="宋体"/>
                                <w:spacing w:val="-1"/>
                                <w:sz w:val="16"/>
                                <w:szCs w:val="16"/>
                              </w:rPr>
                              <w:t>-死库容</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8" o:spid="_x0000_s1026" o:spt="202" type="#_x0000_t202" style="position:absolute;left:0pt;margin-left:338.4pt;margin-top:118.7pt;height:13.05pt;width:29.8pt;rotation:-5898240f;z-index:251669504;mso-width-relative:page;mso-height-relative:page;" filled="f" stroked="f" coordsize="21600,21600" o:gfxdata="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AvVd1dkAAAALAQAA&#10;DwAAAAAAAAABACAAAAAiAAAAZHJzL2Rvd25yZXYueG1sUEsBAhQAFAAAAAgAh07iQM/z0i9RAgAA&#10;owQAAA4AAAAAAAAAAQAgAAAAKAEAAGRycy9lMm9Eb2MueG1sUEsFBgAAAAAGAAYAWQEAAOsFAAAA&#10;AA==&#10;">
                <v:fill on="f" focussize="0,0"/>
                <v:stroke on="f" weight="0pt" miterlimit="0" joinstyle="miter"/>
                <v:imagedata o:title=""/>
                <o:lock v:ext="edit" aspectratio="f"/>
                <v:textbox inset="0mm,0mm,0mm,0mm">
                  <w:txbxContent>
                    <w:p w14:paraId="51D46335">
                      <w:pPr>
                        <w:spacing w:before="50" w:line="219" w:lineRule="auto"/>
                        <w:ind w:left="20"/>
                        <w:rPr>
                          <w:rFonts w:ascii="宋体" w:hAnsi="宋体" w:eastAsia="宋体" w:cs="宋体"/>
                          <w:sz w:val="16"/>
                          <w:szCs w:val="16"/>
                        </w:rPr>
                      </w:pPr>
                      <w:r>
                        <w:rPr>
                          <w:rFonts w:ascii="宋体" w:hAnsi="宋体" w:eastAsia="宋体" w:cs="宋体"/>
                          <w:spacing w:val="-1"/>
                          <w:sz w:val="16"/>
                          <w:szCs w:val="16"/>
                        </w:rPr>
                        <w:t>-死库容</w:t>
                      </w:r>
                    </w:p>
                  </w:txbxContent>
                </v:textbox>
              </v:shape>
            </w:pict>
          </mc:Fallback>
        </mc:AlternateContent>
      </w:r>
      <w:r>
        <mc:AlternateContent>
          <mc:Choice Requires="wps">
            <w:drawing>
              <wp:anchor distT="0" distB="0" distL="0" distR="0" simplePos="0" relativeHeight="251667456" behindDoc="0" locked="0" layoutInCell="1" allowOverlap="1">
                <wp:simplePos x="0" y="0"/>
                <wp:positionH relativeFrom="column">
                  <wp:posOffset>4839970</wp:posOffset>
                </wp:positionH>
                <wp:positionV relativeFrom="paragraph">
                  <wp:posOffset>1610995</wp:posOffset>
                </wp:positionV>
                <wp:extent cx="462915" cy="165735"/>
                <wp:effectExtent l="0" t="0" r="0" b="0"/>
                <wp:wrapNone/>
                <wp:docPr id="30" name="TextBox 30"/>
                <wp:cNvGraphicFramePr/>
                <a:graphic xmlns:a="http://schemas.openxmlformats.org/drawingml/2006/main">
                  <a:graphicData uri="http://schemas.microsoft.com/office/word/2010/wordprocessingShape">
                    <wps:wsp>
                      <wps:cNvSpPr txBox="1"/>
                      <wps:spPr>
                        <a:xfrm rot="16200000">
                          <a:off x="4840123" y="1611500"/>
                          <a:ext cx="462915" cy="16573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14:paraId="15D5D78C">
                            <w:pPr>
                              <w:spacing w:before="50" w:line="219" w:lineRule="auto"/>
                              <w:ind w:left="20"/>
                              <w:rPr>
                                <w:rFonts w:ascii="宋体" w:hAnsi="宋体" w:eastAsia="宋体" w:cs="宋体"/>
                                <w:sz w:val="16"/>
                                <w:szCs w:val="16"/>
                              </w:rPr>
                            </w:pPr>
                            <w:r>
                              <w:rPr>
                                <w:rFonts w:ascii="宋体" w:hAnsi="宋体" w:eastAsia="宋体" w:cs="宋体"/>
                                <w:spacing w:val="-6"/>
                                <w:sz w:val="16"/>
                                <w:szCs w:val="16"/>
                              </w:rPr>
                              <w:t>总</w:t>
                            </w:r>
                            <w:r>
                              <w:rPr>
                                <w:rFonts w:ascii="宋体" w:hAnsi="宋体" w:eastAsia="宋体" w:cs="宋体"/>
                                <w:spacing w:val="36"/>
                                <w:sz w:val="16"/>
                                <w:szCs w:val="16"/>
                              </w:rPr>
                              <w:t xml:space="preserve"> </w:t>
                            </w:r>
                            <w:r>
                              <w:rPr>
                                <w:rFonts w:ascii="宋体" w:hAnsi="宋体" w:eastAsia="宋体" w:cs="宋体"/>
                                <w:spacing w:val="-6"/>
                                <w:sz w:val="16"/>
                                <w:szCs w:val="16"/>
                              </w:rPr>
                              <w:t>库</w:t>
                            </w:r>
                            <w:r>
                              <w:rPr>
                                <w:rFonts w:ascii="宋体" w:hAnsi="宋体" w:eastAsia="宋体" w:cs="宋体"/>
                                <w:spacing w:val="37"/>
                                <w:sz w:val="16"/>
                                <w:szCs w:val="16"/>
                              </w:rPr>
                              <w:t xml:space="preserve"> </w:t>
                            </w:r>
                            <w:r>
                              <w:rPr>
                                <w:rFonts w:ascii="宋体" w:hAnsi="宋体" w:eastAsia="宋体" w:cs="宋体"/>
                                <w:spacing w:val="-6"/>
                                <w:sz w:val="16"/>
                                <w:szCs w:val="16"/>
                              </w:rPr>
                              <w:t>容</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30" o:spid="_x0000_s1026" o:spt="202" type="#_x0000_t202" style="position:absolute;left:0pt;margin-left:381.1pt;margin-top:126.85pt;height:13.05pt;width:36.45pt;rotation:-5898240f;z-index:251667456;mso-width-relative:page;mso-height-relative:page;" filled="f" stroked="f" coordsize="21600,21600" o:gfxdata="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J0KjNHaAAAACwEAAA8AAAAA&#10;AAAAAQAgAAAAIgAAAGRycy9kb3ducmV2LnhtbFBLAQIUABQAAAAIAIdO4kDSDSBRSwIAAKMEAAAO&#10;AAAAAAAAAAEAIAAAACkBAABkcnMvZTJvRG9jLnhtbFBLBQYAAAAABgAGAFkBAADmBQAAAAA=&#10;">
                <v:fill on="f" focussize="0,0"/>
                <v:stroke on="f" weight="0pt" miterlimit="0" joinstyle="miter"/>
                <v:imagedata o:title=""/>
                <o:lock v:ext="edit" aspectratio="f"/>
                <v:textbox inset="0mm,0mm,0mm,0mm">
                  <w:txbxContent>
                    <w:p w14:paraId="15D5D78C">
                      <w:pPr>
                        <w:spacing w:before="50" w:line="219" w:lineRule="auto"/>
                        <w:ind w:left="20"/>
                        <w:rPr>
                          <w:rFonts w:ascii="宋体" w:hAnsi="宋体" w:eastAsia="宋体" w:cs="宋体"/>
                          <w:sz w:val="16"/>
                          <w:szCs w:val="16"/>
                        </w:rPr>
                      </w:pPr>
                      <w:r>
                        <w:rPr>
                          <w:rFonts w:ascii="宋体" w:hAnsi="宋体" w:eastAsia="宋体" w:cs="宋体"/>
                          <w:spacing w:val="-6"/>
                          <w:sz w:val="16"/>
                          <w:szCs w:val="16"/>
                        </w:rPr>
                        <w:t>总</w:t>
                      </w:r>
                      <w:r>
                        <w:rPr>
                          <w:rFonts w:ascii="宋体" w:hAnsi="宋体" w:eastAsia="宋体" w:cs="宋体"/>
                          <w:spacing w:val="36"/>
                          <w:sz w:val="16"/>
                          <w:szCs w:val="16"/>
                        </w:rPr>
                        <w:t xml:space="preserve"> </w:t>
                      </w:r>
                      <w:r>
                        <w:rPr>
                          <w:rFonts w:ascii="宋体" w:hAnsi="宋体" w:eastAsia="宋体" w:cs="宋体"/>
                          <w:spacing w:val="-6"/>
                          <w:sz w:val="16"/>
                          <w:szCs w:val="16"/>
                        </w:rPr>
                        <w:t>库</w:t>
                      </w:r>
                      <w:r>
                        <w:rPr>
                          <w:rFonts w:ascii="宋体" w:hAnsi="宋体" w:eastAsia="宋体" w:cs="宋体"/>
                          <w:spacing w:val="37"/>
                          <w:sz w:val="16"/>
                          <w:szCs w:val="16"/>
                        </w:rPr>
                        <w:t xml:space="preserve"> </w:t>
                      </w:r>
                      <w:r>
                        <w:rPr>
                          <w:rFonts w:ascii="宋体" w:hAnsi="宋体" w:eastAsia="宋体" w:cs="宋体"/>
                          <w:spacing w:val="-6"/>
                          <w:sz w:val="16"/>
                          <w:szCs w:val="16"/>
                        </w:rPr>
                        <w:t>容</w:t>
                      </w:r>
                    </w:p>
                  </w:txbxContent>
                </v:textbox>
              </v:shape>
            </w:pict>
          </mc:Fallback>
        </mc:AlternateContent>
      </w:r>
      <w:r>
        <w:rPr>
          <w:position w:val="-62"/>
        </w:rPr>
        <w:pict>
          <v:group id="_x0000_s1040" o:spid="_x0000_s1040" o:spt="203" style="height:155.2pt;width:285.05pt;" coordsize="5700,3103">
            <o:lock v:ext="edit"/>
            <v:shape id="_x0000_s1041" o:spid="_x0000_s1041" o:spt="75" type="#_x0000_t75" style="position:absolute;left:0;top:3;height:3100;width:5700;" filled="f" stroked="f" coordsize="21600,21600">
              <v:path/>
              <v:fill on="f" focussize="0,0"/>
              <v:stroke on="f"/>
              <v:imagedata r:id="rId32" o:title=""/>
              <o:lock v:ext="edit" aspectratio="t"/>
            </v:shape>
            <v:shape id="_x0000_s1042" o:spid="_x0000_s1042" o:spt="202" type="#_x0000_t202" style="position:absolute;left:2590;top:-20;height:2180;width:1493;" filled="f" stroked="f" coordsize="21600,21600">
              <v:path/>
              <v:fill on="f" focussize="0,0"/>
              <v:stroke on="f"/>
              <v:imagedata o:title=""/>
              <o:lock v:ext="edit" aspectratio="f"/>
              <v:textbox inset="0mm,0mm,0mm,0mm">
                <w:txbxContent>
                  <w:p w14:paraId="076D98FC">
                    <w:pPr>
                      <w:spacing w:before="20" w:line="244" w:lineRule="auto"/>
                      <w:ind w:left="209" w:right="517" w:hanging="10"/>
                      <w:rPr>
                        <w:rFonts w:ascii="宋体" w:hAnsi="宋体" w:eastAsia="宋体" w:cs="宋体"/>
                        <w:sz w:val="16"/>
                        <w:szCs w:val="16"/>
                      </w:rPr>
                    </w:pPr>
                    <w:r>
                      <w:rPr>
                        <w:rFonts w:ascii="宋体" w:hAnsi="宋体" w:eastAsia="宋体" w:cs="宋体"/>
                        <w:spacing w:val="-9"/>
                        <w:sz w:val="16"/>
                        <w:szCs w:val="16"/>
                      </w:rPr>
                      <w:t>校核洪水位</w:t>
                    </w:r>
                    <w:r>
                      <w:rPr>
                        <w:rFonts w:ascii="宋体" w:hAnsi="宋体" w:eastAsia="宋体" w:cs="宋体"/>
                        <w:sz w:val="16"/>
                        <w:szCs w:val="16"/>
                      </w:rPr>
                      <w:t xml:space="preserve"> </w:t>
                    </w:r>
                    <w:r>
                      <w:rPr>
                        <w:rFonts w:ascii="宋体" w:hAnsi="宋体" w:eastAsia="宋体" w:cs="宋体"/>
                        <w:spacing w:val="-7"/>
                        <w:sz w:val="16"/>
                        <w:szCs w:val="16"/>
                      </w:rPr>
                      <w:t>设计洪水位</w:t>
                    </w:r>
                  </w:p>
                  <w:p w14:paraId="39EA99F0">
                    <w:pPr>
                      <w:spacing w:before="196" w:line="219" w:lineRule="auto"/>
                      <w:ind w:left="330"/>
                      <w:rPr>
                        <w:rFonts w:ascii="宋体" w:hAnsi="宋体" w:eastAsia="宋体" w:cs="宋体"/>
                        <w:sz w:val="16"/>
                        <w:szCs w:val="16"/>
                      </w:rPr>
                    </w:pPr>
                    <w:r>
                      <w:rPr>
                        <w:rFonts w:ascii="宋体" w:hAnsi="宋体" w:eastAsia="宋体" w:cs="宋体"/>
                        <w:spacing w:val="-3"/>
                        <w:sz w:val="16"/>
                        <w:szCs w:val="16"/>
                      </w:rPr>
                      <w:t>防洪限制水位</w:t>
                    </w:r>
                  </w:p>
                  <w:p w14:paraId="4AD4F046">
                    <w:pPr>
                      <w:spacing w:before="70" w:line="199" w:lineRule="auto"/>
                      <w:ind w:left="920"/>
                      <w:rPr>
                        <w:rFonts w:ascii="宋体" w:hAnsi="宋体" w:eastAsia="宋体" w:cs="宋体"/>
                        <w:sz w:val="12"/>
                        <w:szCs w:val="12"/>
                      </w:rPr>
                    </w:pPr>
                    <w:r>
                      <w:rPr>
                        <w:rFonts w:ascii="宋体" w:hAnsi="宋体" w:eastAsia="宋体" w:cs="宋体"/>
                        <w:spacing w:val="-3"/>
                        <w:sz w:val="12"/>
                        <w:szCs w:val="12"/>
                      </w:rPr>
                      <w:t>闸门一</w:t>
                    </w:r>
                  </w:p>
                  <w:p w14:paraId="102F7B1E">
                    <w:pPr>
                      <w:spacing w:line="219" w:lineRule="auto"/>
                      <w:ind w:left="759"/>
                      <w:rPr>
                        <w:rFonts w:ascii="宋体" w:hAnsi="宋体" w:eastAsia="宋体" w:cs="宋体"/>
                        <w:sz w:val="16"/>
                        <w:szCs w:val="16"/>
                      </w:rPr>
                    </w:pPr>
                    <w:r>
                      <w:rPr>
                        <w:rFonts w:ascii="宋体" w:hAnsi="宋体" w:eastAsia="宋体" w:cs="宋体"/>
                        <w:spacing w:val="-2"/>
                        <w:sz w:val="16"/>
                        <w:szCs w:val="16"/>
                      </w:rPr>
                      <w:t>溢流堰顶</w:t>
                    </w:r>
                  </w:p>
                  <w:p w14:paraId="09CCE535">
                    <w:pPr>
                      <w:spacing w:line="465" w:lineRule="auto"/>
                      <w:rPr>
                        <w:rFonts w:ascii="Arial"/>
                        <w:sz w:val="21"/>
                      </w:rPr>
                    </w:pPr>
                  </w:p>
                  <w:p w14:paraId="5EBC3A03">
                    <w:pPr>
                      <w:spacing w:before="52" w:line="271" w:lineRule="auto"/>
                      <w:ind w:left="20" w:right="20" w:firstLine="900"/>
                      <w:rPr>
                        <w:rFonts w:ascii="宋体" w:hAnsi="宋体" w:eastAsia="宋体" w:cs="宋体"/>
                        <w:sz w:val="16"/>
                        <w:szCs w:val="16"/>
                      </w:rPr>
                    </w:pPr>
                    <w:r>
                      <w:rPr>
                        <w:rFonts w:ascii="宋体" w:hAnsi="宋体" w:eastAsia="宋体" w:cs="宋体"/>
                        <w:spacing w:val="24"/>
                        <w:sz w:val="16"/>
                        <w:szCs w:val="16"/>
                      </w:rPr>
                      <w:t>引水口</w:t>
                    </w:r>
                    <w:r>
                      <w:rPr>
                        <w:rFonts w:ascii="宋体" w:hAnsi="宋体" w:eastAsia="宋体" w:cs="宋体"/>
                        <w:sz w:val="16"/>
                        <w:szCs w:val="16"/>
                      </w:rPr>
                      <w:t xml:space="preserve"> </w:t>
                    </w:r>
                    <w:r>
                      <w:rPr>
                        <w:rFonts w:ascii="宋体" w:hAnsi="宋体" w:eastAsia="宋体" w:cs="宋体"/>
                        <w:spacing w:val="-8"/>
                        <w:sz w:val="16"/>
                        <w:szCs w:val="16"/>
                      </w:rPr>
                      <w:t>天然河道枯水位线</w:t>
                    </w:r>
                  </w:p>
                </w:txbxContent>
              </v:textbox>
            </v:shape>
            <v:shape id="_x0000_s1043" o:spid="_x0000_s1043" o:spt="202" type="#_x0000_t202" style="position:absolute;left:1380;top:420;height:1341;width:978;" filled="f" stroked="f" coordsize="21600,21600">
              <v:path/>
              <v:fill on="f" focussize="0,0"/>
              <v:stroke on="f"/>
              <v:imagedata o:title=""/>
              <o:lock v:ext="edit" aspectratio="f"/>
              <v:textbox inset="0mm,0mm,0mm,0mm">
                <w:txbxContent>
                  <w:p w14:paraId="66DB1D4D">
                    <w:pPr>
                      <w:spacing w:before="19" w:line="208" w:lineRule="auto"/>
                      <w:ind w:left="150" w:right="36" w:hanging="130"/>
                      <w:rPr>
                        <w:rFonts w:ascii="宋体" w:hAnsi="宋体" w:eastAsia="宋体" w:cs="宋体"/>
                        <w:sz w:val="16"/>
                        <w:szCs w:val="16"/>
                      </w:rPr>
                    </w:pPr>
                    <w:r>
                      <w:rPr>
                        <w:rFonts w:ascii="宋体" w:hAnsi="宋体" w:eastAsia="宋体" w:cs="宋体"/>
                        <w:spacing w:val="-14"/>
                        <w:w w:val="98"/>
                        <w:sz w:val="16"/>
                        <w:szCs w:val="16"/>
                      </w:rPr>
                      <w:t>防洪高水位一</w:t>
                    </w:r>
                    <w:r>
                      <w:rPr>
                        <w:rFonts w:ascii="宋体" w:hAnsi="宋体" w:eastAsia="宋体" w:cs="宋体"/>
                        <w:sz w:val="16"/>
                        <w:szCs w:val="16"/>
                      </w:rPr>
                      <w:t xml:space="preserve">  </w:t>
                    </w:r>
                    <w:r>
                      <w:rPr>
                        <w:rFonts w:ascii="宋体" w:hAnsi="宋体" w:eastAsia="宋体" w:cs="宋体"/>
                        <w:spacing w:val="-2"/>
                        <w:sz w:val="16"/>
                        <w:szCs w:val="16"/>
                      </w:rPr>
                      <w:t>正常蓄水位</w:t>
                    </w:r>
                  </w:p>
                  <w:p w14:paraId="33268B39">
                    <w:pPr>
                      <w:spacing w:line="329" w:lineRule="auto"/>
                      <w:rPr>
                        <w:rFonts w:ascii="Arial"/>
                        <w:sz w:val="21"/>
                      </w:rPr>
                    </w:pPr>
                  </w:p>
                  <w:p w14:paraId="4BBDE875">
                    <w:pPr>
                      <w:spacing w:line="330" w:lineRule="auto"/>
                      <w:rPr>
                        <w:rFonts w:ascii="Arial"/>
                        <w:sz w:val="21"/>
                      </w:rPr>
                    </w:pPr>
                  </w:p>
                  <w:p w14:paraId="455FA01E">
                    <w:pPr>
                      <w:spacing w:before="69" w:line="219" w:lineRule="auto"/>
                      <w:jc w:val="right"/>
                      <w:rPr>
                        <w:rFonts w:ascii="宋体" w:hAnsi="宋体" w:eastAsia="宋体" w:cs="宋体"/>
                        <w:sz w:val="21"/>
                        <w:szCs w:val="21"/>
                      </w:rPr>
                    </w:pPr>
                    <w:r>
                      <w:rPr>
                        <w:rFonts w:ascii="宋体" w:hAnsi="宋体" w:eastAsia="宋体" w:cs="宋体"/>
                        <w:spacing w:val="-20"/>
                        <w:w w:val="97"/>
                        <w:sz w:val="21"/>
                        <w:szCs w:val="21"/>
                      </w:rPr>
                      <w:t>死</w:t>
                    </w:r>
                    <w:r>
                      <w:rPr>
                        <w:rFonts w:ascii="宋体" w:hAnsi="宋体" w:eastAsia="宋体" w:cs="宋体"/>
                        <w:spacing w:val="-19"/>
                        <w:w w:val="97"/>
                        <w:sz w:val="21"/>
                        <w:szCs w:val="21"/>
                      </w:rPr>
                      <w:t>水</w:t>
                    </w:r>
                    <w:r>
                      <w:rPr>
                        <w:rFonts w:ascii="宋体" w:hAnsi="宋体" w:eastAsia="宋体" w:cs="宋体"/>
                        <w:spacing w:val="-9"/>
                        <w:w w:val="97"/>
                        <w:sz w:val="21"/>
                        <w:szCs w:val="21"/>
                      </w:rPr>
                      <w:t>位</w:t>
                    </w:r>
                  </w:p>
                </w:txbxContent>
              </v:textbox>
            </v:shape>
            <v:shape id="_x0000_s1044" o:spid="_x0000_s1044" o:spt="202" type="#_x0000_t202" style="position:absolute;left:2710;top:795;height:803;width:187;" filled="f" stroked="f" coordsize="21600,21600">
              <v:path/>
              <v:fill on="f" focussize="0,0"/>
              <v:stroke on="f"/>
              <v:imagedata o:title=""/>
              <o:lock v:ext="edit" aspectratio="f"/>
              <v:textbox inset="0mm,0mm,0mm,0mm" style="layout-flow:vertical-ideographic;">
                <w:txbxContent>
                  <w:p w14:paraId="45841E8E">
                    <w:pPr>
                      <w:spacing w:before="19" w:line="201" w:lineRule="auto"/>
                      <w:ind w:left="20"/>
                      <w:rPr>
                        <w:rFonts w:ascii="宋体" w:hAnsi="宋体" w:eastAsia="宋体" w:cs="宋体"/>
                        <w:sz w:val="16"/>
                        <w:szCs w:val="16"/>
                      </w:rPr>
                    </w:pPr>
                    <w:r>
                      <w:rPr>
                        <w:rFonts w:ascii="宋体" w:hAnsi="宋体" w:eastAsia="宋体" w:cs="宋体"/>
                        <w:spacing w:val="30"/>
                        <w:sz w:val="16"/>
                        <w:szCs w:val="16"/>
                      </w:rPr>
                      <w:t>消落深度</w:t>
                    </w:r>
                  </w:p>
                </w:txbxContent>
              </v:textbox>
            </v:shape>
            <w10:wrap type="none"/>
            <w10:anchorlock/>
          </v:group>
        </w:pict>
      </w:r>
    </w:p>
    <w:p w14:paraId="5DF6EBE5">
      <w:pPr>
        <w:spacing w:before="216" w:line="219" w:lineRule="auto"/>
        <w:ind w:left="3759"/>
        <w:rPr>
          <w:rFonts w:ascii="宋体" w:hAnsi="宋体" w:eastAsia="宋体" w:cs="宋体"/>
          <w:sz w:val="16"/>
          <w:szCs w:val="16"/>
        </w:rPr>
      </w:pPr>
      <w:r>
        <w:rPr>
          <w:rFonts w:ascii="宋体" w:hAnsi="宋体" w:eastAsia="宋体" w:cs="宋体"/>
          <w:color w:val="407090"/>
          <w:spacing w:val="16"/>
          <w:sz w:val="16"/>
          <w:szCs w:val="16"/>
        </w:rPr>
        <w:t>图1.2-</w:t>
      </w:r>
      <w:r>
        <w:rPr>
          <w:rFonts w:ascii="宋体" w:hAnsi="宋体" w:eastAsia="宋体" w:cs="宋体"/>
          <w:color w:val="407090"/>
          <w:spacing w:val="-31"/>
          <w:sz w:val="16"/>
          <w:szCs w:val="16"/>
        </w:rPr>
        <w:t xml:space="preserve"> </w:t>
      </w:r>
      <w:r>
        <w:rPr>
          <w:rFonts w:ascii="宋体" w:hAnsi="宋体" w:eastAsia="宋体" w:cs="宋体"/>
          <w:color w:val="407090"/>
          <w:spacing w:val="16"/>
          <w:sz w:val="16"/>
          <w:szCs w:val="16"/>
        </w:rPr>
        <w:t>1</w:t>
      </w:r>
      <w:r>
        <w:rPr>
          <w:rFonts w:ascii="宋体" w:hAnsi="宋体" w:eastAsia="宋体" w:cs="宋体"/>
          <w:color w:val="407090"/>
          <w:spacing w:val="6"/>
          <w:sz w:val="16"/>
          <w:szCs w:val="16"/>
        </w:rPr>
        <w:t xml:space="preserve">  </w:t>
      </w:r>
      <w:r>
        <w:rPr>
          <w:rFonts w:ascii="宋体" w:hAnsi="宋体" w:eastAsia="宋体" w:cs="宋体"/>
          <w:color w:val="407090"/>
          <w:spacing w:val="16"/>
          <w:sz w:val="16"/>
          <w:szCs w:val="16"/>
        </w:rPr>
        <w:t>水库特征水位和相应库容示意图</w:t>
      </w:r>
    </w:p>
    <w:p w14:paraId="11D4074D">
      <w:pPr>
        <w:pStyle w:val="2"/>
        <w:spacing w:line="277" w:lineRule="auto"/>
      </w:pPr>
    </w:p>
    <w:p w14:paraId="3209E452">
      <w:pPr>
        <w:spacing w:before="69" w:line="222" w:lineRule="auto"/>
        <w:ind w:left="1523"/>
        <w:rPr>
          <w:rFonts w:ascii="黑体" w:hAnsi="黑体" w:eastAsia="黑体" w:cs="黑体"/>
          <w:sz w:val="21"/>
          <w:szCs w:val="21"/>
        </w:rPr>
      </w:pPr>
      <w:r>
        <w:rPr>
          <w:rFonts w:ascii="宋体" w:hAnsi="宋体" w:eastAsia="宋体" w:cs="宋体"/>
          <w:b/>
          <w:bCs/>
          <w:color w:val="4070A0"/>
          <w:spacing w:val="19"/>
          <w:sz w:val="21"/>
          <w:szCs w:val="21"/>
        </w:rPr>
        <w:t>1.2.2</w:t>
      </w:r>
      <w:r>
        <w:rPr>
          <w:rFonts w:ascii="宋体" w:hAnsi="宋体" w:eastAsia="宋体" w:cs="宋体"/>
          <w:color w:val="4070A0"/>
          <w:spacing w:val="19"/>
          <w:sz w:val="21"/>
          <w:szCs w:val="21"/>
        </w:rPr>
        <w:t xml:space="preserve">   </w:t>
      </w:r>
      <w:r>
        <w:rPr>
          <w:rFonts w:ascii="黑体" w:hAnsi="黑体" w:eastAsia="黑体" w:cs="黑体"/>
          <w:b/>
          <w:bCs/>
          <w:color w:val="4070A0"/>
          <w:spacing w:val="19"/>
          <w:sz w:val="21"/>
          <w:szCs w:val="21"/>
        </w:rPr>
        <w:t>水利水电工程合理使用年限及耐久性</w:t>
      </w:r>
    </w:p>
    <w:p w14:paraId="01A7C1EF">
      <w:pPr>
        <w:spacing w:before="220" w:line="219" w:lineRule="auto"/>
        <w:ind w:left="1830"/>
        <w:rPr>
          <w:rFonts w:ascii="宋体" w:hAnsi="宋体" w:eastAsia="宋体" w:cs="宋体"/>
          <w:sz w:val="16"/>
          <w:szCs w:val="16"/>
        </w:rPr>
      </w:pPr>
      <w:r>
        <w:rPr>
          <w:rFonts w:ascii="宋体" w:hAnsi="宋体" w:eastAsia="宋体" w:cs="宋体"/>
          <w:spacing w:val="29"/>
          <w:sz w:val="16"/>
          <w:szCs w:val="16"/>
        </w:rPr>
        <w:t>《 中华人民共和国建筑法</w:t>
      </w:r>
      <w:r>
        <w:rPr>
          <w:rFonts w:ascii="宋体" w:hAnsi="宋体" w:eastAsia="宋体" w:cs="宋体"/>
          <w:spacing w:val="-22"/>
          <w:sz w:val="16"/>
          <w:szCs w:val="16"/>
        </w:rPr>
        <w:t xml:space="preserve"> </w:t>
      </w:r>
      <w:r>
        <w:rPr>
          <w:rFonts w:ascii="宋体" w:hAnsi="宋体" w:eastAsia="宋体" w:cs="宋体"/>
          <w:spacing w:val="29"/>
          <w:sz w:val="16"/>
          <w:szCs w:val="16"/>
        </w:rPr>
        <w:t>》</w:t>
      </w:r>
      <w:r>
        <w:rPr>
          <w:rFonts w:ascii="宋体" w:hAnsi="宋体" w:eastAsia="宋体" w:cs="宋体"/>
          <w:spacing w:val="-37"/>
          <w:sz w:val="16"/>
          <w:szCs w:val="16"/>
        </w:rPr>
        <w:t xml:space="preserve"> </w:t>
      </w:r>
      <w:r>
        <w:rPr>
          <w:rFonts w:ascii="宋体" w:hAnsi="宋体" w:eastAsia="宋体" w:cs="宋体"/>
          <w:spacing w:val="29"/>
          <w:sz w:val="16"/>
          <w:szCs w:val="16"/>
        </w:rPr>
        <w:t>《</w:t>
      </w:r>
      <w:r>
        <w:rPr>
          <w:rFonts w:ascii="宋体" w:hAnsi="宋体" w:eastAsia="宋体" w:cs="宋体"/>
          <w:spacing w:val="-14"/>
          <w:sz w:val="16"/>
          <w:szCs w:val="16"/>
        </w:rPr>
        <w:t xml:space="preserve"> </w:t>
      </w:r>
      <w:r>
        <w:rPr>
          <w:rFonts w:ascii="宋体" w:hAnsi="宋体" w:eastAsia="宋体" w:cs="宋体"/>
          <w:spacing w:val="29"/>
          <w:sz w:val="16"/>
          <w:szCs w:val="16"/>
        </w:rPr>
        <w:t>建设工程质量管理条例</w:t>
      </w:r>
      <w:r>
        <w:rPr>
          <w:rFonts w:ascii="宋体" w:hAnsi="宋体" w:eastAsia="宋体" w:cs="宋体"/>
          <w:spacing w:val="-22"/>
          <w:sz w:val="16"/>
          <w:szCs w:val="16"/>
        </w:rPr>
        <w:t xml:space="preserve"> </w:t>
      </w:r>
      <w:r>
        <w:rPr>
          <w:rFonts w:ascii="宋体" w:hAnsi="宋体" w:eastAsia="宋体" w:cs="宋体"/>
          <w:spacing w:val="29"/>
          <w:sz w:val="16"/>
          <w:szCs w:val="16"/>
        </w:rPr>
        <w:t>》</w:t>
      </w:r>
      <w:r>
        <w:rPr>
          <w:rFonts w:ascii="宋体" w:hAnsi="宋体" w:eastAsia="宋体" w:cs="宋体"/>
          <w:spacing w:val="-37"/>
          <w:sz w:val="16"/>
          <w:szCs w:val="16"/>
        </w:rPr>
        <w:t xml:space="preserve"> </w:t>
      </w:r>
      <w:r>
        <w:rPr>
          <w:rFonts w:ascii="宋体" w:hAnsi="宋体" w:eastAsia="宋体" w:cs="宋体"/>
          <w:spacing w:val="28"/>
          <w:sz w:val="16"/>
          <w:szCs w:val="16"/>
        </w:rPr>
        <w:t>《</w:t>
      </w:r>
      <w:r>
        <w:rPr>
          <w:rFonts w:ascii="宋体" w:hAnsi="宋体" w:eastAsia="宋体" w:cs="宋体"/>
          <w:spacing w:val="-13"/>
          <w:sz w:val="16"/>
          <w:szCs w:val="16"/>
        </w:rPr>
        <w:t xml:space="preserve"> </w:t>
      </w:r>
      <w:r>
        <w:rPr>
          <w:rFonts w:ascii="宋体" w:hAnsi="宋体" w:eastAsia="宋体" w:cs="宋体"/>
          <w:spacing w:val="28"/>
          <w:sz w:val="16"/>
          <w:szCs w:val="16"/>
        </w:rPr>
        <w:t>建设工程勘察设计管理条例</w:t>
      </w:r>
      <w:r>
        <w:rPr>
          <w:rFonts w:ascii="宋体" w:hAnsi="宋体" w:eastAsia="宋体" w:cs="宋体"/>
          <w:spacing w:val="-22"/>
          <w:sz w:val="16"/>
          <w:szCs w:val="16"/>
        </w:rPr>
        <w:t xml:space="preserve"> </w:t>
      </w:r>
      <w:r>
        <w:rPr>
          <w:rFonts w:ascii="宋体" w:hAnsi="宋体" w:eastAsia="宋体" w:cs="宋体"/>
          <w:spacing w:val="28"/>
          <w:sz w:val="16"/>
          <w:szCs w:val="16"/>
        </w:rPr>
        <w:t>》</w:t>
      </w:r>
    </w:p>
    <w:p w14:paraId="5B6181E1">
      <w:pPr>
        <w:pStyle w:val="2"/>
        <w:spacing w:line="281" w:lineRule="auto"/>
      </w:pPr>
    </w:p>
    <w:p w14:paraId="1CDF133E">
      <w:pPr>
        <w:spacing w:line="189" w:lineRule="auto"/>
        <w:rPr>
          <w:rFonts w:ascii="宋体" w:hAnsi="宋体" w:eastAsia="宋体" w:cs="宋体"/>
          <w:sz w:val="21"/>
          <w:szCs w:val="21"/>
        </w:rPr>
        <w:sectPr>
          <w:pgSz w:w="10320" w:h="14590"/>
          <w:pgMar w:top="1" w:right="13" w:bottom="10" w:left="0" w:header="0" w:footer="0" w:gutter="0"/>
          <w:cols w:space="720" w:num="1"/>
        </w:sectPr>
      </w:pPr>
    </w:p>
    <w:p w14:paraId="272700FD">
      <w:pPr>
        <w:spacing w:line="213" w:lineRule="auto"/>
        <w:ind w:left="286"/>
        <w:rPr>
          <w:rFonts w:ascii="宋体" w:hAnsi="宋体" w:eastAsia="宋体" w:cs="宋体"/>
          <w:sz w:val="24"/>
          <w:szCs w:val="24"/>
        </w:rPr>
      </w:pPr>
      <w:r>
        <w:rPr>
          <w:rFonts w:hint="eastAsia" w:ascii="宋体" w:hAnsi="宋体" w:eastAsia="宋体" w:cs="宋体"/>
          <w:spacing w:val="5"/>
          <w:sz w:val="24"/>
          <w:szCs w:val="24"/>
          <w:lang w:eastAsia="zh-CN"/>
        </w:rPr>
        <w:t>大鱼社区</w:t>
      </w:r>
      <w:r>
        <w:rPr>
          <w:rFonts w:ascii="宋体" w:hAnsi="宋体" w:eastAsia="宋体" w:cs="宋体"/>
          <w:spacing w:val="5"/>
          <w:sz w:val="24"/>
          <w:szCs w:val="24"/>
        </w:rPr>
        <w:t>助你备考：少走弯路，快速通关!认准</w:t>
      </w:r>
      <w:r>
        <w:rPr>
          <w:rFonts w:ascii="宋体" w:hAnsi="宋体" w:eastAsia="宋体" w:cs="宋体"/>
          <w:sz w:val="24"/>
          <w:szCs w:val="24"/>
        </w:rPr>
        <w:t>VX</w:t>
      </w:r>
      <w:r>
        <w:rPr>
          <w:rFonts w:ascii="宋体" w:hAnsi="宋体" w:eastAsia="宋体" w:cs="宋体"/>
          <w:spacing w:val="5"/>
          <w:sz w:val="24"/>
          <w:szCs w:val="24"/>
        </w:rPr>
        <w:t>:</w:t>
      </w:r>
      <w:r>
        <w:rPr>
          <w:rFonts w:hint="eastAsia" w:ascii="宋体" w:hAnsi="宋体" w:eastAsia="宋体" w:cs="宋体"/>
          <w:sz w:val="24"/>
          <w:szCs w:val="24"/>
          <w:lang w:eastAsia="zh-CN"/>
        </w:rPr>
        <w:t>dayu_nm_cn</w:t>
      </w:r>
      <w:r>
        <w:rPr>
          <w:rFonts w:ascii="宋体" w:hAnsi="宋体" w:eastAsia="宋体" w:cs="宋体"/>
          <w:spacing w:val="121"/>
          <w:sz w:val="24"/>
          <w:szCs w:val="24"/>
        </w:rPr>
        <w:t xml:space="preserve"> </w:t>
      </w:r>
      <w:r>
        <w:rPr>
          <w:rFonts w:ascii="宋体" w:hAnsi="宋体" w:eastAsia="宋体" w:cs="宋体"/>
          <w:spacing w:val="5"/>
          <w:sz w:val="24"/>
          <w:szCs w:val="24"/>
        </w:rPr>
        <w:t>(天道酬勤，白嫖勿扰)</w:t>
      </w:r>
    </w:p>
    <w:p w14:paraId="3BE3D90D">
      <w:pPr>
        <w:pStyle w:val="2"/>
        <w:spacing w:line="320" w:lineRule="auto"/>
      </w:pPr>
    </w:p>
    <w:p w14:paraId="429E7AEA">
      <w:pPr>
        <w:spacing w:before="65" w:line="222" w:lineRule="auto"/>
        <w:ind w:left="976"/>
        <w:rPr>
          <w:rFonts w:ascii="黑体" w:hAnsi="黑体" w:eastAsia="黑体" w:cs="黑体"/>
          <w:sz w:val="20"/>
          <w:szCs w:val="20"/>
        </w:rPr>
      </w:pPr>
      <w:r>
        <w:rPr>
          <w:rFonts w:ascii="黑体" w:hAnsi="黑体" w:eastAsia="黑体" w:cs="黑体"/>
          <w:spacing w:val="-7"/>
          <w:sz w:val="20"/>
          <w:szCs w:val="20"/>
          <w:u w:val="single" w:color="auto"/>
        </w:rPr>
        <w:t>1</w:t>
      </w:r>
      <w:r>
        <w:rPr>
          <w:rFonts w:ascii="黑体" w:hAnsi="黑体" w:eastAsia="黑体" w:cs="黑体"/>
          <w:spacing w:val="-27"/>
          <w:sz w:val="20"/>
          <w:szCs w:val="20"/>
          <w:u w:val="single" w:color="auto"/>
        </w:rPr>
        <w:t xml:space="preserve"> </w:t>
      </w:r>
      <w:r>
        <w:rPr>
          <w:rFonts w:ascii="黑体" w:hAnsi="黑体" w:eastAsia="黑体" w:cs="黑体"/>
          <w:spacing w:val="-7"/>
          <w:sz w:val="20"/>
          <w:szCs w:val="20"/>
          <w:u w:val="single" w:color="auto"/>
        </w:rPr>
        <w:t>8    第</w:t>
      </w:r>
      <w:r>
        <w:rPr>
          <w:rFonts w:ascii="黑体" w:hAnsi="黑体" w:eastAsia="黑体" w:cs="黑体"/>
          <w:spacing w:val="-25"/>
          <w:sz w:val="20"/>
          <w:szCs w:val="20"/>
          <w:u w:val="single" w:color="auto"/>
        </w:rPr>
        <w:t xml:space="preserve"> </w:t>
      </w:r>
      <w:r>
        <w:rPr>
          <w:rFonts w:ascii="黑体" w:hAnsi="黑体" w:eastAsia="黑体" w:cs="黑体"/>
          <w:spacing w:val="-7"/>
          <w:sz w:val="20"/>
          <w:szCs w:val="20"/>
          <w:u w:val="single" w:color="auto"/>
        </w:rPr>
        <w:t>1</w:t>
      </w:r>
      <w:r>
        <w:rPr>
          <w:rFonts w:ascii="黑体" w:hAnsi="黑体" w:eastAsia="黑体" w:cs="黑体"/>
          <w:spacing w:val="-34"/>
          <w:sz w:val="20"/>
          <w:szCs w:val="20"/>
          <w:u w:val="single" w:color="auto"/>
        </w:rPr>
        <w:t xml:space="preserve"> </w:t>
      </w:r>
      <w:r>
        <w:rPr>
          <w:rFonts w:ascii="黑体" w:hAnsi="黑体" w:eastAsia="黑体" w:cs="黑体"/>
          <w:spacing w:val="-7"/>
          <w:sz w:val="20"/>
          <w:szCs w:val="20"/>
          <w:u w:val="single" w:color="auto"/>
        </w:rPr>
        <w:t>篇</w:t>
      </w:r>
      <w:r>
        <w:rPr>
          <w:rFonts w:ascii="黑体" w:hAnsi="黑体" w:eastAsia="黑体" w:cs="黑体"/>
          <w:spacing w:val="11"/>
          <w:sz w:val="20"/>
          <w:szCs w:val="20"/>
          <w:u w:val="single" w:color="auto"/>
        </w:rPr>
        <w:t xml:space="preserve">  </w:t>
      </w:r>
      <w:r>
        <w:rPr>
          <w:rFonts w:ascii="黑体" w:hAnsi="黑体" w:eastAsia="黑体" w:cs="黑体"/>
          <w:spacing w:val="-7"/>
          <w:sz w:val="20"/>
          <w:szCs w:val="20"/>
          <w:u w:val="single" w:color="auto"/>
        </w:rPr>
        <w:t>水</w:t>
      </w:r>
      <w:r>
        <w:rPr>
          <w:rFonts w:ascii="黑体" w:hAnsi="黑体" w:eastAsia="黑体" w:cs="黑体"/>
          <w:spacing w:val="-33"/>
          <w:sz w:val="20"/>
          <w:szCs w:val="20"/>
          <w:u w:val="single" w:color="auto"/>
        </w:rPr>
        <w:t xml:space="preserve"> </w:t>
      </w:r>
      <w:r>
        <w:rPr>
          <w:rFonts w:ascii="黑体" w:hAnsi="黑体" w:eastAsia="黑体" w:cs="黑体"/>
          <w:spacing w:val="-7"/>
          <w:sz w:val="20"/>
          <w:szCs w:val="20"/>
          <w:u w:val="single" w:color="auto"/>
        </w:rPr>
        <w:t>利</w:t>
      </w:r>
      <w:r>
        <w:rPr>
          <w:rFonts w:ascii="黑体" w:hAnsi="黑体" w:eastAsia="黑体" w:cs="黑体"/>
          <w:spacing w:val="-35"/>
          <w:sz w:val="20"/>
          <w:szCs w:val="20"/>
          <w:u w:val="single" w:color="auto"/>
        </w:rPr>
        <w:t xml:space="preserve"> </w:t>
      </w:r>
      <w:r>
        <w:rPr>
          <w:rFonts w:ascii="黑体" w:hAnsi="黑体" w:eastAsia="黑体" w:cs="黑体"/>
          <w:spacing w:val="-7"/>
          <w:sz w:val="20"/>
          <w:szCs w:val="20"/>
          <w:u w:val="single" w:color="auto"/>
        </w:rPr>
        <w:t>水</w:t>
      </w:r>
      <w:r>
        <w:rPr>
          <w:rFonts w:ascii="黑体" w:hAnsi="黑体" w:eastAsia="黑体" w:cs="黑体"/>
          <w:spacing w:val="-22"/>
          <w:sz w:val="20"/>
          <w:szCs w:val="20"/>
          <w:u w:val="single" w:color="auto"/>
        </w:rPr>
        <w:t xml:space="preserve"> </w:t>
      </w:r>
      <w:r>
        <w:rPr>
          <w:rFonts w:ascii="黑体" w:hAnsi="黑体" w:eastAsia="黑体" w:cs="黑体"/>
          <w:spacing w:val="-7"/>
          <w:sz w:val="20"/>
          <w:szCs w:val="20"/>
          <w:u w:val="single" w:color="auto"/>
        </w:rPr>
        <w:t>电</w:t>
      </w:r>
      <w:r>
        <w:rPr>
          <w:rFonts w:ascii="黑体" w:hAnsi="黑体" w:eastAsia="黑体" w:cs="黑体"/>
          <w:spacing w:val="-34"/>
          <w:sz w:val="20"/>
          <w:szCs w:val="20"/>
          <w:u w:val="single" w:color="auto"/>
        </w:rPr>
        <w:t xml:space="preserve"> </w:t>
      </w:r>
      <w:r>
        <w:rPr>
          <w:rFonts w:ascii="黑体" w:hAnsi="黑体" w:eastAsia="黑体" w:cs="黑体"/>
          <w:spacing w:val="-7"/>
          <w:sz w:val="20"/>
          <w:szCs w:val="20"/>
          <w:u w:val="single" w:color="auto"/>
        </w:rPr>
        <w:t>工</w:t>
      </w:r>
      <w:r>
        <w:rPr>
          <w:rFonts w:ascii="黑体" w:hAnsi="黑体" w:eastAsia="黑体" w:cs="黑体"/>
          <w:spacing w:val="-36"/>
          <w:sz w:val="20"/>
          <w:szCs w:val="20"/>
          <w:u w:val="single" w:color="auto"/>
        </w:rPr>
        <w:t xml:space="preserve"> </w:t>
      </w:r>
      <w:r>
        <w:rPr>
          <w:rFonts w:ascii="黑体" w:hAnsi="黑体" w:eastAsia="黑体" w:cs="黑体"/>
          <w:spacing w:val="-7"/>
          <w:sz w:val="20"/>
          <w:szCs w:val="20"/>
          <w:u w:val="single" w:color="auto"/>
        </w:rPr>
        <w:t>程</w:t>
      </w:r>
      <w:r>
        <w:rPr>
          <w:rFonts w:ascii="黑体" w:hAnsi="黑体" w:eastAsia="黑体" w:cs="黑体"/>
          <w:spacing w:val="-34"/>
          <w:sz w:val="20"/>
          <w:szCs w:val="20"/>
          <w:u w:val="single" w:color="auto"/>
        </w:rPr>
        <w:t xml:space="preserve"> </w:t>
      </w:r>
      <w:r>
        <w:rPr>
          <w:rFonts w:ascii="黑体" w:hAnsi="黑体" w:eastAsia="黑体" w:cs="黑体"/>
          <w:spacing w:val="-7"/>
          <w:sz w:val="20"/>
          <w:szCs w:val="20"/>
          <w:u w:val="single" w:color="auto"/>
        </w:rPr>
        <w:t>技</w:t>
      </w:r>
      <w:r>
        <w:rPr>
          <w:rFonts w:ascii="黑体" w:hAnsi="黑体" w:eastAsia="黑体" w:cs="黑体"/>
          <w:spacing w:val="-35"/>
          <w:sz w:val="20"/>
          <w:szCs w:val="20"/>
          <w:u w:val="single" w:color="auto"/>
        </w:rPr>
        <w:t xml:space="preserve"> </w:t>
      </w:r>
      <w:r>
        <w:rPr>
          <w:rFonts w:ascii="黑体" w:hAnsi="黑体" w:eastAsia="黑体" w:cs="黑体"/>
          <w:spacing w:val="-7"/>
          <w:sz w:val="20"/>
          <w:szCs w:val="20"/>
          <w:u w:val="single" w:color="auto"/>
        </w:rPr>
        <w:t xml:space="preserve">术                                               </w:t>
      </w:r>
    </w:p>
    <w:p w14:paraId="285E2F25">
      <w:pPr>
        <w:spacing w:before="230" w:line="219" w:lineRule="auto"/>
        <w:ind w:left="976"/>
        <w:rPr>
          <w:rFonts w:ascii="宋体" w:hAnsi="宋体" w:eastAsia="宋体" w:cs="宋体"/>
          <w:sz w:val="20"/>
          <w:szCs w:val="20"/>
        </w:rPr>
      </w:pPr>
      <w:r>
        <w:rPr>
          <w:rFonts w:ascii="宋体" w:hAnsi="宋体" w:eastAsia="宋体" w:cs="宋体"/>
          <w:spacing w:val="6"/>
          <w:sz w:val="20"/>
          <w:szCs w:val="20"/>
        </w:rPr>
        <w:t>以及建设部《关于设计单位执行有关建设工程合理使用年限问题的通知》等文件中都规</w:t>
      </w:r>
    </w:p>
    <w:p w14:paraId="53657BCF">
      <w:pPr>
        <w:spacing w:before="81" w:line="219" w:lineRule="auto"/>
        <w:ind w:left="976"/>
        <w:rPr>
          <w:rFonts w:ascii="宋体" w:hAnsi="宋体" w:eastAsia="宋体" w:cs="宋体"/>
          <w:sz w:val="20"/>
          <w:szCs w:val="20"/>
        </w:rPr>
      </w:pPr>
      <w:r>
        <w:rPr>
          <w:rFonts w:ascii="宋体" w:hAnsi="宋体" w:eastAsia="宋体" w:cs="宋体"/>
          <w:spacing w:val="11"/>
          <w:sz w:val="20"/>
          <w:szCs w:val="20"/>
        </w:rPr>
        <w:t>定：在设计文件中应注明工程或建筑物的合理使用年限。2014年水利部发布《水利水</w:t>
      </w:r>
    </w:p>
    <w:p w14:paraId="7AD45B7B">
      <w:pPr>
        <w:spacing w:before="81" w:line="216" w:lineRule="auto"/>
        <w:ind w:left="976"/>
        <w:rPr>
          <w:rFonts w:ascii="宋体" w:hAnsi="宋体" w:eastAsia="宋体" w:cs="宋体"/>
          <w:sz w:val="20"/>
          <w:szCs w:val="20"/>
        </w:rPr>
      </w:pPr>
      <w:r>
        <w:rPr>
          <w:rFonts w:ascii="宋体" w:hAnsi="宋体" w:eastAsia="宋体" w:cs="宋体"/>
          <w:spacing w:val="6"/>
          <w:sz w:val="20"/>
          <w:szCs w:val="20"/>
        </w:rPr>
        <w:t>电工程合理使用年限及耐久性设计规范》</w:t>
      </w:r>
      <w:r>
        <w:rPr>
          <w:rFonts w:ascii="宋体" w:hAnsi="宋体" w:eastAsia="宋体" w:cs="宋体"/>
          <w:sz w:val="20"/>
          <w:szCs w:val="20"/>
        </w:rPr>
        <w:t>SL</w:t>
      </w:r>
      <w:r>
        <w:rPr>
          <w:rFonts w:ascii="宋体" w:hAnsi="宋体" w:eastAsia="宋体" w:cs="宋体"/>
          <w:spacing w:val="6"/>
          <w:sz w:val="20"/>
          <w:szCs w:val="20"/>
        </w:rPr>
        <w:t xml:space="preserve">  654—20</w:t>
      </w:r>
      <w:r>
        <w:rPr>
          <w:rFonts w:ascii="宋体" w:hAnsi="宋体" w:eastAsia="宋体" w:cs="宋体"/>
          <w:spacing w:val="5"/>
          <w:sz w:val="20"/>
          <w:szCs w:val="20"/>
        </w:rPr>
        <w:t>14,要求水利水电工程各设计阶段</w:t>
      </w:r>
    </w:p>
    <w:p w14:paraId="12DA5372">
      <w:pPr>
        <w:spacing w:before="89" w:line="219" w:lineRule="auto"/>
        <w:ind w:left="976"/>
        <w:rPr>
          <w:rFonts w:ascii="宋体" w:hAnsi="宋体" w:eastAsia="宋体" w:cs="宋体"/>
          <w:sz w:val="20"/>
          <w:szCs w:val="20"/>
        </w:rPr>
      </w:pPr>
      <w:r>
        <w:rPr>
          <w:rFonts w:ascii="宋体" w:hAnsi="宋体" w:eastAsia="宋体" w:cs="宋体"/>
          <w:spacing w:val="5"/>
          <w:sz w:val="20"/>
          <w:szCs w:val="20"/>
        </w:rPr>
        <w:t>的设计文件中应注明工程及其水工建筑物的合理使用年限。</w:t>
      </w:r>
    </w:p>
    <w:p w14:paraId="63AE443C">
      <w:pPr>
        <w:spacing w:before="73" w:line="292" w:lineRule="auto"/>
        <w:ind w:left="976" w:right="1486" w:firstLine="410"/>
        <w:jc w:val="both"/>
        <w:rPr>
          <w:rFonts w:ascii="宋体" w:hAnsi="宋体" w:eastAsia="宋体" w:cs="宋体"/>
          <w:sz w:val="20"/>
          <w:szCs w:val="20"/>
        </w:rPr>
      </w:pPr>
      <w:r>
        <w:rPr>
          <w:rFonts w:ascii="宋体" w:hAnsi="宋体" w:eastAsia="宋体" w:cs="宋体"/>
          <w:spacing w:val="12"/>
          <w:sz w:val="20"/>
          <w:szCs w:val="20"/>
        </w:rPr>
        <w:t>水利水电工程及其水工建筑物合理使用年限是指，水利水电工程及其水工建筑物</w:t>
      </w:r>
      <w:r>
        <w:rPr>
          <w:rFonts w:ascii="宋体" w:hAnsi="宋体" w:eastAsia="宋体" w:cs="宋体"/>
          <w:spacing w:val="9"/>
          <w:sz w:val="20"/>
          <w:szCs w:val="20"/>
        </w:rPr>
        <w:t xml:space="preserve"> </w:t>
      </w:r>
      <w:r>
        <w:rPr>
          <w:rFonts w:ascii="宋体" w:hAnsi="宋体" w:eastAsia="宋体" w:cs="宋体"/>
          <w:spacing w:val="6"/>
          <w:sz w:val="20"/>
          <w:szCs w:val="20"/>
        </w:rPr>
        <w:t>建成投入运行后，在正常运行使用和规定的维修条件下，能按设计功能安全使用的最低</w:t>
      </w:r>
      <w:r>
        <w:rPr>
          <w:rFonts w:ascii="宋体" w:hAnsi="宋体" w:eastAsia="宋体" w:cs="宋体"/>
          <w:spacing w:val="13"/>
          <w:sz w:val="20"/>
          <w:szCs w:val="20"/>
        </w:rPr>
        <w:t xml:space="preserve"> </w:t>
      </w:r>
      <w:r>
        <w:rPr>
          <w:rFonts w:ascii="宋体" w:hAnsi="宋体" w:eastAsia="宋体" w:cs="宋体"/>
          <w:spacing w:val="2"/>
          <w:sz w:val="20"/>
          <w:szCs w:val="20"/>
        </w:rPr>
        <w:t>要求年限。</w:t>
      </w:r>
    </w:p>
    <w:p w14:paraId="5FEA2CEE">
      <w:pPr>
        <w:spacing w:before="1" w:line="304" w:lineRule="auto"/>
        <w:ind w:left="976" w:right="1488" w:firstLine="410"/>
        <w:rPr>
          <w:rFonts w:ascii="宋体" w:hAnsi="宋体" w:eastAsia="宋体" w:cs="宋体"/>
          <w:sz w:val="20"/>
          <w:szCs w:val="20"/>
        </w:rPr>
      </w:pPr>
      <w:r>
        <w:rPr>
          <w:rFonts w:ascii="宋体" w:hAnsi="宋体" w:eastAsia="宋体" w:cs="宋体"/>
          <w:spacing w:val="12"/>
          <w:sz w:val="20"/>
          <w:szCs w:val="20"/>
        </w:rPr>
        <w:t>建筑物耐久性是指，在设计确定的环境作用和规定的维修、使用条件下，建筑物</w:t>
      </w:r>
      <w:r>
        <w:rPr>
          <w:rFonts w:ascii="宋体" w:hAnsi="宋体" w:eastAsia="宋体" w:cs="宋体"/>
          <w:spacing w:val="9"/>
          <w:sz w:val="20"/>
          <w:szCs w:val="20"/>
        </w:rPr>
        <w:t xml:space="preserve"> </w:t>
      </w:r>
      <w:r>
        <w:rPr>
          <w:rFonts w:ascii="宋体" w:hAnsi="宋体" w:eastAsia="宋体" w:cs="宋体"/>
          <w:spacing w:val="4"/>
          <w:sz w:val="20"/>
          <w:szCs w:val="20"/>
        </w:rPr>
        <w:t>在合理使用年限内保持其适用性和安全性的能力。</w:t>
      </w:r>
    </w:p>
    <w:p w14:paraId="1CAB9DE1">
      <w:pPr>
        <w:spacing w:before="1" w:line="219" w:lineRule="auto"/>
        <w:ind w:left="1386"/>
        <w:rPr>
          <w:rFonts w:ascii="宋体" w:hAnsi="宋体" w:eastAsia="宋体" w:cs="宋体"/>
          <w:sz w:val="20"/>
          <w:szCs w:val="20"/>
        </w:rPr>
      </w:pPr>
      <w:r>
        <w:rPr>
          <w:rFonts w:ascii="宋体" w:hAnsi="宋体" w:eastAsia="宋体" w:cs="宋体"/>
          <w:spacing w:val="5"/>
          <w:sz w:val="20"/>
          <w:szCs w:val="20"/>
        </w:rPr>
        <w:t>水利水电工程施工、运行管理应满足工程耐久性设计要求。</w:t>
      </w:r>
    </w:p>
    <w:p w14:paraId="5C0CB5AF">
      <w:pPr>
        <w:spacing w:before="71" w:line="297" w:lineRule="auto"/>
        <w:ind w:left="976" w:right="1490" w:firstLine="410"/>
        <w:rPr>
          <w:rFonts w:ascii="宋体" w:hAnsi="宋体" w:eastAsia="宋体" w:cs="宋体"/>
          <w:sz w:val="20"/>
          <w:szCs w:val="20"/>
        </w:rPr>
      </w:pPr>
      <w:r>
        <w:rPr>
          <w:rFonts w:ascii="宋体" w:hAnsi="宋体" w:eastAsia="宋体" w:cs="宋体"/>
          <w:spacing w:val="12"/>
          <w:sz w:val="20"/>
          <w:szCs w:val="20"/>
        </w:rPr>
        <w:t>当水利水电工程及其水工建筑物达到合理使用年限后，如需继续使用，应进行全</w:t>
      </w:r>
      <w:r>
        <w:rPr>
          <w:rFonts w:ascii="宋体" w:hAnsi="宋体" w:eastAsia="宋体" w:cs="宋体"/>
          <w:spacing w:val="8"/>
          <w:sz w:val="20"/>
          <w:szCs w:val="20"/>
        </w:rPr>
        <w:t xml:space="preserve"> </w:t>
      </w:r>
      <w:r>
        <w:rPr>
          <w:rFonts w:ascii="宋体" w:hAnsi="宋体" w:eastAsia="宋体" w:cs="宋体"/>
          <w:spacing w:val="5"/>
          <w:sz w:val="20"/>
          <w:szCs w:val="20"/>
        </w:rPr>
        <w:t>面安全鉴定，必要时应采取补强加固措施，重新确定继续使用年限。</w:t>
      </w:r>
    </w:p>
    <w:p w14:paraId="6349203A">
      <w:pPr>
        <w:spacing w:before="24" w:line="222" w:lineRule="auto"/>
        <w:ind w:left="1389"/>
        <w:rPr>
          <w:rFonts w:ascii="黑体" w:hAnsi="黑体" w:eastAsia="黑体" w:cs="黑体"/>
          <w:sz w:val="20"/>
          <w:szCs w:val="20"/>
        </w:rPr>
      </w:pPr>
      <w:r>
        <w:rPr>
          <w:rFonts w:ascii="宋体" w:hAnsi="宋体" w:eastAsia="宋体" w:cs="宋体"/>
          <w:b/>
          <w:bCs/>
          <w:color w:val="3090A0"/>
          <w:spacing w:val="15"/>
          <w:sz w:val="20"/>
          <w:szCs w:val="20"/>
        </w:rPr>
        <w:t>1.</w:t>
      </w:r>
      <w:r>
        <w:rPr>
          <w:rFonts w:ascii="黑体" w:hAnsi="黑体" w:eastAsia="黑体" w:cs="黑体"/>
          <w:b/>
          <w:bCs/>
          <w:color w:val="3090A0"/>
          <w:spacing w:val="15"/>
          <w:sz w:val="20"/>
          <w:szCs w:val="20"/>
        </w:rPr>
        <w:t>工程合理使用年限</w:t>
      </w:r>
    </w:p>
    <w:p w14:paraId="0B47D6B2">
      <w:pPr>
        <w:spacing w:before="33" w:line="306" w:lineRule="auto"/>
        <w:ind w:left="976" w:right="1484" w:firstLine="410"/>
        <w:jc w:val="both"/>
        <w:rPr>
          <w:rFonts w:ascii="宋体" w:hAnsi="宋体" w:eastAsia="宋体" w:cs="宋体"/>
          <w:sz w:val="20"/>
          <w:szCs w:val="20"/>
        </w:rPr>
      </w:pPr>
      <w:r>
        <w:rPr>
          <w:rFonts w:ascii="宋体" w:hAnsi="宋体" w:eastAsia="宋体" w:cs="宋体"/>
          <w:spacing w:val="11"/>
          <w:sz w:val="20"/>
          <w:szCs w:val="20"/>
        </w:rPr>
        <w:t>水利水电工程合理使用年限，应根据工程类别和等别按表1.2-13确定。对综合利</w:t>
      </w:r>
      <w:r>
        <w:rPr>
          <w:rFonts w:ascii="宋体" w:hAnsi="宋体" w:eastAsia="宋体" w:cs="宋体"/>
          <w:spacing w:val="15"/>
          <w:sz w:val="20"/>
          <w:szCs w:val="20"/>
        </w:rPr>
        <w:t xml:space="preserve"> </w:t>
      </w:r>
      <w:r>
        <w:rPr>
          <w:rFonts w:ascii="宋体" w:hAnsi="宋体" w:eastAsia="宋体" w:cs="宋体"/>
          <w:spacing w:val="6"/>
          <w:sz w:val="20"/>
          <w:szCs w:val="20"/>
        </w:rPr>
        <w:t>用的水利水电工程，当按各综合利用项目确定的合理使用年限不同时，其合理使用年限</w:t>
      </w:r>
      <w:r>
        <w:rPr>
          <w:rFonts w:ascii="宋体" w:hAnsi="宋体" w:eastAsia="宋体" w:cs="宋体"/>
          <w:spacing w:val="11"/>
          <w:sz w:val="20"/>
          <w:szCs w:val="20"/>
        </w:rPr>
        <w:t xml:space="preserve"> </w:t>
      </w:r>
      <w:r>
        <w:rPr>
          <w:rFonts w:ascii="宋体" w:hAnsi="宋体" w:eastAsia="宋体" w:cs="宋体"/>
          <w:spacing w:val="3"/>
          <w:sz w:val="20"/>
          <w:szCs w:val="20"/>
        </w:rPr>
        <w:t>应按其中最高的年限确定。</w:t>
      </w:r>
    </w:p>
    <w:p w14:paraId="5EA6F0AB">
      <w:pPr>
        <w:spacing w:before="123" w:line="219" w:lineRule="auto"/>
        <w:ind w:left="2869"/>
        <w:rPr>
          <w:rFonts w:ascii="宋体" w:hAnsi="宋体" w:eastAsia="宋体" w:cs="宋体"/>
          <w:sz w:val="18"/>
          <w:szCs w:val="18"/>
        </w:rPr>
      </w:pPr>
      <w:r>
        <w:rPr>
          <w:rFonts w:ascii="宋体" w:hAnsi="宋体" w:eastAsia="宋体" w:cs="宋体"/>
          <w:b/>
          <w:bCs/>
          <w:spacing w:val="-1"/>
          <w:sz w:val="18"/>
          <w:szCs w:val="18"/>
        </w:rPr>
        <w:t>表1.2-13水利水电工程合理使用年限(单位：年)</w:t>
      </w:r>
    </w:p>
    <w:p w14:paraId="23F0B688">
      <w:pPr>
        <w:spacing w:line="46" w:lineRule="exact"/>
      </w:pPr>
    </w:p>
    <w:tbl>
      <w:tblPr>
        <w:tblStyle w:val="5"/>
        <w:tblW w:w="7799" w:type="dxa"/>
        <w:tblInd w:w="1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10"/>
        <w:gridCol w:w="1120"/>
        <w:gridCol w:w="1110"/>
        <w:gridCol w:w="1120"/>
        <w:gridCol w:w="1119"/>
        <w:gridCol w:w="1120"/>
        <w:gridCol w:w="1100"/>
      </w:tblGrid>
      <w:tr w14:paraId="6A719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110" w:type="dxa"/>
            <w:vMerge w:val="restart"/>
            <w:tcBorders>
              <w:left w:val="nil"/>
              <w:bottom w:val="nil"/>
            </w:tcBorders>
            <w:vAlign w:val="top"/>
          </w:tcPr>
          <w:p w14:paraId="42A459D3">
            <w:pPr>
              <w:pStyle w:val="6"/>
              <w:spacing w:before="241" w:line="219" w:lineRule="auto"/>
              <w:ind w:left="229"/>
              <w:rPr>
                <w:sz w:val="16"/>
                <w:szCs w:val="16"/>
              </w:rPr>
            </w:pPr>
            <w:r>
              <w:rPr>
                <w:spacing w:val="3"/>
                <w:sz w:val="16"/>
                <w:szCs w:val="16"/>
              </w:rPr>
              <w:t>工程等别</w:t>
            </w:r>
          </w:p>
        </w:tc>
        <w:tc>
          <w:tcPr>
            <w:tcW w:w="6689" w:type="dxa"/>
            <w:gridSpan w:val="6"/>
            <w:tcBorders>
              <w:right w:val="nil"/>
            </w:tcBorders>
            <w:vAlign w:val="top"/>
          </w:tcPr>
          <w:p w14:paraId="07E378AB">
            <w:pPr>
              <w:pStyle w:val="6"/>
              <w:spacing w:before="81" w:line="219" w:lineRule="auto"/>
              <w:ind w:left="3014"/>
              <w:rPr>
                <w:sz w:val="16"/>
                <w:szCs w:val="16"/>
              </w:rPr>
            </w:pPr>
            <w:r>
              <w:rPr>
                <w:spacing w:val="3"/>
                <w:sz w:val="16"/>
                <w:szCs w:val="16"/>
              </w:rPr>
              <w:t>工程类别</w:t>
            </w:r>
          </w:p>
        </w:tc>
      </w:tr>
      <w:tr w14:paraId="32471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10" w:type="dxa"/>
            <w:vMerge w:val="continue"/>
            <w:tcBorders>
              <w:top w:val="nil"/>
              <w:left w:val="nil"/>
            </w:tcBorders>
            <w:vAlign w:val="top"/>
          </w:tcPr>
          <w:p w14:paraId="592CAAB6">
            <w:pPr>
              <w:rPr>
                <w:rFonts w:ascii="Arial"/>
                <w:sz w:val="21"/>
              </w:rPr>
            </w:pPr>
          </w:p>
        </w:tc>
        <w:tc>
          <w:tcPr>
            <w:tcW w:w="1120" w:type="dxa"/>
            <w:vAlign w:val="top"/>
          </w:tcPr>
          <w:p w14:paraId="387D1894">
            <w:pPr>
              <w:pStyle w:val="6"/>
              <w:spacing w:before="77" w:line="219" w:lineRule="auto"/>
              <w:ind w:left="395"/>
              <w:rPr>
                <w:sz w:val="16"/>
                <w:szCs w:val="16"/>
              </w:rPr>
            </w:pPr>
            <w:r>
              <w:rPr>
                <w:spacing w:val="-3"/>
                <w:sz w:val="16"/>
                <w:szCs w:val="16"/>
              </w:rPr>
              <w:t>水库</w:t>
            </w:r>
          </w:p>
        </w:tc>
        <w:tc>
          <w:tcPr>
            <w:tcW w:w="1110" w:type="dxa"/>
            <w:vAlign w:val="top"/>
          </w:tcPr>
          <w:p w14:paraId="69ED1031">
            <w:pPr>
              <w:pStyle w:val="6"/>
              <w:spacing w:before="78" w:line="220" w:lineRule="auto"/>
              <w:ind w:left="384"/>
              <w:rPr>
                <w:sz w:val="16"/>
                <w:szCs w:val="16"/>
              </w:rPr>
            </w:pPr>
            <w:r>
              <w:rPr>
                <w:spacing w:val="4"/>
                <w:sz w:val="16"/>
                <w:szCs w:val="16"/>
              </w:rPr>
              <w:t>防洪</w:t>
            </w:r>
          </w:p>
        </w:tc>
        <w:tc>
          <w:tcPr>
            <w:tcW w:w="1120" w:type="dxa"/>
            <w:vAlign w:val="top"/>
          </w:tcPr>
          <w:p w14:paraId="00777A15">
            <w:pPr>
              <w:pStyle w:val="6"/>
              <w:spacing w:before="77" w:line="219" w:lineRule="auto"/>
              <w:ind w:left="394"/>
              <w:rPr>
                <w:sz w:val="16"/>
                <w:szCs w:val="16"/>
              </w:rPr>
            </w:pPr>
            <w:r>
              <w:rPr>
                <w:spacing w:val="-3"/>
                <w:sz w:val="16"/>
                <w:szCs w:val="16"/>
              </w:rPr>
              <w:t>治涝</w:t>
            </w:r>
          </w:p>
        </w:tc>
        <w:tc>
          <w:tcPr>
            <w:tcW w:w="1119" w:type="dxa"/>
            <w:vAlign w:val="top"/>
          </w:tcPr>
          <w:p w14:paraId="2501C827">
            <w:pPr>
              <w:pStyle w:val="6"/>
              <w:spacing w:before="77" w:line="219" w:lineRule="auto"/>
              <w:ind w:left="394"/>
              <w:rPr>
                <w:sz w:val="16"/>
                <w:szCs w:val="16"/>
              </w:rPr>
            </w:pPr>
            <w:r>
              <w:rPr>
                <w:spacing w:val="-3"/>
                <w:sz w:val="16"/>
                <w:szCs w:val="16"/>
              </w:rPr>
              <w:t>灌溉</w:t>
            </w:r>
          </w:p>
        </w:tc>
        <w:tc>
          <w:tcPr>
            <w:tcW w:w="1120" w:type="dxa"/>
            <w:vAlign w:val="top"/>
          </w:tcPr>
          <w:p w14:paraId="2CC6B4C9">
            <w:pPr>
              <w:pStyle w:val="6"/>
              <w:spacing w:before="76" w:line="219" w:lineRule="auto"/>
              <w:ind w:left="395"/>
              <w:rPr>
                <w:sz w:val="16"/>
                <w:szCs w:val="16"/>
              </w:rPr>
            </w:pPr>
            <w:r>
              <w:rPr>
                <w:spacing w:val="-2"/>
                <w:sz w:val="16"/>
                <w:szCs w:val="16"/>
              </w:rPr>
              <w:t>供水</w:t>
            </w:r>
          </w:p>
        </w:tc>
        <w:tc>
          <w:tcPr>
            <w:tcW w:w="1100" w:type="dxa"/>
            <w:tcBorders>
              <w:right w:val="nil"/>
            </w:tcBorders>
            <w:vAlign w:val="top"/>
          </w:tcPr>
          <w:p w14:paraId="58F1EBF0">
            <w:pPr>
              <w:pStyle w:val="6"/>
              <w:spacing w:before="78" w:line="220" w:lineRule="auto"/>
              <w:ind w:left="385"/>
              <w:rPr>
                <w:sz w:val="16"/>
                <w:szCs w:val="16"/>
              </w:rPr>
            </w:pPr>
            <w:r>
              <w:rPr>
                <w:spacing w:val="-3"/>
                <w:sz w:val="16"/>
                <w:szCs w:val="16"/>
              </w:rPr>
              <w:t>发电</w:t>
            </w:r>
          </w:p>
        </w:tc>
      </w:tr>
      <w:tr w14:paraId="45F91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110" w:type="dxa"/>
            <w:tcBorders>
              <w:left w:val="nil"/>
            </w:tcBorders>
            <w:vAlign w:val="top"/>
          </w:tcPr>
          <w:p w14:paraId="1BACC56A">
            <w:pPr>
              <w:pStyle w:val="6"/>
              <w:spacing w:before="95" w:line="241" w:lineRule="auto"/>
              <w:ind w:left="510"/>
              <w:rPr>
                <w:sz w:val="16"/>
                <w:szCs w:val="16"/>
              </w:rPr>
            </w:pPr>
            <w:r>
              <w:rPr>
                <w:sz w:val="16"/>
                <w:szCs w:val="16"/>
              </w:rPr>
              <w:t>I</w:t>
            </w:r>
          </w:p>
        </w:tc>
        <w:tc>
          <w:tcPr>
            <w:tcW w:w="1120" w:type="dxa"/>
            <w:vAlign w:val="top"/>
          </w:tcPr>
          <w:p w14:paraId="4D80476B">
            <w:pPr>
              <w:pStyle w:val="6"/>
              <w:spacing w:before="95"/>
              <w:ind w:left="434"/>
              <w:rPr>
                <w:sz w:val="16"/>
                <w:szCs w:val="16"/>
              </w:rPr>
            </w:pPr>
            <w:r>
              <w:rPr>
                <w:spacing w:val="-5"/>
                <w:sz w:val="16"/>
                <w:szCs w:val="16"/>
              </w:rPr>
              <w:t>150</w:t>
            </w:r>
          </w:p>
        </w:tc>
        <w:tc>
          <w:tcPr>
            <w:tcW w:w="1110" w:type="dxa"/>
            <w:vAlign w:val="top"/>
          </w:tcPr>
          <w:p w14:paraId="715182F7">
            <w:pPr>
              <w:pStyle w:val="6"/>
              <w:spacing w:before="95"/>
              <w:ind w:left="424"/>
              <w:rPr>
                <w:sz w:val="16"/>
                <w:szCs w:val="16"/>
              </w:rPr>
            </w:pPr>
            <w:r>
              <w:rPr>
                <w:spacing w:val="-5"/>
                <w:sz w:val="16"/>
                <w:szCs w:val="16"/>
              </w:rPr>
              <w:t>100</w:t>
            </w:r>
          </w:p>
        </w:tc>
        <w:tc>
          <w:tcPr>
            <w:tcW w:w="1120" w:type="dxa"/>
            <w:vAlign w:val="top"/>
          </w:tcPr>
          <w:p w14:paraId="6C46271C">
            <w:pPr>
              <w:pStyle w:val="6"/>
              <w:spacing w:before="95"/>
              <w:ind w:left="474"/>
              <w:rPr>
                <w:sz w:val="16"/>
                <w:szCs w:val="16"/>
              </w:rPr>
            </w:pPr>
            <w:r>
              <w:rPr>
                <w:spacing w:val="-3"/>
                <w:sz w:val="16"/>
                <w:szCs w:val="16"/>
              </w:rPr>
              <w:t>50</w:t>
            </w:r>
          </w:p>
        </w:tc>
        <w:tc>
          <w:tcPr>
            <w:tcW w:w="1119" w:type="dxa"/>
            <w:vAlign w:val="top"/>
          </w:tcPr>
          <w:p w14:paraId="6F061324">
            <w:pPr>
              <w:pStyle w:val="6"/>
              <w:spacing w:before="95"/>
              <w:ind w:left="474"/>
              <w:rPr>
                <w:sz w:val="16"/>
                <w:szCs w:val="16"/>
              </w:rPr>
            </w:pPr>
            <w:r>
              <w:rPr>
                <w:spacing w:val="-3"/>
                <w:sz w:val="16"/>
                <w:szCs w:val="16"/>
              </w:rPr>
              <w:t>50</w:t>
            </w:r>
          </w:p>
        </w:tc>
        <w:tc>
          <w:tcPr>
            <w:tcW w:w="1120" w:type="dxa"/>
            <w:vAlign w:val="top"/>
          </w:tcPr>
          <w:p w14:paraId="21E280B3">
            <w:pPr>
              <w:pStyle w:val="6"/>
              <w:spacing w:before="95"/>
              <w:ind w:left="435"/>
              <w:rPr>
                <w:sz w:val="16"/>
                <w:szCs w:val="16"/>
              </w:rPr>
            </w:pPr>
            <w:r>
              <w:rPr>
                <w:spacing w:val="-5"/>
                <w:sz w:val="16"/>
                <w:szCs w:val="16"/>
              </w:rPr>
              <w:t>100</w:t>
            </w:r>
          </w:p>
        </w:tc>
        <w:tc>
          <w:tcPr>
            <w:tcW w:w="1100" w:type="dxa"/>
            <w:tcBorders>
              <w:right w:val="nil"/>
            </w:tcBorders>
            <w:vAlign w:val="top"/>
          </w:tcPr>
          <w:p w14:paraId="5974243E">
            <w:pPr>
              <w:pStyle w:val="6"/>
              <w:spacing w:before="95"/>
              <w:ind w:left="425"/>
              <w:rPr>
                <w:sz w:val="16"/>
                <w:szCs w:val="16"/>
              </w:rPr>
            </w:pPr>
            <w:r>
              <w:rPr>
                <w:spacing w:val="-5"/>
                <w:sz w:val="16"/>
                <w:szCs w:val="16"/>
              </w:rPr>
              <w:t>100</w:t>
            </w:r>
          </w:p>
        </w:tc>
      </w:tr>
      <w:tr w14:paraId="702F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110" w:type="dxa"/>
            <w:tcBorders>
              <w:left w:val="nil"/>
            </w:tcBorders>
            <w:vAlign w:val="top"/>
          </w:tcPr>
          <w:p w14:paraId="1CD5D92E">
            <w:pPr>
              <w:pStyle w:val="6"/>
              <w:spacing w:before="104" w:line="235" w:lineRule="auto"/>
              <w:ind w:left="469"/>
              <w:rPr>
                <w:sz w:val="16"/>
                <w:szCs w:val="16"/>
              </w:rPr>
            </w:pPr>
            <w:r>
              <w:rPr>
                <w:sz w:val="16"/>
                <w:szCs w:val="16"/>
              </w:rPr>
              <w:t>Ⅱ</w:t>
            </w:r>
          </w:p>
        </w:tc>
        <w:tc>
          <w:tcPr>
            <w:tcW w:w="1120" w:type="dxa"/>
            <w:vAlign w:val="top"/>
          </w:tcPr>
          <w:p w14:paraId="22EAE101">
            <w:pPr>
              <w:pStyle w:val="6"/>
              <w:spacing w:before="106"/>
              <w:ind w:left="434"/>
              <w:rPr>
                <w:sz w:val="16"/>
                <w:szCs w:val="16"/>
              </w:rPr>
            </w:pPr>
            <w:r>
              <w:rPr>
                <w:spacing w:val="-5"/>
                <w:sz w:val="16"/>
                <w:szCs w:val="16"/>
              </w:rPr>
              <w:t>100</w:t>
            </w:r>
          </w:p>
        </w:tc>
        <w:tc>
          <w:tcPr>
            <w:tcW w:w="1110" w:type="dxa"/>
            <w:vAlign w:val="top"/>
          </w:tcPr>
          <w:p w14:paraId="5FE3D0FA">
            <w:pPr>
              <w:pStyle w:val="6"/>
              <w:spacing w:before="106"/>
              <w:ind w:left="465"/>
              <w:rPr>
                <w:sz w:val="16"/>
                <w:szCs w:val="16"/>
              </w:rPr>
            </w:pPr>
            <w:r>
              <w:rPr>
                <w:spacing w:val="-3"/>
                <w:sz w:val="16"/>
                <w:szCs w:val="16"/>
              </w:rPr>
              <w:t>50</w:t>
            </w:r>
          </w:p>
        </w:tc>
        <w:tc>
          <w:tcPr>
            <w:tcW w:w="1120" w:type="dxa"/>
            <w:vAlign w:val="top"/>
          </w:tcPr>
          <w:p w14:paraId="3F14ABB1">
            <w:pPr>
              <w:pStyle w:val="6"/>
              <w:spacing w:before="106"/>
              <w:ind w:left="474"/>
              <w:rPr>
                <w:sz w:val="16"/>
                <w:szCs w:val="16"/>
              </w:rPr>
            </w:pPr>
            <w:r>
              <w:rPr>
                <w:spacing w:val="-3"/>
                <w:sz w:val="16"/>
                <w:szCs w:val="16"/>
              </w:rPr>
              <w:t>50</w:t>
            </w:r>
          </w:p>
        </w:tc>
        <w:tc>
          <w:tcPr>
            <w:tcW w:w="1119" w:type="dxa"/>
            <w:vAlign w:val="top"/>
          </w:tcPr>
          <w:p w14:paraId="2FCEC92B">
            <w:pPr>
              <w:pStyle w:val="6"/>
              <w:spacing w:before="106"/>
              <w:ind w:left="474"/>
              <w:rPr>
                <w:sz w:val="16"/>
                <w:szCs w:val="16"/>
              </w:rPr>
            </w:pPr>
            <w:r>
              <w:rPr>
                <w:spacing w:val="-3"/>
                <w:sz w:val="16"/>
                <w:szCs w:val="16"/>
              </w:rPr>
              <w:t>50</w:t>
            </w:r>
          </w:p>
        </w:tc>
        <w:tc>
          <w:tcPr>
            <w:tcW w:w="1120" w:type="dxa"/>
            <w:vAlign w:val="top"/>
          </w:tcPr>
          <w:p w14:paraId="32A5BD4D">
            <w:pPr>
              <w:pStyle w:val="6"/>
              <w:spacing w:before="106"/>
              <w:ind w:left="435"/>
              <w:rPr>
                <w:sz w:val="16"/>
                <w:szCs w:val="16"/>
              </w:rPr>
            </w:pPr>
            <w:r>
              <w:rPr>
                <w:spacing w:val="-5"/>
                <w:sz w:val="16"/>
                <w:szCs w:val="16"/>
              </w:rPr>
              <w:t>100</w:t>
            </w:r>
          </w:p>
        </w:tc>
        <w:tc>
          <w:tcPr>
            <w:tcW w:w="1100" w:type="dxa"/>
            <w:tcBorders>
              <w:right w:val="nil"/>
            </w:tcBorders>
            <w:vAlign w:val="top"/>
          </w:tcPr>
          <w:p w14:paraId="0A0EA53E">
            <w:pPr>
              <w:pStyle w:val="6"/>
              <w:spacing w:before="106"/>
              <w:ind w:left="425"/>
              <w:rPr>
                <w:sz w:val="16"/>
                <w:szCs w:val="16"/>
              </w:rPr>
            </w:pPr>
            <w:r>
              <w:rPr>
                <w:spacing w:val="-5"/>
                <w:sz w:val="16"/>
                <w:szCs w:val="16"/>
              </w:rPr>
              <w:t>100</w:t>
            </w:r>
          </w:p>
        </w:tc>
      </w:tr>
      <w:tr w14:paraId="3B665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110" w:type="dxa"/>
            <w:tcBorders>
              <w:left w:val="nil"/>
            </w:tcBorders>
            <w:vAlign w:val="top"/>
          </w:tcPr>
          <w:p w14:paraId="69B94B26">
            <w:pPr>
              <w:pStyle w:val="6"/>
              <w:spacing w:before="96" w:line="235" w:lineRule="auto"/>
              <w:ind w:left="469"/>
              <w:rPr>
                <w:sz w:val="16"/>
                <w:szCs w:val="16"/>
              </w:rPr>
            </w:pPr>
            <w:r>
              <w:rPr>
                <w:sz w:val="16"/>
                <w:szCs w:val="16"/>
              </w:rPr>
              <w:t>Ⅲ</w:t>
            </w:r>
          </w:p>
        </w:tc>
        <w:tc>
          <w:tcPr>
            <w:tcW w:w="1120" w:type="dxa"/>
            <w:vAlign w:val="top"/>
          </w:tcPr>
          <w:p w14:paraId="2841E9F5">
            <w:pPr>
              <w:pStyle w:val="6"/>
              <w:spacing w:before="98"/>
              <w:ind w:left="475"/>
              <w:rPr>
                <w:sz w:val="16"/>
                <w:szCs w:val="16"/>
              </w:rPr>
            </w:pPr>
            <w:r>
              <w:rPr>
                <w:spacing w:val="-3"/>
                <w:sz w:val="16"/>
                <w:szCs w:val="16"/>
              </w:rPr>
              <w:t>50</w:t>
            </w:r>
          </w:p>
        </w:tc>
        <w:tc>
          <w:tcPr>
            <w:tcW w:w="1110" w:type="dxa"/>
            <w:vAlign w:val="top"/>
          </w:tcPr>
          <w:p w14:paraId="02999A1B">
            <w:pPr>
              <w:pStyle w:val="6"/>
              <w:spacing w:before="98"/>
              <w:ind w:left="465"/>
              <w:rPr>
                <w:sz w:val="16"/>
                <w:szCs w:val="16"/>
              </w:rPr>
            </w:pPr>
            <w:r>
              <w:rPr>
                <w:spacing w:val="-3"/>
                <w:sz w:val="16"/>
                <w:szCs w:val="16"/>
              </w:rPr>
              <w:t>50</w:t>
            </w:r>
          </w:p>
        </w:tc>
        <w:tc>
          <w:tcPr>
            <w:tcW w:w="1120" w:type="dxa"/>
            <w:vAlign w:val="top"/>
          </w:tcPr>
          <w:p w14:paraId="158F815D">
            <w:pPr>
              <w:pStyle w:val="6"/>
              <w:spacing w:before="98"/>
              <w:ind w:left="474"/>
              <w:rPr>
                <w:sz w:val="16"/>
                <w:szCs w:val="16"/>
              </w:rPr>
            </w:pPr>
            <w:r>
              <w:rPr>
                <w:spacing w:val="-3"/>
                <w:sz w:val="16"/>
                <w:szCs w:val="16"/>
              </w:rPr>
              <w:t>50</w:t>
            </w:r>
          </w:p>
        </w:tc>
        <w:tc>
          <w:tcPr>
            <w:tcW w:w="1119" w:type="dxa"/>
            <w:vAlign w:val="top"/>
          </w:tcPr>
          <w:p w14:paraId="3E53EB1F">
            <w:pPr>
              <w:pStyle w:val="6"/>
              <w:spacing w:before="98"/>
              <w:ind w:left="474"/>
              <w:rPr>
                <w:sz w:val="16"/>
                <w:szCs w:val="16"/>
              </w:rPr>
            </w:pPr>
            <w:r>
              <w:rPr>
                <w:spacing w:val="-3"/>
                <w:sz w:val="16"/>
                <w:szCs w:val="16"/>
              </w:rPr>
              <w:t>50</w:t>
            </w:r>
          </w:p>
        </w:tc>
        <w:tc>
          <w:tcPr>
            <w:tcW w:w="1120" w:type="dxa"/>
            <w:vAlign w:val="top"/>
          </w:tcPr>
          <w:p w14:paraId="66034CC1">
            <w:pPr>
              <w:pStyle w:val="6"/>
              <w:spacing w:before="98"/>
              <w:ind w:left="476"/>
              <w:rPr>
                <w:sz w:val="16"/>
                <w:szCs w:val="16"/>
              </w:rPr>
            </w:pPr>
            <w:r>
              <w:rPr>
                <w:spacing w:val="-3"/>
                <w:sz w:val="16"/>
                <w:szCs w:val="16"/>
              </w:rPr>
              <w:t>50</w:t>
            </w:r>
          </w:p>
        </w:tc>
        <w:tc>
          <w:tcPr>
            <w:tcW w:w="1100" w:type="dxa"/>
            <w:tcBorders>
              <w:right w:val="nil"/>
            </w:tcBorders>
            <w:vAlign w:val="top"/>
          </w:tcPr>
          <w:p w14:paraId="29CCE569">
            <w:pPr>
              <w:pStyle w:val="6"/>
              <w:spacing w:before="98"/>
              <w:ind w:left="465"/>
              <w:rPr>
                <w:sz w:val="16"/>
                <w:szCs w:val="16"/>
              </w:rPr>
            </w:pPr>
            <w:r>
              <w:rPr>
                <w:spacing w:val="-3"/>
                <w:sz w:val="16"/>
                <w:szCs w:val="16"/>
              </w:rPr>
              <w:t>50</w:t>
            </w:r>
          </w:p>
        </w:tc>
      </w:tr>
      <w:tr w14:paraId="6D004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110" w:type="dxa"/>
            <w:tcBorders>
              <w:left w:val="nil"/>
            </w:tcBorders>
            <w:vAlign w:val="top"/>
          </w:tcPr>
          <w:p w14:paraId="1DB07EFA">
            <w:pPr>
              <w:pStyle w:val="6"/>
              <w:spacing w:before="125" w:line="182" w:lineRule="auto"/>
              <w:ind w:left="469"/>
              <w:rPr>
                <w:sz w:val="16"/>
                <w:szCs w:val="16"/>
              </w:rPr>
            </w:pPr>
            <w:r>
              <w:rPr>
                <w:spacing w:val="-4"/>
                <w:sz w:val="16"/>
                <w:szCs w:val="16"/>
              </w:rPr>
              <w:t>IV</w:t>
            </w:r>
          </w:p>
        </w:tc>
        <w:tc>
          <w:tcPr>
            <w:tcW w:w="1120" w:type="dxa"/>
            <w:vAlign w:val="top"/>
          </w:tcPr>
          <w:p w14:paraId="3E88AAE0">
            <w:pPr>
              <w:pStyle w:val="6"/>
              <w:spacing w:before="99"/>
              <w:ind w:left="475"/>
              <w:rPr>
                <w:sz w:val="16"/>
                <w:szCs w:val="16"/>
              </w:rPr>
            </w:pPr>
            <w:r>
              <w:rPr>
                <w:spacing w:val="-3"/>
                <w:sz w:val="16"/>
                <w:szCs w:val="16"/>
              </w:rPr>
              <w:t>50</w:t>
            </w:r>
          </w:p>
        </w:tc>
        <w:tc>
          <w:tcPr>
            <w:tcW w:w="1110" w:type="dxa"/>
            <w:vAlign w:val="top"/>
          </w:tcPr>
          <w:p w14:paraId="446E2A34">
            <w:pPr>
              <w:pStyle w:val="6"/>
              <w:spacing w:before="99"/>
              <w:ind w:left="465"/>
              <w:rPr>
                <w:sz w:val="16"/>
                <w:szCs w:val="16"/>
              </w:rPr>
            </w:pPr>
            <w:r>
              <w:rPr>
                <w:spacing w:val="-3"/>
                <w:sz w:val="16"/>
                <w:szCs w:val="16"/>
              </w:rPr>
              <w:t>30</w:t>
            </w:r>
          </w:p>
        </w:tc>
        <w:tc>
          <w:tcPr>
            <w:tcW w:w="1120" w:type="dxa"/>
            <w:vAlign w:val="top"/>
          </w:tcPr>
          <w:p w14:paraId="297FF445">
            <w:pPr>
              <w:pStyle w:val="6"/>
              <w:spacing w:before="99"/>
              <w:ind w:left="474"/>
              <w:rPr>
                <w:sz w:val="16"/>
                <w:szCs w:val="16"/>
              </w:rPr>
            </w:pPr>
            <w:r>
              <w:rPr>
                <w:spacing w:val="-3"/>
                <w:sz w:val="16"/>
                <w:szCs w:val="16"/>
              </w:rPr>
              <w:t>30</w:t>
            </w:r>
          </w:p>
        </w:tc>
        <w:tc>
          <w:tcPr>
            <w:tcW w:w="1119" w:type="dxa"/>
            <w:vAlign w:val="top"/>
          </w:tcPr>
          <w:p w14:paraId="3B7C8065">
            <w:pPr>
              <w:pStyle w:val="6"/>
              <w:spacing w:before="99"/>
              <w:ind w:left="474"/>
              <w:rPr>
                <w:sz w:val="16"/>
                <w:szCs w:val="16"/>
              </w:rPr>
            </w:pPr>
            <w:r>
              <w:rPr>
                <w:spacing w:val="-3"/>
                <w:sz w:val="16"/>
                <w:szCs w:val="16"/>
              </w:rPr>
              <w:t>30</w:t>
            </w:r>
          </w:p>
        </w:tc>
        <w:tc>
          <w:tcPr>
            <w:tcW w:w="1120" w:type="dxa"/>
            <w:vAlign w:val="top"/>
          </w:tcPr>
          <w:p w14:paraId="79F43C2C">
            <w:pPr>
              <w:pStyle w:val="6"/>
              <w:spacing w:before="99"/>
              <w:ind w:left="476"/>
              <w:rPr>
                <w:sz w:val="16"/>
                <w:szCs w:val="16"/>
              </w:rPr>
            </w:pPr>
            <w:r>
              <w:rPr>
                <w:spacing w:val="-3"/>
                <w:sz w:val="16"/>
                <w:szCs w:val="16"/>
              </w:rPr>
              <w:t>30</w:t>
            </w:r>
          </w:p>
        </w:tc>
        <w:tc>
          <w:tcPr>
            <w:tcW w:w="1100" w:type="dxa"/>
            <w:tcBorders>
              <w:right w:val="nil"/>
            </w:tcBorders>
            <w:vAlign w:val="top"/>
          </w:tcPr>
          <w:p w14:paraId="540F4F55">
            <w:pPr>
              <w:pStyle w:val="6"/>
              <w:spacing w:before="99"/>
              <w:ind w:left="465"/>
              <w:rPr>
                <w:sz w:val="16"/>
                <w:szCs w:val="16"/>
              </w:rPr>
            </w:pPr>
            <w:r>
              <w:rPr>
                <w:spacing w:val="-3"/>
                <w:sz w:val="16"/>
                <w:szCs w:val="16"/>
              </w:rPr>
              <w:t>30</w:t>
            </w:r>
          </w:p>
        </w:tc>
      </w:tr>
      <w:tr w14:paraId="2C6F1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110" w:type="dxa"/>
            <w:tcBorders>
              <w:left w:val="nil"/>
            </w:tcBorders>
            <w:vAlign w:val="top"/>
          </w:tcPr>
          <w:p w14:paraId="2854AB6F">
            <w:pPr>
              <w:pStyle w:val="6"/>
              <w:spacing w:before="126" w:line="182" w:lineRule="auto"/>
              <w:ind w:left="510"/>
              <w:rPr>
                <w:sz w:val="16"/>
                <w:szCs w:val="16"/>
              </w:rPr>
            </w:pPr>
            <w:r>
              <w:rPr>
                <w:sz w:val="16"/>
                <w:szCs w:val="16"/>
              </w:rPr>
              <w:t>V</w:t>
            </w:r>
          </w:p>
        </w:tc>
        <w:tc>
          <w:tcPr>
            <w:tcW w:w="1120" w:type="dxa"/>
            <w:vAlign w:val="top"/>
          </w:tcPr>
          <w:p w14:paraId="7BF9DA01">
            <w:pPr>
              <w:pStyle w:val="6"/>
              <w:spacing w:before="100"/>
              <w:ind w:left="475"/>
              <w:rPr>
                <w:sz w:val="16"/>
                <w:szCs w:val="16"/>
              </w:rPr>
            </w:pPr>
            <w:r>
              <w:rPr>
                <w:spacing w:val="-3"/>
                <w:sz w:val="16"/>
                <w:szCs w:val="16"/>
              </w:rPr>
              <w:t>50</w:t>
            </w:r>
          </w:p>
        </w:tc>
        <w:tc>
          <w:tcPr>
            <w:tcW w:w="1110" w:type="dxa"/>
            <w:vAlign w:val="top"/>
          </w:tcPr>
          <w:p w14:paraId="3BD015E3">
            <w:pPr>
              <w:pStyle w:val="6"/>
              <w:spacing w:before="100"/>
              <w:ind w:left="465"/>
              <w:rPr>
                <w:sz w:val="16"/>
                <w:szCs w:val="16"/>
              </w:rPr>
            </w:pPr>
            <w:r>
              <w:rPr>
                <w:spacing w:val="-3"/>
                <w:sz w:val="16"/>
                <w:szCs w:val="16"/>
              </w:rPr>
              <w:t>30</w:t>
            </w:r>
          </w:p>
        </w:tc>
        <w:tc>
          <w:tcPr>
            <w:tcW w:w="1120" w:type="dxa"/>
            <w:vAlign w:val="top"/>
          </w:tcPr>
          <w:p w14:paraId="611B9EF1">
            <w:pPr>
              <w:pStyle w:val="6"/>
              <w:spacing w:before="100"/>
              <w:ind w:left="474"/>
              <w:rPr>
                <w:sz w:val="16"/>
                <w:szCs w:val="16"/>
              </w:rPr>
            </w:pPr>
            <w:r>
              <w:rPr>
                <w:spacing w:val="-3"/>
                <w:sz w:val="16"/>
                <w:szCs w:val="16"/>
              </w:rPr>
              <w:t>30</w:t>
            </w:r>
          </w:p>
        </w:tc>
        <w:tc>
          <w:tcPr>
            <w:tcW w:w="1119" w:type="dxa"/>
            <w:vAlign w:val="top"/>
          </w:tcPr>
          <w:p w14:paraId="0CB92908">
            <w:pPr>
              <w:pStyle w:val="6"/>
              <w:spacing w:before="100"/>
              <w:ind w:left="474"/>
              <w:rPr>
                <w:sz w:val="16"/>
                <w:szCs w:val="16"/>
              </w:rPr>
            </w:pPr>
            <w:r>
              <w:rPr>
                <w:spacing w:val="-3"/>
                <w:sz w:val="16"/>
                <w:szCs w:val="16"/>
              </w:rPr>
              <w:t>30</w:t>
            </w:r>
          </w:p>
        </w:tc>
        <w:tc>
          <w:tcPr>
            <w:tcW w:w="1120" w:type="dxa"/>
            <w:vAlign w:val="top"/>
          </w:tcPr>
          <w:p w14:paraId="057D33F9">
            <w:pPr>
              <w:pStyle w:val="6"/>
              <w:spacing w:before="160" w:line="124" w:lineRule="exact"/>
              <w:ind w:left="476"/>
              <w:rPr>
                <w:sz w:val="16"/>
                <w:szCs w:val="16"/>
              </w:rPr>
            </w:pPr>
            <w:r>
              <w:rPr>
                <w:position w:val="-3"/>
                <w:sz w:val="16"/>
                <w:szCs w:val="16"/>
              </w:rPr>
              <w:t>一</w:t>
            </w:r>
          </w:p>
        </w:tc>
        <w:tc>
          <w:tcPr>
            <w:tcW w:w="1100" w:type="dxa"/>
            <w:tcBorders>
              <w:right w:val="nil"/>
            </w:tcBorders>
            <w:vAlign w:val="top"/>
          </w:tcPr>
          <w:p w14:paraId="71990EAB">
            <w:pPr>
              <w:pStyle w:val="6"/>
              <w:spacing w:before="100"/>
              <w:ind w:left="465"/>
              <w:rPr>
                <w:sz w:val="16"/>
                <w:szCs w:val="16"/>
              </w:rPr>
            </w:pPr>
            <w:r>
              <w:rPr>
                <w:spacing w:val="-3"/>
                <w:sz w:val="16"/>
                <w:szCs w:val="16"/>
              </w:rPr>
              <w:t>30</w:t>
            </w:r>
          </w:p>
        </w:tc>
      </w:tr>
    </w:tbl>
    <w:p w14:paraId="1631E25B">
      <w:pPr>
        <w:spacing w:before="63" w:line="245" w:lineRule="auto"/>
        <w:ind w:left="1626" w:right="1437" w:hanging="320"/>
        <w:rPr>
          <w:rFonts w:ascii="宋体" w:hAnsi="宋体" w:eastAsia="宋体" w:cs="宋体"/>
          <w:sz w:val="20"/>
          <w:szCs w:val="20"/>
        </w:rPr>
      </w:pPr>
      <w:r>
        <w:rPr>
          <w:rFonts w:ascii="宋体" w:hAnsi="宋体" w:eastAsia="宋体" w:cs="宋体"/>
          <w:spacing w:val="-16"/>
          <w:sz w:val="18"/>
          <w:szCs w:val="18"/>
        </w:rPr>
        <w:t>注：工程类别中水库、防洪、治涝、灌溉、供水、发电分别表示按水库库容、保护目标重要性和保护农田</w:t>
      </w:r>
      <w:r>
        <w:rPr>
          <w:rFonts w:ascii="宋体" w:hAnsi="宋体" w:eastAsia="宋体" w:cs="宋体"/>
          <w:spacing w:val="16"/>
          <w:sz w:val="18"/>
          <w:szCs w:val="18"/>
        </w:rPr>
        <w:t xml:space="preserve"> </w:t>
      </w:r>
      <w:r>
        <w:rPr>
          <w:rFonts w:ascii="宋体" w:hAnsi="宋体" w:eastAsia="宋体" w:cs="宋体"/>
          <w:spacing w:val="-17"/>
          <w:w w:val="89"/>
          <w:sz w:val="20"/>
          <w:szCs w:val="20"/>
        </w:rPr>
        <w:t>面积、治涝面积、灌溉面积、供水对象重要性、发电装机容量来确定工程等别。</w:t>
      </w:r>
    </w:p>
    <w:p w14:paraId="463B16A7">
      <w:pPr>
        <w:spacing w:before="215" w:line="297" w:lineRule="auto"/>
        <w:ind w:left="976" w:right="1490" w:firstLine="410"/>
        <w:jc w:val="both"/>
        <w:rPr>
          <w:rFonts w:ascii="宋体" w:hAnsi="宋体" w:eastAsia="宋体" w:cs="宋体"/>
          <w:sz w:val="20"/>
          <w:szCs w:val="20"/>
        </w:rPr>
      </w:pPr>
      <w:r>
        <w:rPr>
          <w:rFonts w:ascii="宋体" w:hAnsi="宋体" w:eastAsia="宋体" w:cs="宋体"/>
          <w:spacing w:val="12"/>
          <w:sz w:val="20"/>
          <w:szCs w:val="20"/>
        </w:rPr>
        <w:t>水利水电工程各类永久性水工建筑物的合理使用年限，应根据其所在工程的建筑</w:t>
      </w:r>
      <w:r>
        <w:rPr>
          <w:rFonts w:ascii="宋体" w:hAnsi="宋体" w:eastAsia="宋体" w:cs="宋体"/>
          <w:spacing w:val="6"/>
          <w:sz w:val="20"/>
          <w:szCs w:val="20"/>
        </w:rPr>
        <w:t xml:space="preserve"> </w:t>
      </w:r>
      <w:r>
        <w:rPr>
          <w:rFonts w:ascii="宋体" w:hAnsi="宋体" w:eastAsia="宋体" w:cs="宋体"/>
          <w:spacing w:val="11"/>
          <w:sz w:val="20"/>
          <w:szCs w:val="20"/>
        </w:rPr>
        <w:t>物类别和级别按表1.2-14的规定确定，且不应超过工程的合理使用年限。当永久</w:t>
      </w:r>
      <w:r>
        <w:rPr>
          <w:rFonts w:ascii="宋体" w:hAnsi="宋体" w:eastAsia="宋体" w:cs="宋体"/>
          <w:spacing w:val="10"/>
          <w:sz w:val="20"/>
          <w:szCs w:val="20"/>
        </w:rPr>
        <w:t>性水</w:t>
      </w:r>
      <w:r>
        <w:rPr>
          <w:rFonts w:ascii="宋体" w:hAnsi="宋体" w:eastAsia="宋体" w:cs="宋体"/>
          <w:sz w:val="20"/>
          <w:szCs w:val="20"/>
        </w:rPr>
        <w:t xml:space="preserve"> </w:t>
      </w:r>
      <w:r>
        <w:rPr>
          <w:rFonts w:ascii="宋体" w:hAnsi="宋体" w:eastAsia="宋体" w:cs="宋体"/>
          <w:spacing w:val="5"/>
          <w:sz w:val="20"/>
          <w:szCs w:val="20"/>
        </w:rPr>
        <w:t>工建筑物级别提高或降低时，其合理使用年限应不</w:t>
      </w:r>
      <w:r>
        <w:rPr>
          <w:rFonts w:ascii="宋体" w:hAnsi="宋体" w:eastAsia="宋体" w:cs="宋体"/>
          <w:spacing w:val="4"/>
          <w:sz w:val="20"/>
          <w:szCs w:val="20"/>
        </w:rPr>
        <w:t>变。</w:t>
      </w:r>
    </w:p>
    <w:p w14:paraId="26171BDF">
      <w:pPr>
        <w:spacing w:before="133" w:line="219" w:lineRule="auto"/>
        <w:ind w:left="1869"/>
        <w:rPr>
          <w:rFonts w:ascii="宋体" w:hAnsi="宋体" w:eastAsia="宋体" w:cs="宋体"/>
          <w:sz w:val="20"/>
          <w:szCs w:val="20"/>
        </w:rPr>
      </w:pPr>
      <w:r>
        <w:rPr>
          <w:rFonts w:ascii="宋体" w:hAnsi="宋体" w:eastAsia="宋体" w:cs="宋体"/>
          <w:b/>
          <w:bCs/>
          <w:spacing w:val="-1"/>
          <w:sz w:val="20"/>
          <w:szCs w:val="20"/>
        </w:rPr>
        <w:t>表1.2-14水利水电工程各类永久性水工建筑物的合理使用年限(单位</w:t>
      </w:r>
      <w:r>
        <w:rPr>
          <w:rFonts w:ascii="宋体" w:hAnsi="宋体" w:eastAsia="宋体" w:cs="宋体"/>
          <w:b/>
          <w:bCs/>
          <w:spacing w:val="-2"/>
          <w:sz w:val="20"/>
          <w:szCs w:val="20"/>
        </w:rPr>
        <w:t>：年)</w:t>
      </w:r>
    </w:p>
    <w:p w14:paraId="2ED30A85">
      <w:pPr>
        <w:spacing w:line="32" w:lineRule="exact"/>
      </w:pPr>
    </w:p>
    <w:tbl>
      <w:tblPr>
        <w:tblStyle w:val="5"/>
        <w:tblW w:w="7809" w:type="dxa"/>
        <w:tblInd w:w="1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2"/>
        <w:gridCol w:w="1168"/>
        <w:gridCol w:w="1159"/>
        <w:gridCol w:w="1169"/>
        <w:gridCol w:w="1178"/>
        <w:gridCol w:w="1163"/>
      </w:tblGrid>
      <w:tr w14:paraId="41CB6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972" w:type="dxa"/>
            <w:vMerge w:val="restart"/>
            <w:tcBorders>
              <w:bottom w:val="nil"/>
            </w:tcBorders>
            <w:vAlign w:val="top"/>
          </w:tcPr>
          <w:p w14:paraId="4429ABF4">
            <w:pPr>
              <w:pStyle w:val="6"/>
              <w:spacing w:before="242" w:line="219" w:lineRule="auto"/>
              <w:ind w:left="554"/>
              <w:rPr>
                <w:sz w:val="17"/>
                <w:szCs w:val="17"/>
              </w:rPr>
            </w:pPr>
            <w:r>
              <w:rPr>
                <w:spacing w:val="2"/>
                <w:sz w:val="17"/>
                <w:szCs w:val="17"/>
              </w:rPr>
              <w:t>建筑物类别</w:t>
            </w:r>
          </w:p>
        </w:tc>
        <w:tc>
          <w:tcPr>
            <w:tcW w:w="5837" w:type="dxa"/>
            <w:gridSpan w:val="5"/>
            <w:vAlign w:val="top"/>
          </w:tcPr>
          <w:p w14:paraId="0D8E66FB">
            <w:pPr>
              <w:pStyle w:val="6"/>
              <w:spacing w:before="72" w:line="220" w:lineRule="auto"/>
              <w:ind w:left="2493"/>
              <w:rPr>
                <w:sz w:val="17"/>
                <w:szCs w:val="17"/>
              </w:rPr>
            </w:pPr>
            <w:r>
              <w:rPr>
                <w:spacing w:val="2"/>
                <w:sz w:val="17"/>
                <w:szCs w:val="17"/>
              </w:rPr>
              <w:t>建筑物级别</w:t>
            </w:r>
          </w:p>
        </w:tc>
      </w:tr>
      <w:tr w14:paraId="2BCD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972" w:type="dxa"/>
            <w:vMerge w:val="continue"/>
            <w:tcBorders>
              <w:top w:val="nil"/>
            </w:tcBorders>
            <w:vAlign w:val="top"/>
          </w:tcPr>
          <w:p w14:paraId="66D94952">
            <w:pPr>
              <w:rPr>
                <w:rFonts w:ascii="Arial"/>
                <w:sz w:val="21"/>
              </w:rPr>
            </w:pPr>
          </w:p>
        </w:tc>
        <w:tc>
          <w:tcPr>
            <w:tcW w:w="1168" w:type="dxa"/>
            <w:vAlign w:val="top"/>
          </w:tcPr>
          <w:p w14:paraId="338A0EF2">
            <w:pPr>
              <w:pStyle w:val="6"/>
              <w:spacing w:before="96" w:line="230" w:lineRule="auto"/>
              <w:ind w:left="532"/>
              <w:rPr>
                <w:sz w:val="17"/>
                <w:szCs w:val="17"/>
              </w:rPr>
            </w:pPr>
            <w:r>
              <w:rPr>
                <w:sz w:val="17"/>
                <w:szCs w:val="17"/>
              </w:rPr>
              <w:t>1</w:t>
            </w:r>
          </w:p>
        </w:tc>
        <w:tc>
          <w:tcPr>
            <w:tcW w:w="1159" w:type="dxa"/>
            <w:vAlign w:val="top"/>
          </w:tcPr>
          <w:p w14:paraId="19CFC56A">
            <w:pPr>
              <w:pStyle w:val="6"/>
              <w:spacing w:before="96" w:line="230" w:lineRule="auto"/>
              <w:ind w:left="524"/>
              <w:rPr>
                <w:sz w:val="17"/>
                <w:szCs w:val="17"/>
              </w:rPr>
            </w:pPr>
            <w:r>
              <w:rPr>
                <w:sz w:val="17"/>
                <w:szCs w:val="17"/>
              </w:rPr>
              <w:t>2</w:t>
            </w:r>
          </w:p>
        </w:tc>
        <w:tc>
          <w:tcPr>
            <w:tcW w:w="1169" w:type="dxa"/>
            <w:vAlign w:val="top"/>
          </w:tcPr>
          <w:p w14:paraId="27B0A907">
            <w:pPr>
              <w:pStyle w:val="6"/>
              <w:spacing w:before="96" w:line="230" w:lineRule="auto"/>
              <w:ind w:left="535"/>
              <w:rPr>
                <w:sz w:val="17"/>
                <w:szCs w:val="17"/>
              </w:rPr>
            </w:pPr>
            <w:r>
              <w:rPr>
                <w:sz w:val="17"/>
                <w:szCs w:val="17"/>
              </w:rPr>
              <w:t>3</w:t>
            </w:r>
          </w:p>
        </w:tc>
        <w:tc>
          <w:tcPr>
            <w:tcW w:w="1178" w:type="dxa"/>
            <w:vAlign w:val="top"/>
          </w:tcPr>
          <w:p w14:paraId="2D0DC288">
            <w:pPr>
              <w:pStyle w:val="6"/>
              <w:spacing w:before="96" w:line="230" w:lineRule="auto"/>
              <w:ind w:left="536"/>
              <w:rPr>
                <w:sz w:val="17"/>
                <w:szCs w:val="17"/>
              </w:rPr>
            </w:pPr>
            <w:r>
              <w:rPr>
                <w:sz w:val="17"/>
                <w:szCs w:val="17"/>
              </w:rPr>
              <w:t>4</w:t>
            </w:r>
          </w:p>
        </w:tc>
        <w:tc>
          <w:tcPr>
            <w:tcW w:w="1163" w:type="dxa"/>
            <w:vAlign w:val="top"/>
          </w:tcPr>
          <w:p w14:paraId="399769B4">
            <w:pPr>
              <w:pStyle w:val="6"/>
              <w:spacing w:before="96" w:line="230" w:lineRule="auto"/>
              <w:ind w:left="528"/>
              <w:rPr>
                <w:sz w:val="17"/>
                <w:szCs w:val="17"/>
              </w:rPr>
            </w:pPr>
            <w:r>
              <w:rPr>
                <w:sz w:val="17"/>
                <w:szCs w:val="17"/>
              </w:rPr>
              <w:t>5</w:t>
            </w:r>
          </w:p>
        </w:tc>
      </w:tr>
      <w:tr w14:paraId="33DFE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972" w:type="dxa"/>
            <w:vAlign w:val="top"/>
          </w:tcPr>
          <w:p w14:paraId="51670500">
            <w:pPr>
              <w:pStyle w:val="6"/>
              <w:spacing w:before="81" w:line="219" w:lineRule="auto"/>
              <w:ind w:left="384"/>
              <w:rPr>
                <w:sz w:val="17"/>
                <w:szCs w:val="17"/>
              </w:rPr>
            </w:pPr>
            <w:r>
              <w:rPr>
                <w:spacing w:val="-2"/>
                <w:sz w:val="17"/>
                <w:szCs w:val="17"/>
              </w:rPr>
              <w:t>水库壅水建筑物</w:t>
            </w:r>
          </w:p>
        </w:tc>
        <w:tc>
          <w:tcPr>
            <w:tcW w:w="1168" w:type="dxa"/>
            <w:vAlign w:val="top"/>
          </w:tcPr>
          <w:p w14:paraId="3EED26C7">
            <w:pPr>
              <w:pStyle w:val="6"/>
              <w:spacing w:before="98" w:line="229" w:lineRule="auto"/>
              <w:ind w:left="442"/>
              <w:rPr>
                <w:sz w:val="17"/>
                <w:szCs w:val="17"/>
              </w:rPr>
            </w:pPr>
            <w:r>
              <w:rPr>
                <w:spacing w:val="-5"/>
                <w:sz w:val="17"/>
                <w:szCs w:val="17"/>
              </w:rPr>
              <w:t>150</w:t>
            </w:r>
          </w:p>
        </w:tc>
        <w:tc>
          <w:tcPr>
            <w:tcW w:w="1159" w:type="dxa"/>
            <w:vAlign w:val="top"/>
          </w:tcPr>
          <w:p w14:paraId="4E98F37A">
            <w:pPr>
              <w:pStyle w:val="6"/>
              <w:spacing w:before="98" w:line="229" w:lineRule="auto"/>
              <w:ind w:left="445"/>
              <w:rPr>
                <w:sz w:val="17"/>
                <w:szCs w:val="17"/>
              </w:rPr>
            </w:pPr>
            <w:r>
              <w:rPr>
                <w:spacing w:val="-5"/>
                <w:sz w:val="17"/>
                <w:szCs w:val="17"/>
              </w:rPr>
              <w:t>100</w:t>
            </w:r>
          </w:p>
        </w:tc>
        <w:tc>
          <w:tcPr>
            <w:tcW w:w="1169" w:type="dxa"/>
            <w:vAlign w:val="top"/>
          </w:tcPr>
          <w:p w14:paraId="2C96C54E">
            <w:pPr>
              <w:pStyle w:val="6"/>
              <w:spacing w:before="98" w:line="229" w:lineRule="auto"/>
              <w:ind w:left="495"/>
              <w:rPr>
                <w:sz w:val="17"/>
                <w:szCs w:val="17"/>
              </w:rPr>
            </w:pPr>
            <w:r>
              <w:rPr>
                <w:spacing w:val="-3"/>
                <w:sz w:val="17"/>
                <w:szCs w:val="17"/>
              </w:rPr>
              <w:t>50</w:t>
            </w:r>
          </w:p>
        </w:tc>
        <w:tc>
          <w:tcPr>
            <w:tcW w:w="1178" w:type="dxa"/>
            <w:vAlign w:val="top"/>
          </w:tcPr>
          <w:p w14:paraId="6D024C7D">
            <w:pPr>
              <w:pStyle w:val="6"/>
              <w:spacing w:before="98" w:line="229" w:lineRule="auto"/>
              <w:ind w:left="497"/>
              <w:rPr>
                <w:sz w:val="17"/>
                <w:szCs w:val="17"/>
              </w:rPr>
            </w:pPr>
            <w:r>
              <w:rPr>
                <w:spacing w:val="-3"/>
                <w:sz w:val="17"/>
                <w:szCs w:val="17"/>
              </w:rPr>
              <w:t>50</w:t>
            </w:r>
          </w:p>
        </w:tc>
        <w:tc>
          <w:tcPr>
            <w:tcW w:w="1163" w:type="dxa"/>
            <w:vAlign w:val="top"/>
          </w:tcPr>
          <w:p w14:paraId="31E3B6B2">
            <w:pPr>
              <w:pStyle w:val="6"/>
              <w:spacing w:before="98" w:line="229" w:lineRule="auto"/>
              <w:ind w:left="488"/>
              <w:rPr>
                <w:sz w:val="17"/>
                <w:szCs w:val="17"/>
              </w:rPr>
            </w:pPr>
            <w:r>
              <w:rPr>
                <w:spacing w:val="-3"/>
                <w:sz w:val="17"/>
                <w:szCs w:val="17"/>
              </w:rPr>
              <w:t>50</w:t>
            </w:r>
          </w:p>
        </w:tc>
      </w:tr>
      <w:tr w14:paraId="023DB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972" w:type="dxa"/>
            <w:vAlign w:val="top"/>
          </w:tcPr>
          <w:p w14:paraId="664FA0F1">
            <w:pPr>
              <w:pStyle w:val="6"/>
              <w:spacing w:before="82" w:line="219" w:lineRule="auto"/>
              <w:ind w:left="384"/>
              <w:rPr>
                <w:sz w:val="17"/>
                <w:szCs w:val="17"/>
              </w:rPr>
            </w:pPr>
            <w:r>
              <w:rPr>
                <w:spacing w:val="-2"/>
                <w:sz w:val="17"/>
                <w:szCs w:val="17"/>
              </w:rPr>
              <w:t>水库泄洪建筑物</w:t>
            </w:r>
          </w:p>
        </w:tc>
        <w:tc>
          <w:tcPr>
            <w:tcW w:w="1168" w:type="dxa"/>
            <w:vAlign w:val="top"/>
          </w:tcPr>
          <w:p w14:paraId="4E1BB9A3">
            <w:pPr>
              <w:pStyle w:val="6"/>
              <w:spacing w:before="99" w:line="228" w:lineRule="auto"/>
              <w:ind w:left="442"/>
              <w:rPr>
                <w:sz w:val="17"/>
                <w:szCs w:val="17"/>
              </w:rPr>
            </w:pPr>
            <w:r>
              <w:rPr>
                <w:spacing w:val="-5"/>
                <w:sz w:val="17"/>
                <w:szCs w:val="17"/>
              </w:rPr>
              <w:t>150</w:t>
            </w:r>
          </w:p>
        </w:tc>
        <w:tc>
          <w:tcPr>
            <w:tcW w:w="1159" w:type="dxa"/>
            <w:vAlign w:val="top"/>
          </w:tcPr>
          <w:p w14:paraId="5580AEEF">
            <w:pPr>
              <w:pStyle w:val="6"/>
              <w:spacing w:before="99" w:line="228" w:lineRule="auto"/>
              <w:ind w:left="445"/>
              <w:rPr>
                <w:sz w:val="17"/>
                <w:szCs w:val="17"/>
              </w:rPr>
            </w:pPr>
            <w:r>
              <w:rPr>
                <w:spacing w:val="-5"/>
                <w:sz w:val="17"/>
                <w:szCs w:val="17"/>
              </w:rPr>
              <w:t>100</w:t>
            </w:r>
          </w:p>
        </w:tc>
        <w:tc>
          <w:tcPr>
            <w:tcW w:w="1169" w:type="dxa"/>
            <w:vAlign w:val="top"/>
          </w:tcPr>
          <w:p w14:paraId="21882661">
            <w:pPr>
              <w:pStyle w:val="6"/>
              <w:spacing w:before="99" w:line="228" w:lineRule="auto"/>
              <w:ind w:left="495"/>
              <w:rPr>
                <w:sz w:val="17"/>
                <w:szCs w:val="17"/>
              </w:rPr>
            </w:pPr>
            <w:r>
              <w:rPr>
                <w:spacing w:val="-3"/>
                <w:sz w:val="17"/>
                <w:szCs w:val="17"/>
              </w:rPr>
              <w:t>50</w:t>
            </w:r>
          </w:p>
        </w:tc>
        <w:tc>
          <w:tcPr>
            <w:tcW w:w="1178" w:type="dxa"/>
            <w:vAlign w:val="top"/>
          </w:tcPr>
          <w:p w14:paraId="1D84D670">
            <w:pPr>
              <w:pStyle w:val="6"/>
              <w:spacing w:before="99" w:line="228" w:lineRule="auto"/>
              <w:ind w:left="497"/>
              <w:rPr>
                <w:sz w:val="17"/>
                <w:szCs w:val="17"/>
              </w:rPr>
            </w:pPr>
            <w:r>
              <w:rPr>
                <w:spacing w:val="-3"/>
                <w:sz w:val="17"/>
                <w:szCs w:val="17"/>
              </w:rPr>
              <w:t>50</w:t>
            </w:r>
          </w:p>
        </w:tc>
        <w:tc>
          <w:tcPr>
            <w:tcW w:w="1163" w:type="dxa"/>
            <w:vAlign w:val="top"/>
          </w:tcPr>
          <w:p w14:paraId="788D0E91">
            <w:pPr>
              <w:pStyle w:val="6"/>
              <w:spacing w:before="99" w:line="228" w:lineRule="auto"/>
              <w:ind w:left="488"/>
              <w:rPr>
                <w:sz w:val="17"/>
                <w:szCs w:val="17"/>
              </w:rPr>
            </w:pPr>
            <w:r>
              <w:rPr>
                <w:spacing w:val="-3"/>
                <w:sz w:val="17"/>
                <w:szCs w:val="17"/>
              </w:rPr>
              <w:t>50</w:t>
            </w:r>
          </w:p>
        </w:tc>
      </w:tr>
      <w:tr w14:paraId="51CCF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972" w:type="dxa"/>
            <w:vAlign w:val="top"/>
          </w:tcPr>
          <w:p w14:paraId="72BABAFF">
            <w:pPr>
              <w:pStyle w:val="6"/>
              <w:spacing w:before="83" w:line="219" w:lineRule="auto"/>
              <w:ind w:left="384"/>
              <w:rPr>
                <w:sz w:val="17"/>
                <w:szCs w:val="17"/>
              </w:rPr>
            </w:pPr>
            <w:r>
              <w:rPr>
                <w:spacing w:val="-1"/>
                <w:sz w:val="17"/>
                <w:szCs w:val="17"/>
              </w:rPr>
              <w:t>调(输)水建筑物</w:t>
            </w:r>
          </w:p>
        </w:tc>
        <w:tc>
          <w:tcPr>
            <w:tcW w:w="1168" w:type="dxa"/>
            <w:vAlign w:val="top"/>
          </w:tcPr>
          <w:p w14:paraId="5E79E689">
            <w:pPr>
              <w:pStyle w:val="6"/>
              <w:spacing w:before="99" w:line="227" w:lineRule="auto"/>
              <w:ind w:left="442"/>
              <w:rPr>
                <w:sz w:val="17"/>
                <w:szCs w:val="17"/>
              </w:rPr>
            </w:pPr>
            <w:r>
              <w:rPr>
                <w:spacing w:val="-5"/>
                <w:sz w:val="17"/>
                <w:szCs w:val="17"/>
              </w:rPr>
              <w:t>100</w:t>
            </w:r>
          </w:p>
        </w:tc>
        <w:tc>
          <w:tcPr>
            <w:tcW w:w="1159" w:type="dxa"/>
            <w:vAlign w:val="top"/>
          </w:tcPr>
          <w:p w14:paraId="02A9DE14">
            <w:pPr>
              <w:pStyle w:val="6"/>
              <w:spacing w:before="99" w:line="227" w:lineRule="auto"/>
              <w:ind w:left="445"/>
              <w:rPr>
                <w:sz w:val="17"/>
                <w:szCs w:val="17"/>
              </w:rPr>
            </w:pPr>
            <w:r>
              <w:rPr>
                <w:spacing w:val="-5"/>
                <w:sz w:val="17"/>
                <w:szCs w:val="17"/>
              </w:rPr>
              <w:t>100</w:t>
            </w:r>
          </w:p>
        </w:tc>
        <w:tc>
          <w:tcPr>
            <w:tcW w:w="1169" w:type="dxa"/>
            <w:vAlign w:val="top"/>
          </w:tcPr>
          <w:p w14:paraId="230422E3">
            <w:pPr>
              <w:pStyle w:val="6"/>
              <w:spacing w:before="99" w:line="227" w:lineRule="auto"/>
              <w:ind w:left="495"/>
              <w:rPr>
                <w:sz w:val="17"/>
                <w:szCs w:val="17"/>
              </w:rPr>
            </w:pPr>
            <w:r>
              <w:rPr>
                <w:spacing w:val="-3"/>
                <w:sz w:val="17"/>
                <w:szCs w:val="17"/>
              </w:rPr>
              <w:t>50</w:t>
            </w:r>
          </w:p>
        </w:tc>
        <w:tc>
          <w:tcPr>
            <w:tcW w:w="1178" w:type="dxa"/>
            <w:vAlign w:val="top"/>
          </w:tcPr>
          <w:p w14:paraId="15D5CDBD">
            <w:pPr>
              <w:pStyle w:val="6"/>
              <w:spacing w:before="99" w:line="227" w:lineRule="auto"/>
              <w:ind w:left="497"/>
              <w:rPr>
                <w:sz w:val="17"/>
                <w:szCs w:val="17"/>
              </w:rPr>
            </w:pPr>
            <w:r>
              <w:rPr>
                <w:spacing w:val="-3"/>
                <w:sz w:val="17"/>
                <w:szCs w:val="17"/>
              </w:rPr>
              <w:t>30</w:t>
            </w:r>
          </w:p>
        </w:tc>
        <w:tc>
          <w:tcPr>
            <w:tcW w:w="1163" w:type="dxa"/>
            <w:vAlign w:val="top"/>
          </w:tcPr>
          <w:p w14:paraId="4DF3AE3A">
            <w:pPr>
              <w:pStyle w:val="6"/>
              <w:spacing w:before="99" w:line="227" w:lineRule="auto"/>
              <w:ind w:left="488"/>
              <w:rPr>
                <w:sz w:val="17"/>
                <w:szCs w:val="17"/>
              </w:rPr>
            </w:pPr>
            <w:r>
              <w:rPr>
                <w:spacing w:val="-3"/>
                <w:sz w:val="17"/>
                <w:szCs w:val="17"/>
              </w:rPr>
              <w:t>30</w:t>
            </w:r>
          </w:p>
        </w:tc>
      </w:tr>
      <w:tr w14:paraId="3BB93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972" w:type="dxa"/>
            <w:vAlign w:val="top"/>
          </w:tcPr>
          <w:p w14:paraId="76A9B1CF">
            <w:pPr>
              <w:pStyle w:val="6"/>
              <w:spacing w:before="84" w:line="220" w:lineRule="auto"/>
              <w:ind w:left="554"/>
              <w:rPr>
                <w:sz w:val="17"/>
                <w:szCs w:val="17"/>
              </w:rPr>
            </w:pPr>
            <w:r>
              <w:rPr>
                <w:spacing w:val="-2"/>
                <w:sz w:val="17"/>
                <w:szCs w:val="17"/>
              </w:rPr>
              <w:t>发电建筑物</w:t>
            </w:r>
          </w:p>
        </w:tc>
        <w:tc>
          <w:tcPr>
            <w:tcW w:w="1168" w:type="dxa"/>
            <w:vAlign w:val="top"/>
          </w:tcPr>
          <w:p w14:paraId="162F39B3">
            <w:pPr>
              <w:pStyle w:val="6"/>
              <w:spacing w:before="100" w:line="236" w:lineRule="auto"/>
              <w:ind w:left="442"/>
              <w:rPr>
                <w:sz w:val="17"/>
                <w:szCs w:val="17"/>
              </w:rPr>
            </w:pPr>
            <w:r>
              <w:rPr>
                <w:spacing w:val="-5"/>
                <w:sz w:val="17"/>
                <w:szCs w:val="17"/>
              </w:rPr>
              <w:t>100</w:t>
            </w:r>
          </w:p>
        </w:tc>
        <w:tc>
          <w:tcPr>
            <w:tcW w:w="1159" w:type="dxa"/>
            <w:vAlign w:val="top"/>
          </w:tcPr>
          <w:p w14:paraId="53835D0C">
            <w:pPr>
              <w:pStyle w:val="6"/>
              <w:spacing w:before="100" w:line="236" w:lineRule="auto"/>
              <w:ind w:left="445"/>
              <w:rPr>
                <w:sz w:val="17"/>
                <w:szCs w:val="17"/>
              </w:rPr>
            </w:pPr>
            <w:r>
              <w:rPr>
                <w:spacing w:val="-5"/>
                <w:sz w:val="17"/>
                <w:szCs w:val="17"/>
              </w:rPr>
              <w:t>100</w:t>
            </w:r>
          </w:p>
        </w:tc>
        <w:tc>
          <w:tcPr>
            <w:tcW w:w="1169" w:type="dxa"/>
            <w:vAlign w:val="top"/>
          </w:tcPr>
          <w:p w14:paraId="36383E60">
            <w:pPr>
              <w:pStyle w:val="6"/>
              <w:spacing w:before="100" w:line="236" w:lineRule="auto"/>
              <w:ind w:left="495"/>
              <w:rPr>
                <w:sz w:val="17"/>
                <w:szCs w:val="17"/>
              </w:rPr>
            </w:pPr>
            <w:r>
              <w:rPr>
                <w:spacing w:val="-3"/>
                <w:sz w:val="17"/>
                <w:szCs w:val="17"/>
              </w:rPr>
              <w:t>50</w:t>
            </w:r>
          </w:p>
        </w:tc>
        <w:tc>
          <w:tcPr>
            <w:tcW w:w="1178" w:type="dxa"/>
            <w:vAlign w:val="top"/>
          </w:tcPr>
          <w:p w14:paraId="279FD7D5">
            <w:pPr>
              <w:pStyle w:val="6"/>
              <w:spacing w:before="100" w:line="236" w:lineRule="auto"/>
              <w:ind w:left="497"/>
              <w:rPr>
                <w:sz w:val="17"/>
                <w:szCs w:val="17"/>
              </w:rPr>
            </w:pPr>
            <w:r>
              <w:rPr>
                <w:spacing w:val="-3"/>
                <w:sz w:val="17"/>
                <w:szCs w:val="17"/>
              </w:rPr>
              <w:t>30</w:t>
            </w:r>
          </w:p>
        </w:tc>
        <w:tc>
          <w:tcPr>
            <w:tcW w:w="1163" w:type="dxa"/>
            <w:vAlign w:val="top"/>
          </w:tcPr>
          <w:p w14:paraId="798E5902">
            <w:pPr>
              <w:pStyle w:val="6"/>
              <w:spacing w:before="100" w:line="236" w:lineRule="auto"/>
              <w:ind w:left="488"/>
              <w:rPr>
                <w:sz w:val="17"/>
                <w:szCs w:val="17"/>
              </w:rPr>
            </w:pPr>
            <w:r>
              <w:rPr>
                <w:spacing w:val="-3"/>
                <w:sz w:val="17"/>
                <w:szCs w:val="17"/>
              </w:rPr>
              <w:t>30</w:t>
            </w:r>
          </w:p>
        </w:tc>
      </w:tr>
      <w:tr w14:paraId="43817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972" w:type="dxa"/>
            <w:vAlign w:val="top"/>
          </w:tcPr>
          <w:p w14:paraId="1911FBB4">
            <w:pPr>
              <w:pStyle w:val="6"/>
              <w:spacing w:before="74" w:line="219" w:lineRule="auto"/>
              <w:ind w:left="215"/>
              <w:rPr>
                <w:sz w:val="17"/>
                <w:szCs w:val="17"/>
              </w:rPr>
            </w:pPr>
            <w:r>
              <w:rPr>
                <w:spacing w:val="1"/>
                <w:sz w:val="17"/>
                <w:szCs w:val="17"/>
              </w:rPr>
              <w:t>防洪(潮)、供水水闸</w:t>
            </w:r>
          </w:p>
        </w:tc>
        <w:tc>
          <w:tcPr>
            <w:tcW w:w="1168" w:type="dxa"/>
            <w:vAlign w:val="top"/>
          </w:tcPr>
          <w:p w14:paraId="179DC979">
            <w:pPr>
              <w:pStyle w:val="6"/>
              <w:spacing w:before="93" w:line="228" w:lineRule="auto"/>
              <w:ind w:left="442"/>
              <w:rPr>
                <w:sz w:val="17"/>
                <w:szCs w:val="17"/>
              </w:rPr>
            </w:pPr>
            <w:r>
              <w:rPr>
                <w:spacing w:val="-5"/>
                <w:sz w:val="17"/>
                <w:szCs w:val="17"/>
              </w:rPr>
              <w:t>100</w:t>
            </w:r>
          </w:p>
        </w:tc>
        <w:tc>
          <w:tcPr>
            <w:tcW w:w="1159" w:type="dxa"/>
            <w:vAlign w:val="top"/>
          </w:tcPr>
          <w:p w14:paraId="68D8D582">
            <w:pPr>
              <w:pStyle w:val="6"/>
              <w:spacing w:before="93" w:line="228" w:lineRule="auto"/>
              <w:ind w:left="445"/>
              <w:rPr>
                <w:sz w:val="17"/>
                <w:szCs w:val="17"/>
              </w:rPr>
            </w:pPr>
            <w:r>
              <w:rPr>
                <w:spacing w:val="-5"/>
                <w:sz w:val="17"/>
                <w:szCs w:val="17"/>
              </w:rPr>
              <w:t>100</w:t>
            </w:r>
          </w:p>
        </w:tc>
        <w:tc>
          <w:tcPr>
            <w:tcW w:w="1169" w:type="dxa"/>
            <w:vAlign w:val="top"/>
          </w:tcPr>
          <w:p w14:paraId="216BE554">
            <w:pPr>
              <w:pStyle w:val="6"/>
              <w:spacing w:before="93" w:line="228" w:lineRule="auto"/>
              <w:ind w:left="495"/>
              <w:rPr>
                <w:sz w:val="17"/>
                <w:szCs w:val="17"/>
              </w:rPr>
            </w:pPr>
            <w:r>
              <w:rPr>
                <w:spacing w:val="-3"/>
                <w:sz w:val="17"/>
                <w:szCs w:val="17"/>
              </w:rPr>
              <w:t>50</w:t>
            </w:r>
          </w:p>
        </w:tc>
        <w:tc>
          <w:tcPr>
            <w:tcW w:w="1178" w:type="dxa"/>
            <w:vAlign w:val="top"/>
          </w:tcPr>
          <w:p w14:paraId="4B70F6EF">
            <w:pPr>
              <w:pStyle w:val="6"/>
              <w:spacing w:before="93" w:line="228" w:lineRule="auto"/>
              <w:ind w:left="497"/>
              <w:rPr>
                <w:sz w:val="17"/>
                <w:szCs w:val="17"/>
              </w:rPr>
            </w:pPr>
            <w:r>
              <w:rPr>
                <w:spacing w:val="-3"/>
                <w:sz w:val="17"/>
                <w:szCs w:val="17"/>
              </w:rPr>
              <w:t>30</w:t>
            </w:r>
          </w:p>
        </w:tc>
        <w:tc>
          <w:tcPr>
            <w:tcW w:w="1163" w:type="dxa"/>
            <w:vAlign w:val="top"/>
          </w:tcPr>
          <w:p w14:paraId="1771A0CC">
            <w:pPr>
              <w:pStyle w:val="6"/>
              <w:spacing w:before="93" w:line="228" w:lineRule="auto"/>
              <w:ind w:left="488"/>
              <w:rPr>
                <w:sz w:val="17"/>
                <w:szCs w:val="17"/>
              </w:rPr>
            </w:pPr>
            <w:r>
              <w:rPr>
                <w:spacing w:val="-3"/>
                <w:sz w:val="17"/>
                <w:szCs w:val="17"/>
              </w:rPr>
              <w:t>30</w:t>
            </w:r>
          </w:p>
        </w:tc>
      </w:tr>
    </w:tbl>
    <w:p w14:paraId="18A11EC6">
      <w:pPr>
        <w:spacing w:line="191" w:lineRule="auto"/>
        <w:rPr>
          <w:rFonts w:ascii="宋体" w:hAnsi="宋体" w:eastAsia="宋体" w:cs="宋体"/>
          <w:sz w:val="24"/>
          <w:szCs w:val="24"/>
        </w:rPr>
        <w:sectPr>
          <w:pgSz w:w="10320" w:h="14590"/>
          <w:pgMar w:top="32" w:right="10" w:bottom="10" w:left="3" w:header="0" w:footer="0" w:gutter="0"/>
          <w:cols w:space="720" w:num="1"/>
        </w:sectPr>
      </w:pPr>
    </w:p>
    <w:p w14:paraId="4A8CE32E">
      <w:pPr>
        <w:spacing w:line="212" w:lineRule="auto"/>
        <w:ind w:left="293"/>
        <w:rPr>
          <w:rFonts w:ascii="宋体" w:hAnsi="宋体" w:eastAsia="宋体" w:cs="宋体"/>
          <w:sz w:val="23"/>
          <w:szCs w:val="23"/>
        </w:rPr>
      </w:pPr>
      <w:r>
        <w:rPr>
          <w:rFonts w:hint="eastAsia" w:ascii="宋体" w:hAnsi="宋体" w:eastAsia="宋体" w:cs="宋体"/>
          <w:b/>
          <w:bCs/>
          <w:spacing w:val="12"/>
          <w:sz w:val="23"/>
          <w:szCs w:val="23"/>
          <w:lang w:eastAsia="zh-CN"/>
        </w:rPr>
        <w:t>大鱼社区</w:t>
      </w:r>
      <w:r>
        <w:rPr>
          <w:rFonts w:ascii="宋体" w:hAnsi="宋体" w:eastAsia="宋体" w:cs="宋体"/>
          <w:b/>
          <w:bCs/>
          <w:spacing w:val="12"/>
          <w:sz w:val="23"/>
          <w:szCs w:val="23"/>
        </w:rPr>
        <w:t>助你备考：少走弯路，快速通关!认准</w:t>
      </w:r>
      <w:r>
        <w:rPr>
          <w:rFonts w:ascii="Times New Roman" w:hAnsi="Times New Roman" w:eastAsia="Times New Roman" w:cs="Times New Roman"/>
          <w:b/>
          <w:bCs/>
          <w:sz w:val="23"/>
          <w:szCs w:val="23"/>
        </w:rPr>
        <w:t>VX</w:t>
      </w:r>
      <w:r>
        <w:rPr>
          <w:rFonts w:ascii="Times New Roman" w:hAnsi="Times New Roman" w:eastAsia="Times New Roman" w:cs="Times New Roman"/>
          <w:b/>
          <w:bCs/>
          <w:spacing w:val="12"/>
          <w:sz w:val="23"/>
          <w:szCs w:val="23"/>
        </w:rPr>
        <w:t>:</w:t>
      </w:r>
      <w:r>
        <w:rPr>
          <w:rFonts w:hint="eastAsia" w:ascii="Times New Roman" w:hAnsi="Times New Roman" w:eastAsia="宋体" w:cs="Times New Roman"/>
          <w:b/>
          <w:bCs/>
          <w:sz w:val="23"/>
          <w:szCs w:val="23"/>
          <w:lang w:eastAsia="zh-CN"/>
        </w:rPr>
        <w:t>dayu_nm_cn</w:t>
      </w:r>
      <w:r>
        <w:rPr>
          <w:rFonts w:ascii="Times New Roman" w:hAnsi="Times New Roman" w:eastAsia="Times New Roman" w:cs="Times New Roman"/>
          <w:b/>
          <w:bCs/>
          <w:spacing w:val="12"/>
          <w:sz w:val="23"/>
          <w:szCs w:val="23"/>
        </w:rPr>
        <w:t xml:space="preserve">   </w:t>
      </w:r>
      <w:r>
        <w:rPr>
          <w:rFonts w:ascii="宋体" w:hAnsi="宋体" w:eastAsia="宋体" w:cs="宋体"/>
          <w:b/>
          <w:bCs/>
          <w:spacing w:val="12"/>
          <w:sz w:val="23"/>
          <w:szCs w:val="23"/>
        </w:rPr>
        <w:t>(</w:t>
      </w:r>
      <w:r>
        <w:rPr>
          <w:rFonts w:ascii="宋体" w:hAnsi="宋体" w:eastAsia="宋体" w:cs="宋体"/>
          <w:b/>
          <w:bCs/>
          <w:spacing w:val="11"/>
          <w:sz w:val="23"/>
          <w:szCs w:val="23"/>
        </w:rPr>
        <w:t>天道酬勤，白嫖勿扰)</w:t>
      </w:r>
    </w:p>
    <w:p w14:paraId="0F1E31D7">
      <w:pPr>
        <w:pStyle w:val="2"/>
        <w:spacing w:line="285" w:lineRule="auto"/>
      </w:pPr>
    </w:p>
    <w:p w14:paraId="24284F39">
      <w:pPr>
        <w:spacing w:before="62" w:line="222" w:lineRule="auto"/>
        <w:ind w:left="6460"/>
        <w:rPr>
          <w:rFonts w:ascii="Times New Roman" w:hAnsi="Times New Roman" w:eastAsia="Times New Roman" w:cs="Times New Roman"/>
          <w:sz w:val="13"/>
          <w:szCs w:val="13"/>
        </w:rPr>
      </w:pPr>
      <w:r>
        <w:drawing>
          <wp:anchor distT="0" distB="0" distL="0" distR="0" simplePos="0" relativeHeight="251672576" behindDoc="0" locked="0" layoutInCell="1" allowOverlap="1">
            <wp:simplePos x="0" y="0"/>
            <wp:positionH relativeFrom="column">
              <wp:posOffset>958850</wp:posOffset>
            </wp:positionH>
            <wp:positionV relativeFrom="paragraph">
              <wp:posOffset>225425</wp:posOffset>
            </wp:positionV>
            <wp:extent cx="5048250" cy="1270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3"/>
                    <a:stretch>
                      <a:fillRect/>
                    </a:stretch>
                  </pic:blipFill>
                  <pic:spPr>
                    <a:xfrm>
                      <a:off x="0" y="0"/>
                      <a:ext cx="5048257" cy="12692"/>
                    </a:xfrm>
                    <a:prstGeom prst="rect">
                      <a:avLst/>
                    </a:prstGeom>
                  </pic:spPr>
                </pic:pic>
              </a:graphicData>
            </a:graphic>
          </wp:anchor>
        </w:drawing>
      </w:r>
      <w:r>
        <w:rPr>
          <w:rFonts w:ascii="黑体" w:hAnsi="黑体" w:eastAsia="黑体" w:cs="黑体"/>
          <w:spacing w:val="-12"/>
          <w:sz w:val="19"/>
          <w:szCs w:val="19"/>
        </w:rPr>
        <w:t>第1章 水利水电工程勘测与设计</w:t>
      </w:r>
      <w:r>
        <w:rPr>
          <w:rFonts w:ascii="黑体" w:hAnsi="黑体" w:eastAsia="黑体" w:cs="黑体"/>
          <w:spacing w:val="13"/>
          <w:sz w:val="19"/>
          <w:szCs w:val="19"/>
        </w:rPr>
        <w:t xml:space="preserve">   </w:t>
      </w:r>
      <w:r>
        <w:rPr>
          <w:rFonts w:ascii="Times New Roman" w:hAnsi="Times New Roman" w:eastAsia="Times New Roman" w:cs="Times New Roman"/>
          <w:spacing w:val="-12"/>
          <w:sz w:val="13"/>
          <w:szCs w:val="13"/>
        </w:rPr>
        <w:t>19</w:t>
      </w:r>
    </w:p>
    <w:p w14:paraId="314215B3">
      <w:pPr>
        <w:spacing w:before="243" w:line="220" w:lineRule="auto"/>
        <w:ind w:left="8680"/>
        <w:rPr>
          <w:rFonts w:ascii="宋体" w:hAnsi="宋体" w:eastAsia="宋体" w:cs="宋体"/>
          <w:sz w:val="19"/>
          <w:szCs w:val="19"/>
        </w:rPr>
      </w:pPr>
      <w:r>
        <w:rPr>
          <w:rFonts w:ascii="宋体" w:hAnsi="宋体" w:eastAsia="宋体" w:cs="宋体"/>
          <w:spacing w:val="-3"/>
          <w:sz w:val="19"/>
          <w:szCs w:val="19"/>
        </w:rPr>
        <w:t>续表</w:t>
      </w:r>
    </w:p>
    <w:p w14:paraId="4B6F46A1">
      <w:pPr>
        <w:spacing w:line="70" w:lineRule="exact"/>
      </w:pPr>
    </w:p>
    <w:tbl>
      <w:tblPr>
        <w:tblStyle w:val="5"/>
        <w:tblW w:w="7880" w:type="dxa"/>
        <w:tblInd w:w="15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0"/>
        <w:gridCol w:w="1180"/>
        <w:gridCol w:w="1180"/>
        <w:gridCol w:w="1170"/>
        <w:gridCol w:w="1160"/>
        <w:gridCol w:w="1220"/>
      </w:tblGrid>
      <w:tr w14:paraId="74CC0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970" w:type="dxa"/>
            <w:vMerge w:val="restart"/>
            <w:tcBorders>
              <w:left w:val="nil"/>
              <w:bottom w:val="nil"/>
            </w:tcBorders>
            <w:vAlign w:val="top"/>
          </w:tcPr>
          <w:p w14:paraId="0D008E19">
            <w:pPr>
              <w:pStyle w:val="6"/>
              <w:spacing w:before="242" w:line="219" w:lineRule="auto"/>
              <w:ind w:left="560"/>
              <w:rPr>
                <w:sz w:val="17"/>
                <w:szCs w:val="17"/>
              </w:rPr>
            </w:pPr>
            <w:r>
              <w:rPr>
                <w:spacing w:val="2"/>
                <w:sz w:val="17"/>
                <w:szCs w:val="17"/>
              </w:rPr>
              <w:t>建筑物类别</w:t>
            </w:r>
          </w:p>
        </w:tc>
        <w:tc>
          <w:tcPr>
            <w:tcW w:w="5910" w:type="dxa"/>
            <w:gridSpan w:val="5"/>
            <w:tcBorders>
              <w:right w:val="nil"/>
            </w:tcBorders>
            <w:vAlign w:val="top"/>
          </w:tcPr>
          <w:p w14:paraId="450C85B2">
            <w:pPr>
              <w:pStyle w:val="6"/>
              <w:spacing w:before="82" w:line="220" w:lineRule="auto"/>
              <w:ind w:left="2525"/>
              <w:rPr>
                <w:sz w:val="17"/>
                <w:szCs w:val="17"/>
              </w:rPr>
            </w:pPr>
            <w:r>
              <w:rPr>
                <w:spacing w:val="2"/>
                <w:sz w:val="17"/>
                <w:szCs w:val="17"/>
              </w:rPr>
              <w:t>建筑物级别</w:t>
            </w:r>
          </w:p>
        </w:tc>
      </w:tr>
      <w:tr w14:paraId="6F455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970" w:type="dxa"/>
            <w:vMerge w:val="continue"/>
            <w:tcBorders>
              <w:top w:val="nil"/>
              <w:left w:val="nil"/>
            </w:tcBorders>
            <w:vAlign w:val="top"/>
          </w:tcPr>
          <w:p w14:paraId="4BC0D5CF">
            <w:pPr>
              <w:rPr>
                <w:rFonts w:ascii="Arial"/>
                <w:sz w:val="21"/>
              </w:rPr>
            </w:pPr>
          </w:p>
        </w:tc>
        <w:tc>
          <w:tcPr>
            <w:tcW w:w="1180" w:type="dxa"/>
            <w:vAlign w:val="top"/>
          </w:tcPr>
          <w:p w14:paraId="62353B2F">
            <w:pPr>
              <w:pStyle w:val="6"/>
              <w:spacing w:before="86" w:line="231" w:lineRule="auto"/>
              <w:ind w:left="535"/>
              <w:rPr>
                <w:sz w:val="17"/>
                <w:szCs w:val="17"/>
              </w:rPr>
            </w:pPr>
            <w:r>
              <w:rPr>
                <w:sz w:val="17"/>
                <w:szCs w:val="17"/>
              </w:rPr>
              <w:t>1</w:t>
            </w:r>
          </w:p>
        </w:tc>
        <w:tc>
          <w:tcPr>
            <w:tcW w:w="1180" w:type="dxa"/>
            <w:vAlign w:val="top"/>
          </w:tcPr>
          <w:p w14:paraId="0F23ED87">
            <w:pPr>
              <w:pStyle w:val="6"/>
              <w:spacing w:before="86" w:line="231" w:lineRule="auto"/>
              <w:ind w:left="535"/>
              <w:rPr>
                <w:sz w:val="17"/>
                <w:szCs w:val="17"/>
              </w:rPr>
            </w:pPr>
            <w:r>
              <w:rPr>
                <w:sz w:val="17"/>
                <w:szCs w:val="17"/>
              </w:rPr>
              <w:t>2</w:t>
            </w:r>
          </w:p>
        </w:tc>
        <w:tc>
          <w:tcPr>
            <w:tcW w:w="1170" w:type="dxa"/>
            <w:vAlign w:val="top"/>
          </w:tcPr>
          <w:p w14:paraId="734C79C4">
            <w:pPr>
              <w:pStyle w:val="6"/>
              <w:spacing w:before="86" w:line="231" w:lineRule="auto"/>
              <w:ind w:left="535"/>
              <w:rPr>
                <w:sz w:val="17"/>
                <w:szCs w:val="17"/>
              </w:rPr>
            </w:pPr>
            <w:r>
              <w:rPr>
                <w:sz w:val="17"/>
                <w:szCs w:val="17"/>
              </w:rPr>
              <w:t>3</w:t>
            </w:r>
          </w:p>
        </w:tc>
        <w:tc>
          <w:tcPr>
            <w:tcW w:w="1160" w:type="dxa"/>
            <w:vAlign w:val="top"/>
          </w:tcPr>
          <w:p w14:paraId="282EFC27">
            <w:pPr>
              <w:pStyle w:val="6"/>
              <w:spacing w:before="86" w:line="231" w:lineRule="auto"/>
              <w:ind w:left="525"/>
              <w:rPr>
                <w:sz w:val="17"/>
                <w:szCs w:val="17"/>
              </w:rPr>
            </w:pPr>
            <w:r>
              <w:rPr>
                <w:sz w:val="17"/>
                <w:szCs w:val="17"/>
              </w:rPr>
              <w:t>4</w:t>
            </w:r>
          </w:p>
        </w:tc>
        <w:tc>
          <w:tcPr>
            <w:tcW w:w="1220" w:type="dxa"/>
            <w:tcBorders>
              <w:right w:val="nil"/>
            </w:tcBorders>
            <w:vAlign w:val="top"/>
          </w:tcPr>
          <w:p w14:paraId="48F6364E">
            <w:pPr>
              <w:pStyle w:val="6"/>
              <w:spacing w:before="86" w:line="231" w:lineRule="auto"/>
              <w:ind w:left="555"/>
              <w:rPr>
                <w:sz w:val="17"/>
                <w:szCs w:val="17"/>
              </w:rPr>
            </w:pPr>
            <w:r>
              <w:rPr>
                <w:sz w:val="17"/>
                <w:szCs w:val="17"/>
              </w:rPr>
              <w:t>5</w:t>
            </w:r>
          </w:p>
        </w:tc>
      </w:tr>
      <w:tr w14:paraId="66E36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970" w:type="dxa"/>
            <w:tcBorders>
              <w:left w:val="nil"/>
            </w:tcBorders>
            <w:vAlign w:val="top"/>
          </w:tcPr>
          <w:p w14:paraId="15A90842">
            <w:pPr>
              <w:pStyle w:val="6"/>
              <w:spacing w:before="88" w:line="219" w:lineRule="auto"/>
              <w:ind w:left="640"/>
              <w:rPr>
                <w:sz w:val="17"/>
                <w:szCs w:val="17"/>
              </w:rPr>
            </w:pPr>
            <w:r>
              <w:rPr>
                <w:spacing w:val="-2"/>
                <w:sz w:val="17"/>
                <w:szCs w:val="17"/>
              </w:rPr>
              <w:t>供水泵站</w:t>
            </w:r>
          </w:p>
        </w:tc>
        <w:tc>
          <w:tcPr>
            <w:tcW w:w="1180" w:type="dxa"/>
            <w:vAlign w:val="top"/>
          </w:tcPr>
          <w:p w14:paraId="03F71F9E">
            <w:pPr>
              <w:pStyle w:val="6"/>
              <w:spacing w:before="106"/>
              <w:ind w:left="455"/>
              <w:rPr>
                <w:sz w:val="17"/>
                <w:szCs w:val="17"/>
              </w:rPr>
            </w:pPr>
            <w:r>
              <w:rPr>
                <w:spacing w:val="-5"/>
                <w:sz w:val="17"/>
                <w:szCs w:val="17"/>
              </w:rPr>
              <w:t>100</w:t>
            </w:r>
          </w:p>
        </w:tc>
        <w:tc>
          <w:tcPr>
            <w:tcW w:w="1180" w:type="dxa"/>
            <w:vAlign w:val="top"/>
          </w:tcPr>
          <w:p w14:paraId="2FE02503">
            <w:pPr>
              <w:pStyle w:val="6"/>
              <w:spacing w:before="106"/>
              <w:ind w:left="455"/>
              <w:rPr>
                <w:sz w:val="17"/>
                <w:szCs w:val="17"/>
              </w:rPr>
            </w:pPr>
            <w:r>
              <w:rPr>
                <w:spacing w:val="-5"/>
                <w:sz w:val="17"/>
                <w:szCs w:val="17"/>
              </w:rPr>
              <w:t>100</w:t>
            </w:r>
          </w:p>
        </w:tc>
        <w:tc>
          <w:tcPr>
            <w:tcW w:w="1170" w:type="dxa"/>
            <w:vAlign w:val="top"/>
          </w:tcPr>
          <w:p w14:paraId="31358233">
            <w:pPr>
              <w:pStyle w:val="6"/>
              <w:spacing w:before="106"/>
              <w:ind w:left="495"/>
              <w:rPr>
                <w:sz w:val="17"/>
                <w:szCs w:val="17"/>
              </w:rPr>
            </w:pPr>
            <w:r>
              <w:rPr>
                <w:spacing w:val="-3"/>
                <w:sz w:val="17"/>
                <w:szCs w:val="17"/>
              </w:rPr>
              <w:t>50</w:t>
            </w:r>
          </w:p>
        </w:tc>
        <w:tc>
          <w:tcPr>
            <w:tcW w:w="1160" w:type="dxa"/>
            <w:vAlign w:val="top"/>
          </w:tcPr>
          <w:p w14:paraId="3F91EF63">
            <w:pPr>
              <w:pStyle w:val="6"/>
              <w:spacing w:before="106"/>
              <w:ind w:left="485"/>
              <w:rPr>
                <w:sz w:val="17"/>
                <w:szCs w:val="17"/>
              </w:rPr>
            </w:pPr>
            <w:r>
              <w:rPr>
                <w:spacing w:val="-3"/>
                <w:sz w:val="17"/>
                <w:szCs w:val="17"/>
              </w:rPr>
              <w:t>30</w:t>
            </w:r>
          </w:p>
        </w:tc>
        <w:tc>
          <w:tcPr>
            <w:tcW w:w="1220" w:type="dxa"/>
            <w:tcBorders>
              <w:right w:val="nil"/>
            </w:tcBorders>
            <w:vAlign w:val="top"/>
          </w:tcPr>
          <w:p w14:paraId="02B742B8">
            <w:pPr>
              <w:pStyle w:val="6"/>
              <w:spacing w:before="106"/>
              <w:ind w:left="515"/>
              <w:rPr>
                <w:sz w:val="17"/>
                <w:szCs w:val="17"/>
              </w:rPr>
            </w:pPr>
            <w:r>
              <w:rPr>
                <w:spacing w:val="-3"/>
                <w:sz w:val="17"/>
                <w:szCs w:val="17"/>
              </w:rPr>
              <w:t>30</w:t>
            </w:r>
          </w:p>
        </w:tc>
      </w:tr>
      <w:tr w14:paraId="7264C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970" w:type="dxa"/>
            <w:tcBorders>
              <w:left w:val="nil"/>
            </w:tcBorders>
            <w:vAlign w:val="top"/>
          </w:tcPr>
          <w:p w14:paraId="1BB76C56">
            <w:pPr>
              <w:pStyle w:val="6"/>
              <w:spacing w:before="92" w:line="220" w:lineRule="auto"/>
              <w:ind w:left="810"/>
              <w:rPr>
                <w:sz w:val="17"/>
                <w:szCs w:val="17"/>
              </w:rPr>
            </w:pPr>
            <w:r>
              <w:rPr>
                <w:spacing w:val="-2"/>
                <w:sz w:val="17"/>
                <w:szCs w:val="17"/>
              </w:rPr>
              <w:t>堤防</w:t>
            </w:r>
          </w:p>
        </w:tc>
        <w:tc>
          <w:tcPr>
            <w:tcW w:w="1180" w:type="dxa"/>
            <w:vAlign w:val="top"/>
          </w:tcPr>
          <w:p w14:paraId="5B94D27F">
            <w:pPr>
              <w:pStyle w:val="6"/>
              <w:spacing w:before="108" w:line="238" w:lineRule="auto"/>
              <w:ind w:left="455"/>
              <w:rPr>
                <w:sz w:val="17"/>
                <w:szCs w:val="17"/>
              </w:rPr>
            </w:pPr>
            <w:r>
              <w:rPr>
                <w:spacing w:val="-5"/>
                <w:sz w:val="17"/>
                <w:szCs w:val="17"/>
              </w:rPr>
              <w:t>100</w:t>
            </w:r>
          </w:p>
        </w:tc>
        <w:tc>
          <w:tcPr>
            <w:tcW w:w="1180" w:type="dxa"/>
            <w:vAlign w:val="top"/>
          </w:tcPr>
          <w:p w14:paraId="44BC7941">
            <w:pPr>
              <w:pStyle w:val="6"/>
              <w:spacing w:before="108" w:line="238" w:lineRule="auto"/>
              <w:ind w:left="495"/>
              <w:rPr>
                <w:sz w:val="17"/>
                <w:szCs w:val="17"/>
              </w:rPr>
            </w:pPr>
            <w:r>
              <w:rPr>
                <w:spacing w:val="-3"/>
                <w:sz w:val="17"/>
                <w:szCs w:val="17"/>
              </w:rPr>
              <w:t>50</w:t>
            </w:r>
          </w:p>
        </w:tc>
        <w:tc>
          <w:tcPr>
            <w:tcW w:w="1170" w:type="dxa"/>
            <w:vAlign w:val="top"/>
          </w:tcPr>
          <w:p w14:paraId="06AB4246">
            <w:pPr>
              <w:pStyle w:val="6"/>
              <w:spacing w:before="108" w:line="238" w:lineRule="auto"/>
              <w:ind w:left="495"/>
              <w:rPr>
                <w:sz w:val="17"/>
                <w:szCs w:val="17"/>
              </w:rPr>
            </w:pPr>
            <w:r>
              <w:rPr>
                <w:spacing w:val="-3"/>
                <w:sz w:val="17"/>
                <w:szCs w:val="17"/>
              </w:rPr>
              <w:t>50</w:t>
            </w:r>
          </w:p>
        </w:tc>
        <w:tc>
          <w:tcPr>
            <w:tcW w:w="1160" w:type="dxa"/>
            <w:vAlign w:val="top"/>
          </w:tcPr>
          <w:p w14:paraId="7F473AD8">
            <w:pPr>
              <w:pStyle w:val="6"/>
              <w:spacing w:before="108" w:line="238" w:lineRule="auto"/>
              <w:ind w:left="485"/>
              <w:rPr>
                <w:sz w:val="17"/>
                <w:szCs w:val="17"/>
              </w:rPr>
            </w:pPr>
            <w:r>
              <w:rPr>
                <w:spacing w:val="-3"/>
                <w:sz w:val="17"/>
                <w:szCs w:val="17"/>
              </w:rPr>
              <w:t>30</w:t>
            </w:r>
          </w:p>
        </w:tc>
        <w:tc>
          <w:tcPr>
            <w:tcW w:w="1220" w:type="dxa"/>
            <w:tcBorders>
              <w:right w:val="nil"/>
            </w:tcBorders>
            <w:vAlign w:val="top"/>
          </w:tcPr>
          <w:p w14:paraId="4850C48E">
            <w:pPr>
              <w:pStyle w:val="6"/>
              <w:spacing w:before="108" w:line="238" w:lineRule="auto"/>
              <w:ind w:left="515"/>
              <w:rPr>
                <w:sz w:val="17"/>
                <w:szCs w:val="17"/>
              </w:rPr>
            </w:pPr>
            <w:r>
              <w:rPr>
                <w:spacing w:val="-3"/>
                <w:sz w:val="17"/>
                <w:szCs w:val="17"/>
              </w:rPr>
              <w:t>20</w:t>
            </w:r>
          </w:p>
        </w:tc>
      </w:tr>
      <w:tr w14:paraId="4839C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970" w:type="dxa"/>
            <w:tcBorders>
              <w:left w:val="nil"/>
            </w:tcBorders>
            <w:vAlign w:val="top"/>
          </w:tcPr>
          <w:p w14:paraId="58DF38BB">
            <w:pPr>
              <w:pStyle w:val="6"/>
              <w:spacing w:before="94" w:line="219" w:lineRule="auto"/>
              <w:ind w:left="560"/>
              <w:rPr>
                <w:sz w:val="17"/>
                <w:szCs w:val="17"/>
              </w:rPr>
            </w:pPr>
            <w:r>
              <w:rPr>
                <w:spacing w:val="-2"/>
                <w:sz w:val="17"/>
                <w:szCs w:val="17"/>
              </w:rPr>
              <w:t>灌排建筑物</w:t>
            </w:r>
          </w:p>
        </w:tc>
        <w:tc>
          <w:tcPr>
            <w:tcW w:w="1180" w:type="dxa"/>
            <w:vAlign w:val="top"/>
          </w:tcPr>
          <w:p w14:paraId="0696C107">
            <w:pPr>
              <w:pStyle w:val="6"/>
              <w:spacing w:before="110" w:line="236" w:lineRule="auto"/>
              <w:ind w:left="494"/>
              <w:rPr>
                <w:sz w:val="17"/>
                <w:szCs w:val="17"/>
              </w:rPr>
            </w:pPr>
            <w:r>
              <w:rPr>
                <w:spacing w:val="-3"/>
                <w:sz w:val="17"/>
                <w:szCs w:val="17"/>
              </w:rPr>
              <w:t>50</w:t>
            </w:r>
          </w:p>
        </w:tc>
        <w:tc>
          <w:tcPr>
            <w:tcW w:w="1180" w:type="dxa"/>
            <w:vAlign w:val="top"/>
          </w:tcPr>
          <w:p w14:paraId="280BDF93">
            <w:pPr>
              <w:pStyle w:val="6"/>
              <w:spacing w:before="110" w:line="236" w:lineRule="auto"/>
              <w:ind w:left="495"/>
              <w:rPr>
                <w:sz w:val="17"/>
                <w:szCs w:val="17"/>
              </w:rPr>
            </w:pPr>
            <w:r>
              <w:rPr>
                <w:spacing w:val="-3"/>
                <w:sz w:val="17"/>
                <w:szCs w:val="17"/>
              </w:rPr>
              <w:t>50</w:t>
            </w:r>
          </w:p>
        </w:tc>
        <w:tc>
          <w:tcPr>
            <w:tcW w:w="1170" w:type="dxa"/>
            <w:vAlign w:val="top"/>
          </w:tcPr>
          <w:p w14:paraId="3E8B1108">
            <w:pPr>
              <w:pStyle w:val="6"/>
              <w:spacing w:before="110" w:line="236" w:lineRule="auto"/>
              <w:ind w:left="495"/>
              <w:rPr>
                <w:sz w:val="17"/>
                <w:szCs w:val="17"/>
              </w:rPr>
            </w:pPr>
            <w:r>
              <w:rPr>
                <w:spacing w:val="-3"/>
                <w:sz w:val="17"/>
                <w:szCs w:val="17"/>
              </w:rPr>
              <w:t>50</w:t>
            </w:r>
          </w:p>
        </w:tc>
        <w:tc>
          <w:tcPr>
            <w:tcW w:w="1160" w:type="dxa"/>
            <w:vAlign w:val="top"/>
          </w:tcPr>
          <w:p w14:paraId="1CCB055D">
            <w:pPr>
              <w:pStyle w:val="6"/>
              <w:spacing w:before="110" w:line="236" w:lineRule="auto"/>
              <w:ind w:left="485"/>
              <w:rPr>
                <w:sz w:val="17"/>
                <w:szCs w:val="17"/>
              </w:rPr>
            </w:pPr>
            <w:r>
              <w:rPr>
                <w:spacing w:val="-3"/>
                <w:sz w:val="17"/>
                <w:szCs w:val="17"/>
              </w:rPr>
              <w:t>30</w:t>
            </w:r>
          </w:p>
        </w:tc>
        <w:tc>
          <w:tcPr>
            <w:tcW w:w="1220" w:type="dxa"/>
            <w:tcBorders>
              <w:right w:val="nil"/>
            </w:tcBorders>
            <w:vAlign w:val="top"/>
          </w:tcPr>
          <w:p w14:paraId="48FFCFC9">
            <w:pPr>
              <w:pStyle w:val="6"/>
              <w:spacing w:before="110" w:line="236" w:lineRule="auto"/>
              <w:ind w:left="515"/>
              <w:rPr>
                <w:sz w:val="17"/>
                <w:szCs w:val="17"/>
              </w:rPr>
            </w:pPr>
            <w:r>
              <w:rPr>
                <w:spacing w:val="-3"/>
                <w:sz w:val="17"/>
                <w:szCs w:val="17"/>
              </w:rPr>
              <w:t>30</w:t>
            </w:r>
          </w:p>
        </w:tc>
      </w:tr>
      <w:tr w14:paraId="05470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970" w:type="dxa"/>
            <w:tcBorders>
              <w:left w:val="nil"/>
            </w:tcBorders>
            <w:vAlign w:val="top"/>
          </w:tcPr>
          <w:p w14:paraId="17115DF6">
            <w:pPr>
              <w:pStyle w:val="6"/>
              <w:spacing w:before="96" w:line="219" w:lineRule="auto"/>
              <w:ind w:left="640"/>
              <w:rPr>
                <w:sz w:val="17"/>
                <w:szCs w:val="17"/>
              </w:rPr>
            </w:pPr>
            <w:r>
              <w:rPr>
                <w:spacing w:val="-2"/>
                <w:sz w:val="17"/>
                <w:szCs w:val="17"/>
              </w:rPr>
              <w:t>灌溉渠道</w:t>
            </w:r>
          </w:p>
        </w:tc>
        <w:tc>
          <w:tcPr>
            <w:tcW w:w="1180" w:type="dxa"/>
            <w:vAlign w:val="top"/>
          </w:tcPr>
          <w:p w14:paraId="27BA9ACF">
            <w:pPr>
              <w:pStyle w:val="6"/>
              <w:spacing w:before="112"/>
              <w:ind w:left="494"/>
              <w:rPr>
                <w:sz w:val="17"/>
                <w:szCs w:val="17"/>
              </w:rPr>
            </w:pPr>
            <w:r>
              <w:rPr>
                <w:spacing w:val="-3"/>
                <w:sz w:val="17"/>
                <w:szCs w:val="17"/>
              </w:rPr>
              <w:t>50</w:t>
            </w:r>
          </w:p>
        </w:tc>
        <w:tc>
          <w:tcPr>
            <w:tcW w:w="1180" w:type="dxa"/>
            <w:vAlign w:val="top"/>
          </w:tcPr>
          <w:p w14:paraId="094644C3">
            <w:pPr>
              <w:pStyle w:val="6"/>
              <w:spacing w:before="112"/>
              <w:ind w:left="495"/>
              <w:rPr>
                <w:sz w:val="17"/>
                <w:szCs w:val="17"/>
              </w:rPr>
            </w:pPr>
            <w:r>
              <w:rPr>
                <w:spacing w:val="-3"/>
                <w:sz w:val="17"/>
                <w:szCs w:val="17"/>
              </w:rPr>
              <w:t>50</w:t>
            </w:r>
          </w:p>
        </w:tc>
        <w:tc>
          <w:tcPr>
            <w:tcW w:w="1170" w:type="dxa"/>
            <w:vAlign w:val="top"/>
          </w:tcPr>
          <w:p w14:paraId="1D4B6643">
            <w:pPr>
              <w:pStyle w:val="6"/>
              <w:spacing w:before="112"/>
              <w:ind w:left="495"/>
              <w:rPr>
                <w:sz w:val="17"/>
                <w:szCs w:val="17"/>
              </w:rPr>
            </w:pPr>
            <w:r>
              <w:rPr>
                <w:spacing w:val="-3"/>
                <w:sz w:val="17"/>
                <w:szCs w:val="17"/>
              </w:rPr>
              <w:t>50</w:t>
            </w:r>
          </w:p>
        </w:tc>
        <w:tc>
          <w:tcPr>
            <w:tcW w:w="1160" w:type="dxa"/>
            <w:vAlign w:val="top"/>
          </w:tcPr>
          <w:p w14:paraId="2A1C62FA">
            <w:pPr>
              <w:pStyle w:val="6"/>
              <w:spacing w:before="112"/>
              <w:ind w:left="485"/>
              <w:rPr>
                <w:sz w:val="17"/>
                <w:szCs w:val="17"/>
              </w:rPr>
            </w:pPr>
            <w:r>
              <w:rPr>
                <w:spacing w:val="-3"/>
                <w:sz w:val="17"/>
                <w:szCs w:val="17"/>
              </w:rPr>
              <w:t>30</w:t>
            </w:r>
          </w:p>
        </w:tc>
        <w:tc>
          <w:tcPr>
            <w:tcW w:w="1220" w:type="dxa"/>
            <w:tcBorders>
              <w:right w:val="nil"/>
            </w:tcBorders>
            <w:vAlign w:val="top"/>
          </w:tcPr>
          <w:p w14:paraId="1ED94694">
            <w:pPr>
              <w:pStyle w:val="6"/>
              <w:spacing w:before="112"/>
              <w:ind w:left="515"/>
              <w:rPr>
                <w:sz w:val="17"/>
                <w:szCs w:val="17"/>
              </w:rPr>
            </w:pPr>
            <w:r>
              <w:rPr>
                <w:spacing w:val="-3"/>
                <w:sz w:val="17"/>
                <w:szCs w:val="17"/>
              </w:rPr>
              <w:t>20</w:t>
            </w:r>
          </w:p>
        </w:tc>
      </w:tr>
    </w:tbl>
    <w:p w14:paraId="5851908F">
      <w:pPr>
        <w:spacing w:before="281" w:line="321" w:lineRule="auto"/>
        <w:ind w:left="1520" w:right="912" w:firstLine="400"/>
        <w:rPr>
          <w:rFonts w:ascii="宋体" w:hAnsi="宋体" w:eastAsia="宋体" w:cs="宋体"/>
          <w:sz w:val="19"/>
          <w:szCs w:val="19"/>
        </w:rPr>
      </w:pPr>
      <w:r>
        <w:rPr>
          <w:rFonts w:ascii="宋体" w:hAnsi="宋体" w:eastAsia="宋体" w:cs="宋体"/>
          <w:spacing w:val="22"/>
          <w:sz w:val="19"/>
          <w:szCs w:val="19"/>
        </w:rPr>
        <w:t>1级、2级永久性水工建筑物中闸门的合理使用年限应为50年，其他级别的永久性</w:t>
      </w:r>
      <w:r>
        <w:rPr>
          <w:rFonts w:ascii="宋体" w:hAnsi="宋体" w:eastAsia="宋体" w:cs="宋体"/>
          <w:spacing w:val="12"/>
          <w:sz w:val="19"/>
          <w:szCs w:val="19"/>
        </w:rPr>
        <w:t xml:space="preserve"> </w:t>
      </w:r>
      <w:r>
        <w:rPr>
          <w:rFonts w:ascii="宋体" w:hAnsi="宋体" w:eastAsia="宋体" w:cs="宋体"/>
          <w:spacing w:val="19"/>
          <w:sz w:val="19"/>
          <w:szCs w:val="19"/>
        </w:rPr>
        <w:t>水工建筑物中闸门的合理使用年限应为30年。</w:t>
      </w:r>
    </w:p>
    <w:p w14:paraId="23417232">
      <w:pPr>
        <w:spacing w:before="1" w:line="220" w:lineRule="auto"/>
        <w:ind w:left="1923"/>
        <w:rPr>
          <w:rFonts w:ascii="宋体" w:hAnsi="宋体" w:eastAsia="宋体" w:cs="宋体"/>
          <w:sz w:val="23"/>
          <w:szCs w:val="23"/>
        </w:rPr>
      </w:pPr>
      <w:r>
        <w:rPr>
          <w:rFonts w:ascii="宋体" w:hAnsi="宋体" w:eastAsia="宋体" w:cs="宋体"/>
          <w:b/>
          <w:bCs/>
          <w:color w:val="308090"/>
          <w:spacing w:val="-7"/>
          <w:sz w:val="23"/>
          <w:szCs w:val="23"/>
        </w:rPr>
        <w:t>2.耐久性设计要求</w:t>
      </w:r>
    </w:p>
    <w:p w14:paraId="0B9857BF">
      <w:pPr>
        <w:spacing w:before="15" w:line="299" w:lineRule="auto"/>
        <w:ind w:left="1520" w:right="884" w:firstLine="400"/>
        <w:jc w:val="both"/>
        <w:rPr>
          <w:rFonts w:ascii="宋体" w:hAnsi="宋体" w:eastAsia="宋体" w:cs="宋体"/>
          <w:sz w:val="19"/>
          <w:szCs w:val="19"/>
        </w:rPr>
      </w:pPr>
      <w:r>
        <w:rPr>
          <w:rFonts w:ascii="宋体" w:hAnsi="宋体" w:eastAsia="宋体" w:cs="宋体"/>
          <w:spacing w:val="24"/>
          <w:sz w:val="19"/>
          <w:szCs w:val="19"/>
        </w:rPr>
        <w:t>水利水电工程及其水工建筑物耐久性设计应包括下列内容：①明确工程及其水工</w:t>
      </w:r>
      <w:r>
        <w:rPr>
          <w:rFonts w:ascii="宋体" w:hAnsi="宋体" w:eastAsia="宋体" w:cs="宋体"/>
          <w:spacing w:val="9"/>
          <w:sz w:val="19"/>
          <w:szCs w:val="19"/>
        </w:rPr>
        <w:t xml:space="preserve"> </w:t>
      </w:r>
      <w:r>
        <w:rPr>
          <w:rFonts w:ascii="宋体" w:hAnsi="宋体" w:eastAsia="宋体" w:cs="宋体"/>
          <w:spacing w:val="-11"/>
          <w:sz w:val="23"/>
          <w:szCs w:val="23"/>
        </w:rPr>
        <w:t>建筑物的合理使用年限；②确定建筑物所处的环境条件；③提出有利于减轻环境影</w:t>
      </w:r>
      <w:r>
        <w:rPr>
          <w:rFonts w:ascii="宋体" w:hAnsi="宋体" w:eastAsia="宋体" w:cs="宋体"/>
          <w:spacing w:val="14"/>
          <w:sz w:val="23"/>
          <w:szCs w:val="23"/>
        </w:rPr>
        <w:t xml:space="preserve"> </w:t>
      </w:r>
      <w:r>
        <w:rPr>
          <w:rFonts w:ascii="宋体" w:hAnsi="宋体" w:eastAsia="宋体" w:cs="宋体"/>
          <w:spacing w:val="23"/>
          <w:sz w:val="19"/>
          <w:szCs w:val="19"/>
        </w:rPr>
        <w:t>响的结构构造措施及材料的耐久性要求；④明确钢筋的混凝土保护层厚度、混凝土裂</w:t>
      </w:r>
      <w:r>
        <w:rPr>
          <w:rFonts w:ascii="宋体" w:hAnsi="宋体" w:eastAsia="宋体" w:cs="宋体"/>
          <w:spacing w:val="15"/>
          <w:sz w:val="19"/>
          <w:szCs w:val="19"/>
        </w:rPr>
        <w:t xml:space="preserve"> </w:t>
      </w:r>
      <w:r>
        <w:rPr>
          <w:rFonts w:ascii="宋体" w:hAnsi="宋体" w:eastAsia="宋体" w:cs="宋体"/>
          <w:spacing w:val="23"/>
          <w:sz w:val="19"/>
          <w:szCs w:val="19"/>
        </w:rPr>
        <w:t>缝控制等要求；⑤提出结构的防冰冻、防腐蚀等措施；⑥提出解决水库泥沙淤积的措</w:t>
      </w:r>
      <w:r>
        <w:rPr>
          <w:rFonts w:ascii="宋体" w:hAnsi="宋体" w:eastAsia="宋体" w:cs="宋体"/>
          <w:spacing w:val="18"/>
          <w:sz w:val="19"/>
          <w:szCs w:val="19"/>
        </w:rPr>
        <w:t xml:space="preserve"> </w:t>
      </w:r>
      <w:r>
        <w:rPr>
          <w:rFonts w:ascii="宋体" w:hAnsi="宋体" w:eastAsia="宋体" w:cs="宋体"/>
          <w:spacing w:val="24"/>
          <w:sz w:val="19"/>
          <w:szCs w:val="19"/>
        </w:rPr>
        <w:t>施；⑦提出耐久性所需的施工技术要求和施工质量验</w:t>
      </w:r>
      <w:r>
        <w:rPr>
          <w:rFonts w:ascii="宋体" w:hAnsi="宋体" w:eastAsia="宋体" w:cs="宋体"/>
          <w:spacing w:val="23"/>
          <w:sz w:val="19"/>
          <w:szCs w:val="19"/>
        </w:rPr>
        <w:t>收要求；⑧提出正常运用原则和</w:t>
      </w:r>
      <w:r>
        <w:rPr>
          <w:rFonts w:ascii="宋体" w:hAnsi="宋体" w:eastAsia="宋体" w:cs="宋体"/>
          <w:sz w:val="19"/>
          <w:szCs w:val="19"/>
        </w:rPr>
        <w:t xml:space="preserve"> </w:t>
      </w:r>
      <w:r>
        <w:rPr>
          <w:rFonts w:ascii="宋体" w:hAnsi="宋体" w:eastAsia="宋体" w:cs="宋体"/>
          <w:spacing w:val="15"/>
          <w:sz w:val="19"/>
          <w:szCs w:val="19"/>
        </w:rPr>
        <w:t>管理过程中需要进行正常维修、检测的要求。</w:t>
      </w:r>
    </w:p>
    <w:p w14:paraId="104C4116">
      <w:pPr>
        <w:spacing w:before="16" w:line="222" w:lineRule="auto"/>
        <w:ind w:left="1923"/>
        <w:rPr>
          <w:rFonts w:ascii="黑体" w:hAnsi="黑体" w:eastAsia="黑体" w:cs="黑体"/>
          <w:sz w:val="23"/>
          <w:szCs w:val="23"/>
        </w:rPr>
      </w:pPr>
      <w:r>
        <w:rPr>
          <w:rFonts w:ascii="黑体" w:hAnsi="黑体" w:eastAsia="黑体" w:cs="黑体"/>
          <w:b/>
          <w:bCs/>
          <w:color w:val="4080A0"/>
          <w:spacing w:val="-14"/>
          <w:sz w:val="23"/>
          <w:szCs w:val="23"/>
        </w:rPr>
        <w:t>1)水工建筑物所处的侵蚀环境条件</w:t>
      </w:r>
    </w:p>
    <w:p w14:paraId="55652B6F">
      <w:pPr>
        <w:spacing w:before="46" w:line="219" w:lineRule="auto"/>
        <w:ind w:left="1920"/>
        <w:rPr>
          <w:rFonts w:ascii="宋体" w:hAnsi="宋体" w:eastAsia="宋体" w:cs="宋体"/>
          <w:sz w:val="19"/>
          <w:szCs w:val="19"/>
        </w:rPr>
      </w:pPr>
      <w:r>
        <w:rPr>
          <w:rFonts w:ascii="宋体" w:hAnsi="宋体" w:eastAsia="宋体" w:cs="宋体"/>
          <w:spacing w:val="16"/>
          <w:sz w:val="19"/>
          <w:szCs w:val="19"/>
        </w:rPr>
        <w:t>水工建筑物所处的侵蚀环境条件可按表1.2-15分为五个类别。</w:t>
      </w:r>
    </w:p>
    <w:p w14:paraId="2FF52EDD">
      <w:pPr>
        <w:spacing w:before="252" w:line="219" w:lineRule="auto"/>
        <w:ind w:left="3722"/>
        <w:rPr>
          <w:rFonts w:ascii="宋体" w:hAnsi="宋体" w:eastAsia="宋体" w:cs="宋体"/>
          <w:sz w:val="19"/>
          <w:szCs w:val="19"/>
        </w:rPr>
      </w:pPr>
      <w:r>
        <w:rPr>
          <w:rFonts w:ascii="宋体" w:hAnsi="宋体" w:eastAsia="宋体" w:cs="宋体"/>
          <w:b/>
          <w:bCs/>
          <w:spacing w:val="-3"/>
          <w:sz w:val="19"/>
          <w:szCs w:val="19"/>
        </w:rPr>
        <w:t>表1.2-15水工建筑物所处的侵蚀环境类别</w:t>
      </w:r>
    </w:p>
    <w:p w14:paraId="2724B99A">
      <w:pPr>
        <w:spacing w:line="45" w:lineRule="exact"/>
      </w:pPr>
    </w:p>
    <w:tbl>
      <w:tblPr>
        <w:tblStyle w:val="5"/>
        <w:tblW w:w="7870" w:type="dxa"/>
        <w:tblInd w:w="15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0"/>
        <w:gridCol w:w="6740"/>
      </w:tblGrid>
      <w:tr w14:paraId="71D19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130" w:type="dxa"/>
            <w:tcBorders>
              <w:left w:val="nil"/>
            </w:tcBorders>
            <w:vAlign w:val="top"/>
          </w:tcPr>
          <w:p w14:paraId="54560773">
            <w:pPr>
              <w:pStyle w:val="6"/>
              <w:spacing w:before="79" w:line="219" w:lineRule="auto"/>
              <w:ind w:left="222"/>
              <w:rPr>
                <w:sz w:val="17"/>
                <w:szCs w:val="17"/>
              </w:rPr>
            </w:pPr>
            <w:r>
              <w:rPr>
                <w:b/>
                <w:bCs/>
                <w:spacing w:val="-4"/>
                <w:sz w:val="17"/>
                <w:szCs w:val="17"/>
              </w:rPr>
              <w:t>环境类别</w:t>
            </w:r>
          </w:p>
        </w:tc>
        <w:tc>
          <w:tcPr>
            <w:tcW w:w="6740" w:type="dxa"/>
            <w:tcBorders>
              <w:right w:val="nil"/>
            </w:tcBorders>
            <w:vAlign w:val="top"/>
          </w:tcPr>
          <w:p w14:paraId="21329711">
            <w:pPr>
              <w:pStyle w:val="6"/>
              <w:spacing w:before="79" w:line="219" w:lineRule="auto"/>
              <w:ind w:left="3007"/>
              <w:rPr>
                <w:sz w:val="17"/>
                <w:szCs w:val="17"/>
              </w:rPr>
            </w:pPr>
            <w:r>
              <w:rPr>
                <w:b/>
                <w:bCs/>
                <w:spacing w:val="-4"/>
                <w:sz w:val="17"/>
                <w:szCs w:val="17"/>
              </w:rPr>
              <w:t>环境条件</w:t>
            </w:r>
          </w:p>
        </w:tc>
      </w:tr>
      <w:tr w14:paraId="3EF49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130" w:type="dxa"/>
            <w:tcBorders>
              <w:left w:val="nil"/>
            </w:tcBorders>
            <w:vAlign w:val="top"/>
          </w:tcPr>
          <w:p w14:paraId="2129CBF4">
            <w:pPr>
              <w:pStyle w:val="6"/>
              <w:spacing w:before="168" w:line="132" w:lineRule="exact"/>
              <w:ind w:left="480"/>
              <w:rPr>
                <w:sz w:val="17"/>
                <w:szCs w:val="17"/>
              </w:rPr>
            </w:pPr>
            <w:r>
              <w:rPr>
                <w:position w:val="-3"/>
                <w:sz w:val="17"/>
                <w:szCs w:val="17"/>
              </w:rPr>
              <w:t>一</w:t>
            </w:r>
          </w:p>
        </w:tc>
        <w:tc>
          <w:tcPr>
            <w:tcW w:w="6740" w:type="dxa"/>
            <w:tcBorders>
              <w:right w:val="nil"/>
            </w:tcBorders>
            <w:vAlign w:val="top"/>
          </w:tcPr>
          <w:p w14:paraId="3CE211DC">
            <w:pPr>
              <w:pStyle w:val="6"/>
              <w:spacing w:before="88" w:line="219" w:lineRule="auto"/>
              <w:ind w:left="15"/>
              <w:rPr>
                <w:sz w:val="17"/>
                <w:szCs w:val="17"/>
              </w:rPr>
            </w:pPr>
            <w:r>
              <w:rPr>
                <w:spacing w:val="-2"/>
                <w:sz w:val="17"/>
                <w:szCs w:val="17"/>
              </w:rPr>
              <w:t>室内正常环境</w:t>
            </w:r>
          </w:p>
        </w:tc>
      </w:tr>
      <w:tr w14:paraId="73927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130" w:type="dxa"/>
            <w:tcBorders>
              <w:left w:val="nil"/>
            </w:tcBorders>
            <w:vAlign w:val="top"/>
          </w:tcPr>
          <w:p w14:paraId="40C08BCF">
            <w:pPr>
              <w:pStyle w:val="6"/>
              <w:spacing w:before="124" w:line="203" w:lineRule="exact"/>
              <w:ind w:left="440"/>
              <w:rPr>
                <w:sz w:val="25"/>
                <w:szCs w:val="25"/>
              </w:rPr>
            </w:pPr>
            <w:r>
              <w:rPr>
                <w:position w:val="-3"/>
                <w:sz w:val="25"/>
                <w:szCs w:val="25"/>
              </w:rPr>
              <w:t>二</w:t>
            </w:r>
          </w:p>
        </w:tc>
        <w:tc>
          <w:tcPr>
            <w:tcW w:w="6740" w:type="dxa"/>
            <w:tcBorders>
              <w:right w:val="nil"/>
            </w:tcBorders>
            <w:vAlign w:val="top"/>
          </w:tcPr>
          <w:p w14:paraId="6DF2A667">
            <w:pPr>
              <w:pStyle w:val="6"/>
              <w:spacing w:before="90" w:line="219" w:lineRule="auto"/>
              <w:ind w:left="15"/>
              <w:rPr>
                <w:sz w:val="17"/>
                <w:szCs w:val="17"/>
              </w:rPr>
            </w:pPr>
            <w:r>
              <w:rPr>
                <w:spacing w:val="-1"/>
                <w:sz w:val="17"/>
                <w:szCs w:val="17"/>
              </w:rPr>
              <w:t>室内潮湿环境；露天环境；长期处于水下或地下的环境</w:t>
            </w:r>
          </w:p>
        </w:tc>
      </w:tr>
      <w:tr w14:paraId="4DFD1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130" w:type="dxa"/>
            <w:tcBorders>
              <w:left w:val="nil"/>
            </w:tcBorders>
            <w:vAlign w:val="top"/>
          </w:tcPr>
          <w:p w14:paraId="06AAE45F">
            <w:pPr>
              <w:pStyle w:val="6"/>
              <w:spacing w:before="78" w:line="184" w:lineRule="auto"/>
              <w:ind w:left="440"/>
              <w:rPr>
                <w:sz w:val="25"/>
                <w:szCs w:val="25"/>
              </w:rPr>
            </w:pPr>
            <w:r>
              <w:rPr>
                <w:sz w:val="25"/>
                <w:szCs w:val="25"/>
              </w:rPr>
              <w:t>三</w:t>
            </w:r>
          </w:p>
        </w:tc>
        <w:tc>
          <w:tcPr>
            <w:tcW w:w="6740" w:type="dxa"/>
            <w:tcBorders>
              <w:right w:val="nil"/>
            </w:tcBorders>
            <w:vAlign w:val="top"/>
          </w:tcPr>
          <w:p w14:paraId="1598D083">
            <w:pPr>
              <w:pStyle w:val="6"/>
              <w:spacing w:before="90" w:line="219" w:lineRule="auto"/>
              <w:ind w:left="15"/>
              <w:rPr>
                <w:sz w:val="17"/>
                <w:szCs w:val="17"/>
              </w:rPr>
            </w:pPr>
            <w:r>
              <w:rPr>
                <w:sz w:val="17"/>
                <w:szCs w:val="17"/>
              </w:rPr>
              <w:t>淡水水位变化区；有轻度化学侵蚀性地下水的地下环境；海水水下区</w:t>
            </w:r>
          </w:p>
        </w:tc>
      </w:tr>
      <w:tr w14:paraId="141B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130" w:type="dxa"/>
            <w:tcBorders>
              <w:left w:val="nil"/>
            </w:tcBorders>
            <w:vAlign w:val="top"/>
          </w:tcPr>
          <w:p w14:paraId="22553C6E">
            <w:pPr>
              <w:pStyle w:val="6"/>
              <w:spacing w:before="96" w:line="222" w:lineRule="auto"/>
              <w:ind w:left="480"/>
              <w:rPr>
                <w:sz w:val="17"/>
                <w:szCs w:val="17"/>
              </w:rPr>
            </w:pPr>
            <w:r>
              <w:rPr>
                <w:sz w:val="17"/>
                <w:szCs w:val="17"/>
              </w:rPr>
              <w:t>四</w:t>
            </w:r>
          </w:p>
        </w:tc>
        <w:tc>
          <w:tcPr>
            <w:tcW w:w="6740" w:type="dxa"/>
            <w:tcBorders>
              <w:right w:val="nil"/>
            </w:tcBorders>
            <w:vAlign w:val="top"/>
          </w:tcPr>
          <w:p w14:paraId="0315D880">
            <w:pPr>
              <w:pStyle w:val="6"/>
              <w:spacing w:before="94" w:line="219" w:lineRule="auto"/>
              <w:ind w:left="15"/>
              <w:rPr>
                <w:sz w:val="17"/>
                <w:szCs w:val="17"/>
              </w:rPr>
            </w:pPr>
            <w:r>
              <w:rPr>
                <w:sz w:val="17"/>
                <w:szCs w:val="17"/>
              </w:rPr>
              <w:t>海上大气区；轻度盐雾作用区；海水水位变化区；中度</w:t>
            </w:r>
            <w:r>
              <w:rPr>
                <w:spacing w:val="-1"/>
                <w:sz w:val="17"/>
                <w:szCs w:val="17"/>
              </w:rPr>
              <w:t>化学侵蚀性环境</w:t>
            </w:r>
          </w:p>
        </w:tc>
      </w:tr>
      <w:tr w14:paraId="3487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130" w:type="dxa"/>
            <w:tcBorders>
              <w:left w:val="nil"/>
            </w:tcBorders>
            <w:vAlign w:val="top"/>
          </w:tcPr>
          <w:p w14:paraId="333A2BFB">
            <w:pPr>
              <w:pStyle w:val="6"/>
              <w:spacing w:before="105" w:line="229" w:lineRule="auto"/>
              <w:ind w:left="480"/>
              <w:rPr>
                <w:sz w:val="17"/>
                <w:szCs w:val="17"/>
              </w:rPr>
            </w:pPr>
            <w:r>
              <w:rPr>
                <w:sz w:val="17"/>
                <w:szCs w:val="17"/>
              </w:rPr>
              <w:t>五</w:t>
            </w:r>
          </w:p>
        </w:tc>
        <w:tc>
          <w:tcPr>
            <w:tcW w:w="6740" w:type="dxa"/>
            <w:tcBorders>
              <w:right w:val="nil"/>
            </w:tcBorders>
            <w:vAlign w:val="top"/>
          </w:tcPr>
          <w:p w14:paraId="48291CFE">
            <w:pPr>
              <w:pStyle w:val="6"/>
              <w:spacing w:before="94" w:line="218" w:lineRule="auto"/>
              <w:ind w:left="15"/>
              <w:rPr>
                <w:sz w:val="17"/>
                <w:szCs w:val="17"/>
              </w:rPr>
            </w:pPr>
            <w:r>
              <w:rPr>
                <w:sz w:val="17"/>
                <w:szCs w:val="17"/>
              </w:rPr>
              <w:t>使用除冰盐的环境；海水浪溅区；重度盐雾作用区；</w:t>
            </w:r>
            <w:r>
              <w:rPr>
                <w:spacing w:val="-1"/>
                <w:sz w:val="17"/>
                <w:szCs w:val="17"/>
              </w:rPr>
              <w:t>严重化学侵蚀性环境</w:t>
            </w:r>
          </w:p>
        </w:tc>
      </w:tr>
    </w:tbl>
    <w:p w14:paraId="00FFB78F">
      <w:pPr>
        <w:spacing w:before="61" w:line="229" w:lineRule="auto"/>
        <w:ind w:left="2329" w:right="888" w:hanging="480"/>
        <w:rPr>
          <w:rFonts w:ascii="宋体" w:hAnsi="宋体" w:eastAsia="宋体" w:cs="宋体"/>
          <w:sz w:val="19"/>
          <w:szCs w:val="19"/>
        </w:rPr>
      </w:pPr>
      <w:r>
        <w:rPr>
          <w:rFonts w:ascii="宋体" w:hAnsi="宋体" w:eastAsia="宋体" w:cs="宋体"/>
          <w:spacing w:val="-18"/>
          <w:w w:val="97"/>
          <w:sz w:val="19"/>
          <w:szCs w:val="19"/>
        </w:rPr>
        <w:t>注：1.海上大气区与浪溅区的分界线为设计最高水位加1.5</w:t>
      </w:r>
      <w:r>
        <w:rPr>
          <w:rFonts w:ascii="Times New Roman" w:hAnsi="Times New Roman" w:eastAsia="Times New Roman" w:cs="Times New Roman"/>
          <w:spacing w:val="-18"/>
          <w:w w:val="97"/>
          <w:sz w:val="19"/>
          <w:szCs w:val="19"/>
        </w:rPr>
        <w:t>m;</w:t>
      </w:r>
      <w:r>
        <w:rPr>
          <w:rFonts w:ascii="Times New Roman" w:hAnsi="Times New Roman" w:eastAsia="Times New Roman" w:cs="Times New Roman"/>
          <w:spacing w:val="14"/>
          <w:w w:val="101"/>
          <w:sz w:val="19"/>
          <w:szCs w:val="19"/>
        </w:rPr>
        <w:t xml:space="preserve"> </w:t>
      </w:r>
      <w:r>
        <w:rPr>
          <w:rFonts w:ascii="宋体" w:hAnsi="宋体" w:eastAsia="宋体" w:cs="宋体"/>
          <w:spacing w:val="-18"/>
          <w:w w:val="97"/>
          <w:sz w:val="19"/>
          <w:szCs w:val="19"/>
        </w:rPr>
        <w:t>浪溅区与水位变化区的</w:t>
      </w:r>
      <w:r>
        <w:rPr>
          <w:rFonts w:ascii="宋体" w:hAnsi="宋体" w:eastAsia="宋体" w:cs="宋体"/>
          <w:spacing w:val="-19"/>
          <w:w w:val="97"/>
          <w:sz w:val="19"/>
          <w:szCs w:val="19"/>
        </w:rPr>
        <w:t>分界线为设计最高水</w:t>
      </w:r>
      <w:r>
        <w:rPr>
          <w:rFonts w:ascii="宋体" w:hAnsi="宋体" w:eastAsia="宋体" w:cs="宋体"/>
          <w:sz w:val="19"/>
          <w:szCs w:val="19"/>
        </w:rPr>
        <w:t xml:space="preserve"> </w:t>
      </w:r>
      <w:r>
        <w:rPr>
          <w:rFonts w:ascii="宋体" w:hAnsi="宋体" w:eastAsia="宋体" w:cs="宋体"/>
          <w:spacing w:val="-18"/>
          <w:sz w:val="19"/>
          <w:szCs w:val="19"/>
        </w:rPr>
        <w:t>位减1.0</w:t>
      </w:r>
      <w:r>
        <w:rPr>
          <w:rFonts w:ascii="Times New Roman" w:hAnsi="Times New Roman" w:eastAsia="Times New Roman" w:cs="Times New Roman"/>
          <w:spacing w:val="-18"/>
          <w:sz w:val="19"/>
          <w:szCs w:val="19"/>
        </w:rPr>
        <w:t>m;</w:t>
      </w:r>
      <w:r>
        <w:rPr>
          <w:rFonts w:ascii="Times New Roman" w:hAnsi="Times New Roman" w:eastAsia="Times New Roman" w:cs="Times New Roman"/>
          <w:spacing w:val="14"/>
          <w:sz w:val="19"/>
          <w:szCs w:val="19"/>
        </w:rPr>
        <w:t xml:space="preserve"> </w:t>
      </w:r>
      <w:r>
        <w:rPr>
          <w:rFonts w:ascii="宋体" w:hAnsi="宋体" w:eastAsia="宋体" w:cs="宋体"/>
          <w:spacing w:val="-18"/>
          <w:sz w:val="19"/>
          <w:szCs w:val="19"/>
        </w:rPr>
        <w:t>水位变化区与水下区的分界线为</w:t>
      </w:r>
      <w:r>
        <w:rPr>
          <w:rFonts w:ascii="宋体" w:hAnsi="宋体" w:eastAsia="宋体" w:cs="宋体"/>
          <w:spacing w:val="-19"/>
          <w:sz w:val="19"/>
          <w:szCs w:val="19"/>
        </w:rPr>
        <w:t>设计最低水位减1.0</w:t>
      </w:r>
      <w:r>
        <w:rPr>
          <w:rFonts w:ascii="Times New Roman" w:hAnsi="Times New Roman" w:eastAsia="Times New Roman" w:cs="Times New Roman"/>
          <w:spacing w:val="-19"/>
          <w:sz w:val="19"/>
          <w:szCs w:val="19"/>
        </w:rPr>
        <w:t>m;</w:t>
      </w:r>
      <w:r>
        <w:rPr>
          <w:rFonts w:ascii="Times New Roman" w:hAnsi="Times New Roman" w:eastAsia="Times New Roman" w:cs="Times New Roman"/>
          <w:spacing w:val="23"/>
          <w:w w:val="101"/>
          <w:sz w:val="19"/>
          <w:szCs w:val="19"/>
        </w:rPr>
        <w:t xml:space="preserve"> </w:t>
      </w:r>
      <w:r>
        <w:rPr>
          <w:rFonts w:ascii="宋体" w:hAnsi="宋体" w:eastAsia="宋体" w:cs="宋体"/>
          <w:spacing w:val="-19"/>
          <w:sz w:val="19"/>
          <w:szCs w:val="19"/>
        </w:rPr>
        <w:t>重度盐雾作用区为高涨潮岸线</w:t>
      </w:r>
      <w:r>
        <w:rPr>
          <w:rFonts w:ascii="宋体" w:hAnsi="宋体" w:eastAsia="宋体" w:cs="宋体"/>
          <w:sz w:val="19"/>
          <w:szCs w:val="19"/>
        </w:rPr>
        <w:t xml:space="preserve"> </w:t>
      </w:r>
      <w:r>
        <w:rPr>
          <w:rFonts w:ascii="Times New Roman" w:hAnsi="Times New Roman" w:eastAsia="Times New Roman" w:cs="Times New Roman"/>
          <w:spacing w:val="-20"/>
          <w:w w:val="98"/>
          <w:sz w:val="19"/>
          <w:szCs w:val="19"/>
        </w:rPr>
        <w:t>50m</w:t>
      </w:r>
      <w:r>
        <w:rPr>
          <w:rFonts w:ascii="宋体" w:hAnsi="宋体" w:eastAsia="宋体" w:cs="宋体"/>
          <w:spacing w:val="-20"/>
          <w:w w:val="98"/>
          <w:sz w:val="19"/>
          <w:szCs w:val="19"/>
        </w:rPr>
        <w:t>内的陆上室外环境；轻度盐雾作用区为离涨潮岸线50～500</w:t>
      </w:r>
      <w:r>
        <w:rPr>
          <w:rFonts w:ascii="Times New Roman" w:hAnsi="Times New Roman" w:eastAsia="Times New Roman" w:cs="Times New Roman"/>
          <w:spacing w:val="-20"/>
          <w:w w:val="98"/>
          <w:sz w:val="19"/>
          <w:szCs w:val="19"/>
        </w:rPr>
        <w:t>m</w:t>
      </w:r>
      <w:r>
        <w:rPr>
          <w:rFonts w:ascii="宋体" w:hAnsi="宋体" w:eastAsia="宋体" w:cs="宋体"/>
          <w:spacing w:val="-20"/>
          <w:w w:val="98"/>
          <w:sz w:val="19"/>
          <w:szCs w:val="19"/>
        </w:rPr>
        <w:t>内的陆上室外环境。</w:t>
      </w:r>
    </w:p>
    <w:p w14:paraId="5E0FB769">
      <w:pPr>
        <w:spacing w:before="4" w:line="261" w:lineRule="auto"/>
        <w:ind w:left="2329" w:right="785" w:hanging="160"/>
        <w:rPr>
          <w:rFonts w:ascii="宋体" w:hAnsi="宋体" w:eastAsia="宋体" w:cs="宋体"/>
          <w:sz w:val="13"/>
          <w:szCs w:val="13"/>
        </w:rPr>
      </w:pPr>
      <w:r>
        <w:rPr>
          <w:rFonts w:ascii="宋体" w:hAnsi="宋体" w:eastAsia="宋体" w:cs="宋体"/>
          <w:spacing w:val="-19"/>
          <w:w w:val="98"/>
          <w:sz w:val="19"/>
          <w:szCs w:val="19"/>
        </w:rPr>
        <w:t>2.冻融比较严重的二类、三类、四类环境条件下的建筑物，可将其环境类别分别提高为三类、四类、</w:t>
      </w:r>
      <w:r>
        <w:rPr>
          <w:rFonts w:ascii="宋体" w:hAnsi="宋体" w:eastAsia="宋体" w:cs="宋体"/>
          <w:spacing w:val="16"/>
          <w:sz w:val="19"/>
          <w:szCs w:val="19"/>
        </w:rPr>
        <w:t xml:space="preserve"> </w:t>
      </w:r>
      <w:r>
        <w:rPr>
          <w:rFonts w:ascii="宋体" w:hAnsi="宋体" w:eastAsia="宋体" w:cs="宋体"/>
          <w:spacing w:val="-5"/>
          <w:sz w:val="13"/>
          <w:szCs w:val="13"/>
        </w:rPr>
        <w:t>五</w:t>
      </w:r>
      <w:r>
        <w:rPr>
          <w:rFonts w:ascii="宋体" w:hAnsi="宋体" w:eastAsia="宋体" w:cs="宋体"/>
          <w:spacing w:val="-8"/>
          <w:sz w:val="13"/>
          <w:szCs w:val="13"/>
        </w:rPr>
        <w:t xml:space="preserve"> </w:t>
      </w:r>
      <w:r>
        <w:rPr>
          <w:rFonts w:ascii="宋体" w:hAnsi="宋体" w:eastAsia="宋体" w:cs="宋体"/>
          <w:spacing w:val="-5"/>
          <w:sz w:val="13"/>
          <w:szCs w:val="13"/>
        </w:rPr>
        <w:t>类</w:t>
      </w:r>
      <w:r>
        <w:rPr>
          <w:rFonts w:ascii="宋体" w:hAnsi="宋体" w:eastAsia="宋体" w:cs="宋体"/>
          <w:spacing w:val="-15"/>
          <w:sz w:val="13"/>
          <w:szCs w:val="13"/>
        </w:rPr>
        <w:t xml:space="preserve"> </w:t>
      </w:r>
      <w:r>
        <w:rPr>
          <w:rFonts w:ascii="宋体" w:hAnsi="宋体" w:eastAsia="宋体" w:cs="宋体"/>
          <w:spacing w:val="-5"/>
          <w:sz w:val="13"/>
          <w:szCs w:val="13"/>
        </w:rPr>
        <w:t>。</w:t>
      </w:r>
    </w:p>
    <w:p w14:paraId="5C7AA59C">
      <w:pPr>
        <w:spacing w:before="264" w:line="221" w:lineRule="auto"/>
        <w:ind w:left="1923"/>
        <w:rPr>
          <w:rFonts w:ascii="黑体" w:hAnsi="黑体" w:eastAsia="黑体" w:cs="黑体"/>
          <w:sz w:val="23"/>
          <w:szCs w:val="23"/>
        </w:rPr>
      </w:pPr>
      <w:r>
        <w:rPr>
          <w:rFonts w:ascii="黑体" w:hAnsi="黑体" w:eastAsia="黑体" w:cs="黑体"/>
          <w:b/>
          <w:bCs/>
          <w:color w:val="407090"/>
          <w:spacing w:val="-11"/>
          <w:sz w:val="23"/>
          <w:szCs w:val="23"/>
        </w:rPr>
        <w:t>2)混凝土保护层厚度的要求</w:t>
      </w:r>
    </w:p>
    <w:p w14:paraId="3C7F5E9B">
      <w:pPr>
        <w:spacing w:before="49" w:line="219" w:lineRule="auto"/>
        <w:ind w:left="1920"/>
        <w:rPr>
          <w:rFonts w:ascii="宋体" w:hAnsi="宋体" w:eastAsia="宋体" w:cs="宋体"/>
          <w:sz w:val="19"/>
          <w:szCs w:val="19"/>
        </w:rPr>
      </w:pPr>
      <w:r>
        <w:rPr>
          <w:rFonts w:ascii="宋体" w:hAnsi="宋体" w:eastAsia="宋体" w:cs="宋体"/>
          <w:spacing w:val="15"/>
          <w:sz w:val="19"/>
          <w:szCs w:val="19"/>
        </w:rPr>
        <w:t>保证水利水电工程结构耐久性的必要构造要求应包</w:t>
      </w:r>
      <w:r>
        <w:rPr>
          <w:rFonts w:ascii="宋体" w:hAnsi="宋体" w:eastAsia="宋体" w:cs="宋体"/>
          <w:spacing w:val="14"/>
          <w:sz w:val="19"/>
          <w:szCs w:val="19"/>
        </w:rPr>
        <w:t>括下列措施：</w:t>
      </w:r>
    </w:p>
    <w:p w14:paraId="22DF2BFE">
      <w:pPr>
        <w:spacing w:before="84" w:line="219" w:lineRule="auto"/>
        <w:ind w:left="1920"/>
        <w:rPr>
          <w:rFonts w:ascii="宋体" w:hAnsi="宋体" w:eastAsia="宋体" w:cs="宋体"/>
          <w:sz w:val="19"/>
          <w:szCs w:val="19"/>
        </w:rPr>
      </w:pPr>
      <w:r>
        <w:rPr>
          <w:rFonts w:ascii="宋体" w:hAnsi="宋体" w:eastAsia="宋体" w:cs="宋体"/>
          <w:spacing w:val="20"/>
          <w:sz w:val="19"/>
          <w:szCs w:val="19"/>
        </w:rPr>
        <w:t>(1)隔绝或减轻环境因素对混凝土、钢结构、水工金属结构、土石结构等的作用。</w:t>
      </w:r>
    </w:p>
    <w:p w14:paraId="58F1D243">
      <w:pPr>
        <w:spacing w:before="95" w:line="220" w:lineRule="auto"/>
        <w:ind w:left="1920"/>
        <w:rPr>
          <w:rFonts w:ascii="宋体" w:hAnsi="宋体" w:eastAsia="宋体" w:cs="宋体"/>
          <w:sz w:val="19"/>
          <w:szCs w:val="19"/>
        </w:rPr>
      </w:pPr>
      <w:r>
        <w:rPr>
          <w:rFonts w:ascii="宋体" w:hAnsi="宋体" w:eastAsia="宋体" w:cs="宋体"/>
          <w:spacing w:val="19"/>
          <w:sz w:val="19"/>
          <w:szCs w:val="19"/>
        </w:rPr>
        <w:t>(2)控制混凝土结构、土石结构的裂缝和结构构造缝、间隙。</w:t>
      </w:r>
    </w:p>
    <w:p w14:paraId="5674060C">
      <w:pPr>
        <w:spacing w:before="84" w:line="265" w:lineRule="auto"/>
        <w:ind w:left="1520" w:right="890" w:firstLine="400"/>
        <w:rPr>
          <w:rFonts w:ascii="宋体" w:hAnsi="宋体" w:eastAsia="宋体" w:cs="宋体"/>
          <w:sz w:val="19"/>
          <w:szCs w:val="19"/>
        </w:rPr>
      </w:pPr>
      <w:r>
        <w:rPr>
          <w:rFonts w:ascii="宋体" w:hAnsi="宋体" w:eastAsia="宋体" w:cs="宋体"/>
          <w:spacing w:val="26"/>
          <w:sz w:val="19"/>
          <w:szCs w:val="19"/>
        </w:rPr>
        <w:t>(3)为钢筋提供足够厚度的混凝土保护层，为钢结构、水工金属结构提供足够厚</w:t>
      </w:r>
      <w:r>
        <w:rPr>
          <w:rFonts w:ascii="宋体" w:hAnsi="宋体" w:eastAsia="宋体" w:cs="宋体"/>
          <w:spacing w:val="7"/>
          <w:sz w:val="19"/>
          <w:szCs w:val="19"/>
        </w:rPr>
        <w:t xml:space="preserve"> </w:t>
      </w:r>
      <w:r>
        <w:rPr>
          <w:rFonts w:ascii="宋体" w:hAnsi="宋体" w:eastAsia="宋体" w:cs="宋体"/>
          <w:spacing w:val="15"/>
          <w:sz w:val="19"/>
          <w:szCs w:val="19"/>
        </w:rPr>
        <w:t>度的防腐层和合适的防腐蚀措施。</w:t>
      </w:r>
    </w:p>
    <w:p w14:paraId="7BC2DB84">
      <w:pPr>
        <w:spacing w:before="93" w:line="219" w:lineRule="auto"/>
        <w:ind w:left="1920"/>
        <w:rPr>
          <w:rFonts w:ascii="宋体" w:hAnsi="宋体" w:eastAsia="宋体" w:cs="宋体"/>
          <w:sz w:val="19"/>
          <w:szCs w:val="19"/>
        </w:rPr>
      </w:pPr>
      <w:r>
        <w:rPr>
          <w:rFonts w:ascii="宋体" w:hAnsi="宋体" w:eastAsia="宋体" w:cs="宋体"/>
          <w:spacing w:val="23"/>
          <w:sz w:val="19"/>
          <w:szCs w:val="19"/>
        </w:rPr>
        <w:t>混凝土结构在不同环境条件下钢筋主筋、箍筋和分布筋的混凝土保护厚度应满足</w:t>
      </w:r>
    </w:p>
    <w:p w14:paraId="4EF1922B">
      <w:pPr>
        <w:pStyle w:val="2"/>
        <w:spacing w:line="263" w:lineRule="auto"/>
      </w:pPr>
    </w:p>
    <w:p w14:paraId="50B35C7F">
      <w:pPr>
        <w:spacing w:line="190" w:lineRule="auto"/>
        <w:rPr>
          <w:rFonts w:ascii="宋体" w:hAnsi="宋体" w:eastAsia="宋体" w:cs="宋体"/>
          <w:sz w:val="23"/>
          <w:szCs w:val="23"/>
        </w:rPr>
        <w:sectPr>
          <w:pgSz w:w="10320" w:h="14590"/>
          <w:pgMar w:top="32" w:right="9" w:bottom="10" w:left="0" w:header="0" w:footer="0" w:gutter="0"/>
          <w:cols w:space="720" w:num="1"/>
        </w:sectPr>
      </w:pPr>
    </w:p>
    <w:p w14:paraId="22309190">
      <w:pPr>
        <w:spacing w:line="213" w:lineRule="auto"/>
        <w:ind w:left="289"/>
        <w:rPr>
          <w:rFonts w:ascii="宋体" w:hAnsi="宋体" w:eastAsia="宋体" w:cs="宋体"/>
          <w:sz w:val="24"/>
          <w:szCs w:val="24"/>
        </w:rPr>
      </w:pPr>
      <w:r>
        <w:rPr>
          <w:rFonts w:hint="eastAsia" w:ascii="宋体" w:hAnsi="宋体" w:eastAsia="宋体" w:cs="宋体"/>
          <w:b/>
          <w:bCs/>
          <w:spacing w:val="1"/>
          <w:sz w:val="24"/>
          <w:szCs w:val="24"/>
          <w:lang w:eastAsia="zh-CN"/>
        </w:rPr>
        <w:t>大鱼社区</w:t>
      </w:r>
      <w:r>
        <w:rPr>
          <w:rFonts w:ascii="宋体" w:hAnsi="宋体" w:eastAsia="宋体" w:cs="宋体"/>
          <w:b/>
          <w:bCs/>
          <w:spacing w:val="1"/>
          <w:sz w:val="24"/>
          <w:szCs w:val="24"/>
        </w:rPr>
        <w:t>助你备考：少走弯路，快速通关!认</w:t>
      </w:r>
      <w:r>
        <w:rPr>
          <w:rFonts w:ascii="宋体" w:hAnsi="宋体" w:eastAsia="宋体" w:cs="宋体"/>
          <w:b/>
          <w:bCs/>
          <w:sz w:val="24"/>
          <w:szCs w:val="24"/>
        </w:rPr>
        <w:t>准VX:</w:t>
      </w:r>
      <w:r>
        <w:rPr>
          <w:rFonts w:hint="eastAsia" w:ascii="宋体" w:hAnsi="宋体" w:eastAsia="宋体" w:cs="宋体"/>
          <w:b/>
          <w:bCs/>
          <w:sz w:val="24"/>
          <w:szCs w:val="24"/>
          <w:lang w:eastAsia="zh-CN"/>
        </w:rPr>
        <w:t>dayu_nm_cn</w:t>
      </w:r>
      <w:r>
        <w:rPr>
          <w:rFonts w:ascii="宋体" w:hAnsi="宋体" w:eastAsia="宋体" w:cs="宋体"/>
          <w:spacing w:val="113"/>
          <w:sz w:val="24"/>
          <w:szCs w:val="24"/>
        </w:rPr>
        <w:t xml:space="preserve"> </w:t>
      </w:r>
      <w:r>
        <w:rPr>
          <w:rFonts w:ascii="宋体" w:hAnsi="宋体" w:eastAsia="宋体" w:cs="宋体"/>
          <w:b/>
          <w:bCs/>
          <w:sz w:val="24"/>
          <w:szCs w:val="24"/>
        </w:rPr>
        <w:t>(天道酬勤，白嫖勿扰</w:t>
      </w:r>
      <w:r>
        <w:rPr>
          <w:rFonts w:ascii="宋体" w:hAnsi="宋体" w:eastAsia="宋体" w:cs="宋体"/>
          <w:sz w:val="24"/>
          <w:szCs w:val="24"/>
        </w:rPr>
        <w:t>)</w:t>
      </w:r>
    </w:p>
    <w:p w14:paraId="61853391">
      <w:pPr>
        <w:pStyle w:val="2"/>
        <w:spacing w:line="374" w:lineRule="auto"/>
      </w:pPr>
    </w:p>
    <w:p w14:paraId="255E275F">
      <w:pPr>
        <w:spacing w:before="52" w:line="222" w:lineRule="auto"/>
        <w:ind w:left="956"/>
        <w:rPr>
          <w:rFonts w:ascii="黑体" w:hAnsi="黑体" w:eastAsia="黑体" w:cs="黑体"/>
          <w:sz w:val="16"/>
          <w:szCs w:val="16"/>
        </w:rPr>
      </w:pPr>
      <w:r>
        <w:drawing>
          <wp:anchor distT="0" distB="0" distL="0" distR="0" simplePos="0" relativeHeight="251673600" behindDoc="0" locked="0" layoutInCell="1" allowOverlap="1">
            <wp:simplePos x="0" y="0"/>
            <wp:positionH relativeFrom="column">
              <wp:posOffset>603885</wp:posOffset>
            </wp:positionH>
            <wp:positionV relativeFrom="paragraph">
              <wp:posOffset>128905</wp:posOffset>
            </wp:positionV>
            <wp:extent cx="4987925" cy="6350"/>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4"/>
                    <a:stretch>
                      <a:fillRect/>
                    </a:stretch>
                  </pic:blipFill>
                  <pic:spPr>
                    <a:xfrm>
                      <a:off x="0" y="0"/>
                      <a:ext cx="4987906" cy="6350"/>
                    </a:xfrm>
                    <a:prstGeom prst="rect">
                      <a:avLst/>
                    </a:prstGeom>
                  </pic:spPr>
                </pic:pic>
              </a:graphicData>
            </a:graphic>
          </wp:anchor>
        </w:drawing>
      </w:r>
      <w:r>
        <w:rPr>
          <w:rFonts w:ascii="黑体" w:hAnsi="黑体" w:eastAsia="黑体" w:cs="黑体"/>
          <w:spacing w:val="-6"/>
          <w:sz w:val="16"/>
          <w:szCs w:val="16"/>
        </w:rPr>
        <w:t>2 0</w:t>
      </w:r>
      <w:r>
        <w:rPr>
          <w:rFonts w:ascii="黑体" w:hAnsi="黑体" w:eastAsia="黑体" w:cs="黑体"/>
          <w:spacing w:val="2"/>
          <w:sz w:val="16"/>
          <w:szCs w:val="16"/>
        </w:rPr>
        <w:t xml:space="preserve">     </w:t>
      </w:r>
      <w:r>
        <w:rPr>
          <w:rFonts w:ascii="黑体" w:hAnsi="黑体" w:eastAsia="黑体" w:cs="黑体"/>
          <w:spacing w:val="-6"/>
          <w:sz w:val="16"/>
          <w:szCs w:val="16"/>
        </w:rPr>
        <w:t>第</w:t>
      </w:r>
      <w:r>
        <w:rPr>
          <w:rFonts w:ascii="黑体" w:hAnsi="黑体" w:eastAsia="黑体" w:cs="黑体"/>
          <w:spacing w:val="19"/>
          <w:sz w:val="16"/>
          <w:szCs w:val="16"/>
        </w:rPr>
        <w:t xml:space="preserve"> </w:t>
      </w:r>
      <w:r>
        <w:rPr>
          <w:rFonts w:ascii="黑体" w:hAnsi="黑体" w:eastAsia="黑体" w:cs="黑体"/>
          <w:spacing w:val="-6"/>
          <w:sz w:val="16"/>
          <w:szCs w:val="16"/>
        </w:rPr>
        <w:t>1</w:t>
      </w:r>
      <w:r>
        <w:rPr>
          <w:rFonts w:ascii="黑体" w:hAnsi="黑体" w:eastAsia="黑体" w:cs="黑体"/>
          <w:spacing w:val="8"/>
          <w:sz w:val="16"/>
          <w:szCs w:val="16"/>
        </w:rPr>
        <w:t xml:space="preserve"> </w:t>
      </w:r>
      <w:r>
        <w:rPr>
          <w:rFonts w:ascii="黑体" w:hAnsi="黑体" w:eastAsia="黑体" w:cs="黑体"/>
          <w:spacing w:val="-6"/>
          <w:sz w:val="16"/>
          <w:szCs w:val="16"/>
        </w:rPr>
        <w:t>篇</w:t>
      </w:r>
      <w:r>
        <w:rPr>
          <w:rFonts w:ascii="黑体" w:hAnsi="黑体" w:eastAsia="黑体" w:cs="黑体"/>
          <w:spacing w:val="3"/>
          <w:sz w:val="16"/>
          <w:szCs w:val="16"/>
        </w:rPr>
        <w:t xml:space="preserve">   </w:t>
      </w:r>
      <w:r>
        <w:rPr>
          <w:rFonts w:ascii="黑体" w:hAnsi="黑体" w:eastAsia="黑体" w:cs="黑体"/>
          <w:spacing w:val="-6"/>
          <w:sz w:val="16"/>
          <w:szCs w:val="16"/>
        </w:rPr>
        <w:t>水</w:t>
      </w:r>
      <w:r>
        <w:rPr>
          <w:rFonts w:ascii="黑体" w:hAnsi="黑体" w:eastAsia="黑体" w:cs="黑体"/>
          <w:spacing w:val="11"/>
          <w:sz w:val="16"/>
          <w:szCs w:val="16"/>
        </w:rPr>
        <w:t xml:space="preserve"> </w:t>
      </w:r>
      <w:r>
        <w:rPr>
          <w:rFonts w:ascii="黑体" w:hAnsi="黑体" w:eastAsia="黑体" w:cs="黑体"/>
          <w:spacing w:val="-6"/>
          <w:sz w:val="16"/>
          <w:szCs w:val="16"/>
        </w:rPr>
        <w:t>利</w:t>
      </w:r>
      <w:r>
        <w:rPr>
          <w:rFonts w:ascii="黑体" w:hAnsi="黑体" w:eastAsia="黑体" w:cs="黑体"/>
          <w:spacing w:val="7"/>
          <w:sz w:val="16"/>
          <w:szCs w:val="16"/>
        </w:rPr>
        <w:t xml:space="preserve"> </w:t>
      </w:r>
      <w:r>
        <w:rPr>
          <w:rFonts w:ascii="黑体" w:hAnsi="黑体" w:eastAsia="黑体" w:cs="黑体"/>
          <w:spacing w:val="-6"/>
          <w:sz w:val="16"/>
          <w:szCs w:val="16"/>
        </w:rPr>
        <w:t>水</w:t>
      </w:r>
      <w:r>
        <w:rPr>
          <w:rFonts w:ascii="黑体" w:hAnsi="黑体" w:eastAsia="黑体" w:cs="黑体"/>
          <w:spacing w:val="19"/>
          <w:sz w:val="16"/>
          <w:szCs w:val="16"/>
        </w:rPr>
        <w:t xml:space="preserve"> </w:t>
      </w:r>
      <w:r>
        <w:rPr>
          <w:rFonts w:ascii="黑体" w:hAnsi="黑体" w:eastAsia="黑体" w:cs="黑体"/>
          <w:spacing w:val="-6"/>
          <w:sz w:val="16"/>
          <w:szCs w:val="16"/>
        </w:rPr>
        <w:t>电</w:t>
      </w:r>
      <w:r>
        <w:rPr>
          <w:rFonts w:ascii="黑体" w:hAnsi="黑体" w:eastAsia="黑体" w:cs="黑体"/>
          <w:spacing w:val="9"/>
          <w:sz w:val="16"/>
          <w:szCs w:val="16"/>
        </w:rPr>
        <w:t xml:space="preserve"> </w:t>
      </w:r>
      <w:r>
        <w:rPr>
          <w:rFonts w:ascii="黑体" w:hAnsi="黑体" w:eastAsia="黑体" w:cs="黑体"/>
          <w:spacing w:val="-6"/>
          <w:sz w:val="16"/>
          <w:szCs w:val="16"/>
        </w:rPr>
        <w:t>工</w:t>
      </w:r>
      <w:r>
        <w:rPr>
          <w:rFonts w:ascii="黑体" w:hAnsi="黑体" w:eastAsia="黑体" w:cs="黑体"/>
          <w:spacing w:val="8"/>
          <w:sz w:val="16"/>
          <w:szCs w:val="16"/>
        </w:rPr>
        <w:t xml:space="preserve"> </w:t>
      </w:r>
      <w:r>
        <w:rPr>
          <w:rFonts w:ascii="黑体" w:hAnsi="黑体" w:eastAsia="黑体" w:cs="黑体"/>
          <w:spacing w:val="-6"/>
          <w:sz w:val="16"/>
          <w:szCs w:val="16"/>
        </w:rPr>
        <w:t>程</w:t>
      </w:r>
      <w:r>
        <w:rPr>
          <w:rFonts w:ascii="黑体" w:hAnsi="黑体" w:eastAsia="黑体" w:cs="黑体"/>
          <w:spacing w:val="8"/>
          <w:sz w:val="16"/>
          <w:szCs w:val="16"/>
        </w:rPr>
        <w:t xml:space="preserve"> </w:t>
      </w:r>
      <w:r>
        <w:rPr>
          <w:rFonts w:ascii="黑体" w:hAnsi="黑体" w:eastAsia="黑体" w:cs="黑体"/>
          <w:spacing w:val="-6"/>
          <w:sz w:val="16"/>
          <w:szCs w:val="16"/>
        </w:rPr>
        <w:t>技</w:t>
      </w:r>
      <w:r>
        <w:rPr>
          <w:rFonts w:ascii="黑体" w:hAnsi="黑体" w:eastAsia="黑体" w:cs="黑体"/>
          <w:spacing w:val="8"/>
          <w:sz w:val="16"/>
          <w:szCs w:val="16"/>
        </w:rPr>
        <w:t xml:space="preserve"> </w:t>
      </w:r>
      <w:r>
        <w:rPr>
          <w:rFonts w:ascii="黑体" w:hAnsi="黑体" w:eastAsia="黑体" w:cs="黑体"/>
          <w:spacing w:val="-6"/>
          <w:sz w:val="16"/>
          <w:szCs w:val="16"/>
        </w:rPr>
        <w:t>术</w:t>
      </w:r>
    </w:p>
    <w:p w14:paraId="20950193">
      <w:pPr>
        <w:spacing w:before="247" w:line="297" w:lineRule="auto"/>
        <w:ind w:left="956" w:right="1490"/>
        <w:jc w:val="both"/>
        <w:rPr>
          <w:rFonts w:ascii="宋体" w:hAnsi="宋体" w:eastAsia="宋体" w:cs="宋体"/>
          <w:sz w:val="20"/>
          <w:szCs w:val="20"/>
        </w:rPr>
      </w:pPr>
      <w:r>
        <w:rPr>
          <w:rFonts w:ascii="宋体" w:hAnsi="宋体" w:eastAsia="宋体" w:cs="宋体"/>
          <w:spacing w:val="6"/>
          <w:sz w:val="20"/>
          <w:szCs w:val="20"/>
        </w:rPr>
        <w:t>钢筋防锈、耐火以及与混凝土之间粘结力传递的要求，且混凝土保护层厚度设计值不应</w:t>
      </w:r>
      <w:r>
        <w:rPr>
          <w:rFonts w:ascii="宋体" w:hAnsi="宋体" w:eastAsia="宋体" w:cs="宋体"/>
          <w:spacing w:val="9"/>
          <w:sz w:val="20"/>
          <w:szCs w:val="20"/>
        </w:rPr>
        <w:t xml:space="preserve"> </w:t>
      </w:r>
      <w:r>
        <w:rPr>
          <w:rFonts w:ascii="宋体" w:hAnsi="宋体" w:eastAsia="宋体" w:cs="宋体"/>
          <w:spacing w:val="11"/>
          <w:sz w:val="20"/>
          <w:szCs w:val="20"/>
        </w:rPr>
        <w:t>小于钢筋的公称直径，同时也不应小于粗集料最大粒径的1.25倍。钢筋的混凝土保护</w:t>
      </w:r>
      <w:r>
        <w:rPr>
          <w:rFonts w:ascii="宋体" w:hAnsi="宋体" w:eastAsia="宋体" w:cs="宋体"/>
          <w:spacing w:val="15"/>
          <w:sz w:val="20"/>
          <w:szCs w:val="20"/>
        </w:rPr>
        <w:t xml:space="preserve"> </w:t>
      </w:r>
      <w:r>
        <w:rPr>
          <w:rFonts w:ascii="宋体" w:hAnsi="宋体" w:eastAsia="宋体" w:cs="宋体"/>
          <w:spacing w:val="12"/>
          <w:sz w:val="20"/>
          <w:szCs w:val="20"/>
        </w:rPr>
        <w:t>层厚度是指，从混凝土表面到钢筋(包括纵向钢筋、箍筋和分布钢筋)公称直径外边缘</w:t>
      </w:r>
      <w:r>
        <w:rPr>
          <w:rFonts w:ascii="宋体" w:hAnsi="宋体" w:eastAsia="宋体" w:cs="宋体"/>
          <w:spacing w:val="1"/>
          <w:sz w:val="20"/>
          <w:szCs w:val="20"/>
        </w:rPr>
        <w:t xml:space="preserve"> </w:t>
      </w:r>
      <w:r>
        <w:rPr>
          <w:rFonts w:ascii="宋体" w:hAnsi="宋体" w:eastAsia="宋体" w:cs="宋体"/>
          <w:spacing w:val="6"/>
          <w:sz w:val="20"/>
          <w:szCs w:val="20"/>
        </w:rPr>
        <w:t>之间的最小距离；对后张法预应力筋，为套管或孔道外边缘到混凝土表面的距离。</w:t>
      </w:r>
    </w:p>
    <w:p w14:paraId="2484FDD3">
      <w:pPr>
        <w:spacing w:before="4" w:line="287" w:lineRule="auto"/>
        <w:ind w:left="956" w:right="1419" w:firstLine="430"/>
        <w:jc w:val="both"/>
        <w:rPr>
          <w:rFonts w:ascii="宋体" w:hAnsi="宋体" w:eastAsia="宋体" w:cs="宋体"/>
          <w:sz w:val="20"/>
          <w:szCs w:val="20"/>
        </w:rPr>
      </w:pPr>
      <w:r>
        <w:rPr>
          <w:rFonts w:ascii="宋体" w:hAnsi="宋体" w:eastAsia="宋体" w:cs="宋体"/>
          <w:spacing w:val="16"/>
          <w:sz w:val="20"/>
          <w:szCs w:val="20"/>
        </w:rPr>
        <w:t>合理使用年限为50年的水工结构钢筋的混凝土保护层厚度不应小于表1.2-16所</w:t>
      </w:r>
      <w:r>
        <w:rPr>
          <w:rFonts w:ascii="宋体" w:hAnsi="宋体" w:eastAsia="宋体" w:cs="宋体"/>
          <w:spacing w:val="18"/>
          <w:sz w:val="20"/>
          <w:szCs w:val="20"/>
        </w:rPr>
        <w:t xml:space="preserve"> </w:t>
      </w:r>
      <w:r>
        <w:rPr>
          <w:rFonts w:ascii="宋体" w:hAnsi="宋体" w:eastAsia="宋体" w:cs="宋体"/>
          <w:spacing w:val="13"/>
          <w:sz w:val="20"/>
          <w:szCs w:val="20"/>
        </w:rPr>
        <w:t>列值。合理使用年限为20年、30年时，其保护层厚度</w:t>
      </w:r>
      <w:r>
        <w:rPr>
          <w:rFonts w:ascii="宋体" w:hAnsi="宋体" w:eastAsia="宋体" w:cs="宋体"/>
          <w:spacing w:val="12"/>
          <w:sz w:val="20"/>
          <w:szCs w:val="20"/>
        </w:rPr>
        <w:t>应比表1.2-16所列值适当降低；</w:t>
      </w:r>
      <w:r>
        <w:rPr>
          <w:rFonts w:ascii="宋体" w:hAnsi="宋体" w:eastAsia="宋体" w:cs="宋体"/>
          <w:sz w:val="20"/>
          <w:szCs w:val="20"/>
        </w:rPr>
        <w:t xml:space="preserve"> </w:t>
      </w:r>
      <w:r>
        <w:rPr>
          <w:rFonts w:ascii="宋体" w:hAnsi="宋体" w:eastAsia="宋体" w:cs="宋体"/>
          <w:spacing w:val="13"/>
          <w:sz w:val="20"/>
          <w:szCs w:val="20"/>
        </w:rPr>
        <w:t>合理使用年限为100年时，其保护层厚度应比表1.2-16所列值适当增加；合理使用年</w:t>
      </w:r>
      <w:r>
        <w:rPr>
          <w:rFonts w:ascii="宋体" w:hAnsi="宋体" w:eastAsia="宋体" w:cs="宋体"/>
          <w:spacing w:val="2"/>
          <w:sz w:val="20"/>
          <w:szCs w:val="20"/>
        </w:rPr>
        <w:t xml:space="preserve">  </w:t>
      </w:r>
      <w:r>
        <w:rPr>
          <w:rFonts w:ascii="宋体" w:hAnsi="宋体" w:eastAsia="宋体" w:cs="宋体"/>
          <w:spacing w:val="9"/>
          <w:sz w:val="20"/>
          <w:szCs w:val="20"/>
        </w:rPr>
        <w:t>限为150年时，其保护层厚度应专门研究确定。</w:t>
      </w:r>
    </w:p>
    <w:p w14:paraId="09198F49">
      <w:pPr>
        <w:spacing w:before="153" w:line="221" w:lineRule="auto"/>
        <w:ind w:left="2959"/>
        <w:rPr>
          <w:rFonts w:ascii="宋体" w:hAnsi="宋体" w:eastAsia="宋体" w:cs="宋体"/>
          <w:sz w:val="20"/>
          <w:szCs w:val="20"/>
        </w:rPr>
      </w:pPr>
      <w:r>
        <w:rPr>
          <w:rFonts w:ascii="黑体" w:hAnsi="黑体" w:eastAsia="黑体" w:cs="黑体"/>
          <w:b/>
          <w:bCs/>
          <w:color w:val="207090"/>
          <w:spacing w:val="-12"/>
          <w:sz w:val="20"/>
          <w:szCs w:val="20"/>
        </w:rPr>
        <w:t>表1.2-16</w:t>
      </w:r>
      <w:r>
        <w:rPr>
          <w:rFonts w:ascii="黑体" w:hAnsi="黑体" w:eastAsia="黑体" w:cs="黑体"/>
          <w:color w:val="207090"/>
          <w:spacing w:val="95"/>
          <w:sz w:val="20"/>
          <w:szCs w:val="20"/>
        </w:rPr>
        <w:t xml:space="preserve"> </w:t>
      </w:r>
      <w:r>
        <w:rPr>
          <w:rFonts w:ascii="黑体" w:hAnsi="黑体" w:eastAsia="黑体" w:cs="黑体"/>
          <w:b/>
          <w:bCs/>
          <w:color w:val="207090"/>
          <w:spacing w:val="-12"/>
          <w:sz w:val="20"/>
          <w:szCs w:val="20"/>
        </w:rPr>
        <w:t>混凝土保护层最小厚度(单位：</w:t>
      </w:r>
      <w:r>
        <w:rPr>
          <w:rFonts w:ascii="宋体" w:hAnsi="宋体" w:eastAsia="宋体" w:cs="宋体"/>
          <w:b/>
          <w:bCs/>
          <w:color w:val="207090"/>
          <w:spacing w:val="-12"/>
          <w:sz w:val="20"/>
          <w:szCs w:val="20"/>
        </w:rPr>
        <w:t>mm)</w:t>
      </w:r>
    </w:p>
    <w:p w14:paraId="4235C39F">
      <w:pPr>
        <w:spacing w:line="52" w:lineRule="exact"/>
      </w:pPr>
    </w:p>
    <w:tbl>
      <w:tblPr>
        <w:tblStyle w:val="5"/>
        <w:tblW w:w="7809" w:type="dxa"/>
        <w:tblInd w:w="9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4"/>
        <w:gridCol w:w="3116"/>
        <w:gridCol w:w="849"/>
        <w:gridCol w:w="849"/>
        <w:gridCol w:w="868"/>
        <w:gridCol w:w="849"/>
        <w:gridCol w:w="844"/>
      </w:tblGrid>
      <w:tr w14:paraId="79266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434" w:type="dxa"/>
            <w:vMerge w:val="restart"/>
            <w:tcBorders>
              <w:bottom w:val="nil"/>
            </w:tcBorders>
            <w:vAlign w:val="top"/>
          </w:tcPr>
          <w:p w14:paraId="70B30BD6">
            <w:pPr>
              <w:pStyle w:val="6"/>
              <w:spacing w:before="242" w:line="219" w:lineRule="auto"/>
              <w:ind w:left="35"/>
              <w:rPr>
                <w:sz w:val="17"/>
                <w:szCs w:val="17"/>
              </w:rPr>
            </w:pPr>
            <w:r>
              <w:rPr>
                <w:spacing w:val="-3"/>
                <w:sz w:val="17"/>
                <w:szCs w:val="17"/>
              </w:rPr>
              <w:t>项次</w:t>
            </w:r>
          </w:p>
        </w:tc>
        <w:tc>
          <w:tcPr>
            <w:tcW w:w="3116" w:type="dxa"/>
            <w:vMerge w:val="restart"/>
            <w:tcBorders>
              <w:bottom w:val="nil"/>
            </w:tcBorders>
            <w:vAlign w:val="top"/>
          </w:tcPr>
          <w:p w14:paraId="4906B50E">
            <w:pPr>
              <w:pStyle w:val="6"/>
              <w:spacing w:before="242" w:line="219" w:lineRule="auto"/>
              <w:ind w:left="1210"/>
              <w:rPr>
                <w:sz w:val="17"/>
                <w:szCs w:val="17"/>
              </w:rPr>
            </w:pPr>
            <w:r>
              <w:rPr>
                <w:spacing w:val="3"/>
                <w:sz w:val="17"/>
                <w:szCs w:val="17"/>
              </w:rPr>
              <w:t>构件类别</w:t>
            </w:r>
          </w:p>
        </w:tc>
        <w:tc>
          <w:tcPr>
            <w:tcW w:w="4259" w:type="dxa"/>
            <w:gridSpan w:val="5"/>
            <w:vAlign w:val="top"/>
          </w:tcPr>
          <w:p w14:paraId="1ED7C02C">
            <w:pPr>
              <w:pStyle w:val="6"/>
              <w:spacing w:before="82" w:line="219" w:lineRule="auto"/>
              <w:ind w:left="1815"/>
              <w:rPr>
                <w:sz w:val="17"/>
                <w:szCs w:val="17"/>
              </w:rPr>
            </w:pPr>
            <w:r>
              <w:rPr>
                <w:spacing w:val="3"/>
                <w:sz w:val="17"/>
                <w:szCs w:val="17"/>
              </w:rPr>
              <w:t>环境类别</w:t>
            </w:r>
          </w:p>
        </w:tc>
      </w:tr>
      <w:tr w14:paraId="688AF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434" w:type="dxa"/>
            <w:vMerge w:val="continue"/>
            <w:tcBorders>
              <w:top w:val="nil"/>
            </w:tcBorders>
            <w:vAlign w:val="top"/>
          </w:tcPr>
          <w:p w14:paraId="4E77CEA1">
            <w:pPr>
              <w:rPr>
                <w:rFonts w:ascii="Arial"/>
                <w:sz w:val="21"/>
              </w:rPr>
            </w:pPr>
          </w:p>
        </w:tc>
        <w:tc>
          <w:tcPr>
            <w:tcW w:w="3116" w:type="dxa"/>
            <w:vMerge w:val="continue"/>
            <w:tcBorders>
              <w:top w:val="nil"/>
            </w:tcBorders>
            <w:vAlign w:val="top"/>
          </w:tcPr>
          <w:p w14:paraId="5E4672E8">
            <w:pPr>
              <w:rPr>
                <w:rFonts w:ascii="Arial"/>
                <w:sz w:val="21"/>
              </w:rPr>
            </w:pPr>
          </w:p>
        </w:tc>
        <w:tc>
          <w:tcPr>
            <w:tcW w:w="849" w:type="dxa"/>
            <w:vAlign w:val="top"/>
          </w:tcPr>
          <w:p w14:paraId="62930ACD">
            <w:pPr>
              <w:pStyle w:val="6"/>
              <w:spacing w:before="159" w:line="132" w:lineRule="exact"/>
              <w:ind w:left="335"/>
              <w:rPr>
                <w:sz w:val="17"/>
                <w:szCs w:val="17"/>
              </w:rPr>
            </w:pPr>
            <w:r>
              <w:rPr>
                <w:position w:val="-3"/>
                <w:sz w:val="17"/>
                <w:szCs w:val="17"/>
              </w:rPr>
              <w:t>一</w:t>
            </w:r>
          </w:p>
        </w:tc>
        <w:tc>
          <w:tcPr>
            <w:tcW w:w="849" w:type="dxa"/>
            <w:vAlign w:val="top"/>
          </w:tcPr>
          <w:p w14:paraId="02A4B52B">
            <w:pPr>
              <w:pStyle w:val="6"/>
              <w:spacing w:before="106" w:line="201" w:lineRule="exact"/>
              <w:ind w:left="286"/>
              <w:rPr>
                <w:sz w:val="26"/>
                <w:szCs w:val="26"/>
              </w:rPr>
            </w:pPr>
            <w:r>
              <w:rPr>
                <w:position w:val="-3"/>
                <w:sz w:val="26"/>
                <w:szCs w:val="26"/>
              </w:rPr>
              <w:t>二</w:t>
            </w:r>
          </w:p>
        </w:tc>
        <w:tc>
          <w:tcPr>
            <w:tcW w:w="868" w:type="dxa"/>
            <w:vAlign w:val="top"/>
          </w:tcPr>
          <w:p w14:paraId="1C1F8F03">
            <w:pPr>
              <w:pStyle w:val="6"/>
              <w:spacing w:before="57" w:line="178" w:lineRule="auto"/>
              <w:ind w:left="296"/>
              <w:rPr>
                <w:sz w:val="26"/>
                <w:szCs w:val="26"/>
              </w:rPr>
            </w:pPr>
            <w:r>
              <w:rPr>
                <w:sz w:val="26"/>
                <w:szCs w:val="26"/>
              </w:rPr>
              <w:t>三</w:t>
            </w:r>
          </w:p>
        </w:tc>
        <w:tc>
          <w:tcPr>
            <w:tcW w:w="849" w:type="dxa"/>
            <w:vAlign w:val="top"/>
          </w:tcPr>
          <w:p w14:paraId="1C334CE3">
            <w:pPr>
              <w:pStyle w:val="6"/>
              <w:spacing w:before="81" w:line="222" w:lineRule="auto"/>
              <w:ind w:left="339"/>
              <w:rPr>
                <w:sz w:val="17"/>
                <w:szCs w:val="17"/>
              </w:rPr>
            </w:pPr>
            <w:r>
              <w:rPr>
                <w:sz w:val="17"/>
                <w:szCs w:val="17"/>
              </w:rPr>
              <w:t>四</w:t>
            </w:r>
          </w:p>
        </w:tc>
        <w:tc>
          <w:tcPr>
            <w:tcW w:w="844" w:type="dxa"/>
            <w:vAlign w:val="top"/>
          </w:tcPr>
          <w:p w14:paraId="58365BE0">
            <w:pPr>
              <w:pStyle w:val="6"/>
              <w:spacing w:before="88" w:line="229" w:lineRule="auto"/>
              <w:ind w:left="329"/>
              <w:rPr>
                <w:sz w:val="17"/>
                <w:szCs w:val="17"/>
              </w:rPr>
            </w:pPr>
            <w:r>
              <w:rPr>
                <w:sz w:val="17"/>
                <w:szCs w:val="17"/>
              </w:rPr>
              <w:t>五</w:t>
            </w:r>
          </w:p>
        </w:tc>
      </w:tr>
      <w:tr w14:paraId="0EE7A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434" w:type="dxa"/>
            <w:vAlign w:val="top"/>
          </w:tcPr>
          <w:p w14:paraId="3F983CFC">
            <w:pPr>
              <w:pStyle w:val="6"/>
              <w:spacing w:before="107" w:line="241" w:lineRule="auto"/>
              <w:ind w:left="164"/>
              <w:rPr>
                <w:sz w:val="17"/>
                <w:szCs w:val="17"/>
              </w:rPr>
            </w:pPr>
            <w:r>
              <w:rPr>
                <w:sz w:val="17"/>
                <w:szCs w:val="17"/>
              </w:rPr>
              <w:t>1</w:t>
            </w:r>
          </w:p>
        </w:tc>
        <w:tc>
          <w:tcPr>
            <w:tcW w:w="3116" w:type="dxa"/>
            <w:vAlign w:val="top"/>
          </w:tcPr>
          <w:p w14:paraId="4DBE844A">
            <w:pPr>
              <w:pStyle w:val="6"/>
              <w:spacing w:before="89" w:line="219" w:lineRule="auto"/>
              <w:ind w:left="1290"/>
              <w:rPr>
                <w:sz w:val="17"/>
                <w:szCs w:val="17"/>
              </w:rPr>
            </w:pPr>
            <w:r>
              <w:rPr>
                <w:spacing w:val="-2"/>
                <w:sz w:val="17"/>
                <w:szCs w:val="17"/>
              </w:rPr>
              <w:t>板、墙</w:t>
            </w:r>
          </w:p>
        </w:tc>
        <w:tc>
          <w:tcPr>
            <w:tcW w:w="849" w:type="dxa"/>
            <w:vAlign w:val="top"/>
          </w:tcPr>
          <w:p w14:paraId="07632855">
            <w:pPr>
              <w:pStyle w:val="6"/>
              <w:spacing w:before="107"/>
              <w:ind w:left="335"/>
              <w:rPr>
                <w:sz w:val="17"/>
                <w:szCs w:val="17"/>
              </w:rPr>
            </w:pPr>
            <w:r>
              <w:rPr>
                <w:spacing w:val="-3"/>
                <w:sz w:val="17"/>
                <w:szCs w:val="17"/>
              </w:rPr>
              <w:t>20</w:t>
            </w:r>
          </w:p>
        </w:tc>
        <w:tc>
          <w:tcPr>
            <w:tcW w:w="849" w:type="dxa"/>
            <w:vAlign w:val="top"/>
          </w:tcPr>
          <w:p w14:paraId="1B23F32D">
            <w:pPr>
              <w:pStyle w:val="6"/>
              <w:spacing w:before="107"/>
              <w:ind w:left="335"/>
              <w:rPr>
                <w:sz w:val="17"/>
                <w:szCs w:val="17"/>
              </w:rPr>
            </w:pPr>
            <w:r>
              <w:rPr>
                <w:spacing w:val="-3"/>
                <w:sz w:val="17"/>
                <w:szCs w:val="17"/>
              </w:rPr>
              <w:t>25</w:t>
            </w:r>
          </w:p>
        </w:tc>
        <w:tc>
          <w:tcPr>
            <w:tcW w:w="868" w:type="dxa"/>
            <w:vAlign w:val="top"/>
          </w:tcPr>
          <w:p w14:paraId="250BDB33">
            <w:pPr>
              <w:pStyle w:val="6"/>
              <w:spacing w:before="107"/>
              <w:ind w:left="346"/>
              <w:rPr>
                <w:sz w:val="17"/>
                <w:szCs w:val="17"/>
              </w:rPr>
            </w:pPr>
            <w:r>
              <w:rPr>
                <w:spacing w:val="-3"/>
                <w:sz w:val="17"/>
                <w:szCs w:val="17"/>
              </w:rPr>
              <w:t>30</w:t>
            </w:r>
          </w:p>
        </w:tc>
        <w:tc>
          <w:tcPr>
            <w:tcW w:w="849" w:type="dxa"/>
            <w:vAlign w:val="top"/>
          </w:tcPr>
          <w:p w14:paraId="1A17BDF8">
            <w:pPr>
              <w:pStyle w:val="6"/>
              <w:spacing w:before="107"/>
              <w:ind w:left="339"/>
              <w:rPr>
                <w:sz w:val="17"/>
                <w:szCs w:val="17"/>
              </w:rPr>
            </w:pPr>
            <w:r>
              <w:rPr>
                <w:spacing w:val="-2"/>
                <w:sz w:val="17"/>
                <w:szCs w:val="17"/>
              </w:rPr>
              <w:t>45</w:t>
            </w:r>
          </w:p>
        </w:tc>
        <w:tc>
          <w:tcPr>
            <w:tcW w:w="844" w:type="dxa"/>
            <w:vAlign w:val="top"/>
          </w:tcPr>
          <w:p w14:paraId="34E2EDB4">
            <w:pPr>
              <w:pStyle w:val="6"/>
              <w:spacing w:before="107"/>
              <w:ind w:left="329"/>
              <w:rPr>
                <w:sz w:val="17"/>
                <w:szCs w:val="17"/>
              </w:rPr>
            </w:pPr>
            <w:r>
              <w:rPr>
                <w:spacing w:val="-3"/>
                <w:sz w:val="17"/>
                <w:szCs w:val="17"/>
              </w:rPr>
              <w:t>50</w:t>
            </w:r>
          </w:p>
        </w:tc>
      </w:tr>
      <w:tr w14:paraId="139B6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434" w:type="dxa"/>
            <w:vAlign w:val="top"/>
          </w:tcPr>
          <w:p w14:paraId="52EB0AB7">
            <w:pPr>
              <w:pStyle w:val="6"/>
              <w:spacing w:before="119" w:line="241" w:lineRule="auto"/>
              <w:ind w:left="164"/>
              <w:rPr>
                <w:sz w:val="17"/>
                <w:szCs w:val="17"/>
              </w:rPr>
            </w:pPr>
            <w:r>
              <w:rPr>
                <w:sz w:val="17"/>
                <w:szCs w:val="17"/>
              </w:rPr>
              <w:t>2</w:t>
            </w:r>
          </w:p>
        </w:tc>
        <w:tc>
          <w:tcPr>
            <w:tcW w:w="3116" w:type="dxa"/>
            <w:vAlign w:val="top"/>
          </w:tcPr>
          <w:p w14:paraId="56A937E0">
            <w:pPr>
              <w:pStyle w:val="6"/>
              <w:spacing w:before="103" w:line="219" w:lineRule="auto"/>
              <w:ind w:left="1120"/>
              <w:rPr>
                <w:sz w:val="17"/>
                <w:szCs w:val="17"/>
              </w:rPr>
            </w:pPr>
            <w:r>
              <w:rPr>
                <w:spacing w:val="-2"/>
                <w:sz w:val="17"/>
                <w:szCs w:val="17"/>
              </w:rPr>
              <w:t>梁、柱、墩</w:t>
            </w:r>
          </w:p>
        </w:tc>
        <w:tc>
          <w:tcPr>
            <w:tcW w:w="849" w:type="dxa"/>
            <w:vAlign w:val="top"/>
          </w:tcPr>
          <w:p w14:paraId="5D16D3EE">
            <w:pPr>
              <w:pStyle w:val="6"/>
              <w:spacing w:before="119"/>
              <w:ind w:left="335"/>
              <w:rPr>
                <w:sz w:val="17"/>
                <w:szCs w:val="17"/>
              </w:rPr>
            </w:pPr>
            <w:r>
              <w:rPr>
                <w:spacing w:val="-3"/>
                <w:sz w:val="17"/>
                <w:szCs w:val="17"/>
              </w:rPr>
              <w:t>30</w:t>
            </w:r>
          </w:p>
        </w:tc>
        <w:tc>
          <w:tcPr>
            <w:tcW w:w="849" w:type="dxa"/>
            <w:vAlign w:val="top"/>
          </w:tcPr>
          <w:p w14:paraId="49DA4620">
            <w:pPr>
              <w:pStyle w:val="6"/>
              <w:spacing w:before="119"/>
              <w:ind w:left="335"/>
              <w:rPr>
                <w:sz w:val="17"/>
                <w:szCs w:val="17"/>
              </w:rPr>
            </w:pPr>
            <w:r>
              <w:rPr>
                <w:spacing w:val="-3"/>
                <w:sz w:val="17"/>
                <w:szCs w:val="17"/>
              </w:rPr>
              <w:t>35</w:t>
            </w:r>
          </w:p>
        </w:tc>
        <w:tc>
          <w:tcPr>
            <w:tcW w:w="868" w:type="dxa"/>
            <w:vAlign w:val="top"/>
          </w:tcPr>
          <w:p w14:paraId="13D9F6F3">
            <w:pPr>
              <w:pStyle w:val="6"/>
              <w:spacing w:before="119"/>
              <w:ind w:left="346"/>
              <w:rPr>
                <w:sz w:val="17"/>
                <w:szCs w:val="17"/>
              </w:rPr>
            </w:pPr>
            <w:r>
              <w:rPr>
                <w:spacing w:val="-2"/>
                <w:sz w:val="17"/>
                <w:szCs w:val="17"/>
              </w:rPr>
              <w:t>45</w:t>
            </w:r>
          </w:p>
        </w:tc>
        <w:tc>
          <w:tcPr>
            <w:tcW w:w="849" w:type="dxa"/>
            <w:vAlign w:val="top"/>
          </w:tcPr>
          <w:p w14:paraId="7ADB343E">
            <w:pPr>
              <w:pStyle w:val="6"/>
              <w:spacing w:before="119"/>
              <w:ind w:left="339"/>
              <w:rPr>
                <w:sz w:val="17"/>
                <w:szCs w:val="17"/>
              </w:rPr>
            </w:pPr>
            <w:r>
              <w:rPr>
                <w:spacing w:val="-3"/>
                <w:sz w:val="17"/>
                <w:szCs w:val="17"/>
              </w:rPr>
              <w:t>55</w:t>
            </w:r>
          </w:p>
        </w:tc>
        <w:tc>
          <w:tcPr>
            <w:tcW w:w="844" w:type="dxa"/>
            <w:vAlign w:val="top"/>
          </w:tcPr>
          <w:p w14:paraId="004BD28E">
            <w:pPr>
              <w:pStyle w:val="6"/>
              <w:spacing w:before="119"/>
              <w:ind w:left="329"/>
              <w:rPr>
                <w:sz w:val="17"/>
                <w:szCs w:val="17"/>
              </w:rPr>
            </w:pPr>
            <w:r>
              <w:rPr>
                <w:spacing w:val="-2"/>
                <w:sz w:val="17"/>
                <w:szCs w:val="17"/>
              </w:rPr>
              <w:t>60</w:t>
            </w:r>
          </w:p>
        </w:tc>
      </w:tr>
      <w:tr w14:paraId="054EA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434" w:type="dxa"/>
            <w:vAlign w:val="top"/>
          </w:tcPr>
          <w:p w14:paraId="2DC5A046">
            <w:pPr>
              <w:pStyle w:val="6"/>
              <w:spacing w:before="111"/>
              <w:ind w:left="164"/>
              <w:rPr>
                <w:sz w:val="17"/>
                <w:szCs w:val="17"/>
              </w:rPr>
            </w:pPr>
            <w:r>
              <w:rPr>
                <w:sz w:val="17"/>
                <w:szCs w:val="17"/>
              </w:rPr>
              <w:t>3</w:t>
            </w:r>
          </w:p>
        </w:tc>
        <w:tc>
          <w:tcPr>
            <w:tcW w:w="3116" w:type="dxa"/>
            <w:vAlign w:val="top"/>
          </w:tcPr>
          <w:p w14:paraId="773BD680">
            <w:pPr>
              <w:pStyle w:val="6"/>
              <w:spacing w:before="93" w:line="219" w:lineRule="auto"/>
              <w:ind w:left="271"/>
              <w:rPr>
                <w:sz w:val="17"/>
                <w:szCs w:val="17"/>
              </w:rPr>
            </w:pPr>
            <w:r>
              <w:rPr>
                <w:spacing w:val="-1"/>
                <w:sz w:val="17"/>
                <w:szCs w:val="17"/>
              </w:rPr>
              <w:t>截面厚度不小于2.5m的底板及墩墙</w:t>
            </w:r>
          </w:p>
        </w:tc>
        <w:tc>
          <w:tcPr>
            <w:tcW w:w="849" w:type="dxa"/>
            <w:vAlign w:val="top"/>
          </w:tcPr>
          <w:p w14:paraId="331D475A">
            <w:pPr>
              <w:pStyle w:val="6"/>
              <w:spacing w:before="175" w:line="132" w:lineRule="exact"/>
              <w:ind w:left="335"/>
              <w:rPr>
                <w:sz w:val="17"/>
                <w:szCs w:val="17"/>
              </w:rPr>
            </w:pPr>
            <w:r>
              <w:rPr>
                <w:position w:val="-3"/>
                <w:sz w:val="17"/>
                <w:szCs w:val="17"/>
              </w:rPr>
              <w:t>一</w:t>
            </w:r>
          </w:p>
        </w:tc>
        <w:tc>
          <w:tcPr>
            <w:tcW w:w="849" w:type="dxa"/>
            <w:vAlign w:val="top"/>
          </w:tcPr>
          <w:p w14:paraId="1EB191A3">
            <w:pPr>
              <w:pStyle w:val="6"/>
              <w:spacing w:before="111"/>
              <w:ind w:left="335"/>
              <w:rPr>
                <w:sz w:val="17"/>
                <w:szCs w:val="17"/>
              </w:rPr>
            </w:pPr>
            <w:r>
              <w:rPr>
                <w:spacing w:val="-2"/>
                <w:sz w:val="17"/>
                <w:szCs w:val="17"/>
              </w:rPr>
              <w:t>40</w:t>
            </w:r>
          </w:p>
        </w:tc>
        <w:tc>
          <w:tcPr>
            <w:tcW w:w="868" w:type="dxa"/>
            <w:vAlign w:val="top"/>
          </w:tcPr>
          <w:p w14:paraId="1FC4C9C7">
            <w:pPr>
              <w:pStyle w:val="6"/>
              <w:spacing w:before="111"/>
              <w:ind w:left="346"/>
              <w:rPr>
                <w:sz w:val="17"/>
                <w:szCs w:val="17"/>
              </w:rPr>
            </w:pPr>
            <w:r>
              <w:rPr>
                <w:spacing w:val="-3"/>
                <w:sz w:val="17"/>
                <w:szCs w:val="17"/>
              </w:rPr>
              <w:t>50</w:t>
            </w:r>
          </w:p>
        </w:tc>
        <w:tc>
          <w:tcPr>
            <w:tcW w:w="849" w:type="dxa"/>
            <w:vAlign w:val="top"/>
          </w:tcPr>
          <w:p w14:paraId="740CE985">
            <w:pPr>
              <w:pStyle w:val="6"/>
              <w:spacing w:before="111"/>
              <w:ind w:left="339"/>
              <w:rPr>
                <w:sz w:val="17"/>
                <w:szCs w:val="17"/>
              </w:rPr>
            </w:pPr>
            <w:r>
              <w:rPr>
                <w:spacing w:val="-2"/>
                <w:sz w:val="17"/>
                <w:szCs w:val="17"/>
              </w:rPr>
              <w:t>60</w:t>
            </w:r>
          </w:p>
        </w:tc>
        <w:tc>
          <w:tcPr>
            <w:tcW w:w="844" w:type="dxa"/>
            <w:vAlign w:val="top"/>
          </w:tcPr>
          <w:p w14:paraId="1939BF4A">
            <w:pPr>
              <w:pStyle w:val="6"/>
              <w:spacing w:before="111"/>
              <w:ind w:left="329"/>
              <w:rPr>
                <w:sz w:val="17"/>
                <w:szCs w:val="17"/>
              </w:rPr>
            </w:pPr>
            <w:r>
              <w:rPr>
                <w:spacing w:val="-2"/>
                <w:sz w:val="17"/>
                <w:szCs w:val="17"/>
              </w:rPr>
              <w:t>65</w:t>
            </w:r>
          </w:p>
        </w:tc>
      </w:tr>
    </w:tbl>
    <w:p w14:paraId="421D2A29">
      <w:pPr>
        <w:spacing w:before="112" w:line="219" w:lineRule="auto"/>
        <w:ind w:left="1286"/>
        <w:rPr>
          <w:rFonts w:ascii="宋体" w:hAnsi="宋体" w:eastAsia="宋体" w:cs="宋体"/>
          <w:sz w:val="16"/>
          <w:szCs w:val="16"/>
        </w:rPr>
      </w:pPr>
      <w:r>
        <w:rPr>
          <w:rFonts w:ascii="宋体" w:hAnsi="宋体" w:eastAsia="宋体" w:cs="宋体"/>
          <w:sz w:val="16"/>
          <w:szCs w:val="16"/>
        </w:rPr>
        <w:t>注：1.直接与地基接触的结构底层钢筋或无检修条件的结构，保护层厚度应适当增大。</w:t>
      </w:r>
    </w:p>
    <w:p w14:paraId="6A908BC4">
      <w:pPr>
        <w:spacing w:before="40" w:line="219" w:lineRule="auto"/>
        <w:ind w:left="1596"/>
        <w:rPr>
          <w:rFonts w:ascii="宋体" w:hAnsi="宋体" w:eastAsia="宋体" w:cs="宋体"/>
          <w:sz w:val="16"/>
          <w:szCs w:val="16"/>
        </w:rPr>
      </w:pPr>
      <w:r>
        <w:rPr>
          <w:rFonts w:ascii="宋体" w:hAnsi="宋体" w:eastAsia="宋体" w:cs="宋体"/>
          <w:sz w:val="16"/>
          <w:szCs w:val="16"/>
        </w:rPr>
        <w:t>2.有抗冲耐磨要求的结构面层钢筋，保护层厚度应适当增大。</w:t>
      </w:r>
    </w:p>
    <w:p w14:paraId="5C7F9686">
      <w:pPr>
        <w:spacing w:before="70" w:line="248" w:lineRule="auto"/>
        <w:ind w:left="1765" w:right="1486" w:hanging="169"/>
        <w:rPr>
          <w:rFonts w:ascii="宋体" w:hAnsi="宋体" w:eastAsia="宋体" w:cs="宋体"/>
          <w:sz w:val="14"/>
          <w:szCs w:val="14"/>
        </w:rPr>
      </w:pPr>
      <w:r>
        <w:rPr>
          <w:rFonts w:ascii="Times New Roman" w:hAnsi="Times New Roman" w:eastAsia="Times New Roman" w:cs="Times New Roman"/>
          <w:spacing w:val="8"/>
          <w:sz w:val="16"/>
          <w:szCs w:val="16"/>
        </w:rPr>
        <w:t xml:space="preserve">3. </w:t>
      </w:r>
      <w:r>
        <w:rPr>
          <w:rFonts w:ascii="宋体" w:hAnsi="宋体" w:eastAsia="宋体" w:cs="宋体"/>
          <w:spacing w:val="8"/>
          <w:sz w:val="16"/>
          <w:szCs w:val="16"/>
        </w:rPr>
        <w:t>混凝土强度等级不低于</w:t>
      </w:r>
      <w:r>
        <w:rPr>
          <w:rFonts w:ascii="Times New Roman" w:hAnsi="Times New Roman" w:eastAsia="Times New Roman" w:cs="Times New Roman"/>
          <w:spacing w:val="8"/>
          <w:sz w:val="16"/>
          <w:szCs w:val="16"/>
        </w:rPr>
        <w:t xml:space="preserve">C30 </w:t>
      </w:r>
      <w:r>
        <w:rPr>
          <w:rFonts w:ascii="宋体" w:hAnsi="宋体" w:eastAsia="宋体" w:cs="宋体"/>
          <w:spacing w:val="8"/>
          <w:sz w:val="16"/>
          <w:szCs w:val="16"/>
        </w:rPr>
        <w:t>且浇筑质量有保证的</w:t>
      </w:r>
      <w:r>
        <w:rPr>
          <w:rFonts w:ascii="宋体" w:hAnsi="宋体" w:eastAsia="宋体" w:cs="宋体"/>
          <w:spacing w:val="7"/>
          <w:sz w:val="16"/>
          <w:szCs w:val="16"/>
        </w:rPr>
        <w:t>预制构件或薄板，保护层厚度可按表中数值减小</w:t>
      </w:r>
      <w:r>
        <w:rPr>
          <w:rFonts w:ascii="宋体" w:hAnsi="宋体" w:eastAsia="宋体" w:cs="宋体"/>
          <w:sz w:val="16"/>
          <w:szCs w:val="16"/>
        </w:rPr>
        <w:t xml:space="preserve"> </w:t>
      </w:r>
      <w:r>
        <w:rPr>
          <w:rFonts w:ascii="Times New Roman" w:hAnsi="Times New Roman" w:eastAsia="Times New Roman" w:cs="Times New Roman"/>
          <w:spacing w:val="-2"/>
          <w:sz w:val="14"/>
          <w:szCs w:val="14"/>
        </w:rPr>
        <w:t>5mm</w:t>
      </w:r>
      <w:r>
        <w:rPr>
          <w:rFonts w:ascii="宋体" w:hAnsi="宋体" w:eastAsia="宋体" w:cs="宋体"/>
          <w:spacing w:val="-2"/>
          <w:sz w:val="14"/>
          <w:szCs w:val="14"/>
        </w:rPr>
        <w:t>。</w:t>
      </w:r>
    </w:p>
    <w:p w14:paraId="3DFB262B">
      <w:pPr>
        <w:spacing w:before="67" w:line="219" w:lineRule="auto"/>
        <w:ind w:left="1596"/>
        <w:rPr>
          <w:rFonts w:ascii="宋体" w:hAnsi="宋体" w:eastAsia="宋体" w:cs="宋体"/>
          <w:sz w:val="16"/>
          <w:szCs w:val="16"/>
        </w:rPr>
      </w:pPr>
      <w:r>
        <w:rPr>
          <w:rFonts w:ascii="宋体" w:hAnsi="宋体" w:eastAsia="宋体" w:cs="宋体"/>
          <w:sz w:val="16"/>
          <w:szCs w:val="16"/>
        </w:rPr>
        <w:t>4.钢筋表面涂塑或结构外表面敷设永久性涂料或面层时，保护层厚度可适当减小。</w:t>
      </w:r>
    </w:p>
    <w:p w14:paraId="7A4CE6C3">
      <w:pPr>
        <w:spacing w:before="61" w:line="237" w:lineRule="auto"/>
        <w:ind w:left="1755" w:right="1523" w:hanging="159"/>
        <w:rPr>
          <w:rFonts w:ascii="宋体" w:hAnsi="宋体" w:eastAsia="宋体" w:cs="宋体"/>
          <w:sz w:val="16"/>
          <w:szCs w:val="16"/>
        </w:rPr>
      </w:pPr>
      <w:r>
        <w:rPr>
          <w:rFonts w:ascii="宋体" w:hAnsi="宋体" w:eastAsia="宋体" w:cs="宋体"/>
          <w:spacing w:val="7"/>
          <w:sz w:val="16"/>
          <w:szCs w:val="16"/>
        </w:rPr>
        <w:t>5.严寒和寒冷地区受冰冻的部位，保护层厚度还</w:t>
      </w:r>
      <w:r>
        <w:rPr>
          <w:rFonts w:ascii="宋体" w:hAnsi="宋体" w:eastAsia="宋体" w:cs="宋体"/>
          <w:spacing w:val="6"/>
          <w:sz w:val="16"/>
          <w:szCs w:val="16"/>
        </w:rPr>
        <w:t>应符合《水工建筑物抗冰冻设计标准》(2024年版)</w:t>
      </w:r>
      <w:r>
        <w:rPr>
          <w:rFonts w:ascii="宋体" w:hAnsi="宋体" w:eastAsia="宋体" w:cs="宋体"/>
          <w:sz w:val="16"/>
          <w:szCs w:val="16"/>
        </w:rPr>
        <w:t xml:space="preserve"> GB/T</w:t>
      </w:r>
      <w:r>
        <w:rPr>
          <w:rFonts w:ascii="宋体" w:hAnsi="宋体" w:eastAsia="宋体" w:cs="宋体"/>
          <w:spacing w:val="59"/>
          <w:sz w:val="16"/>
          <w:szCs w:val="16"/>
        </w:rPr>
        <w:t xml:space="preserve"> </w:t>
      </w:r>
      <w:r>
        <w:rPr>
          <w:rFonts w:ascii="宋体" w:hAnsi="宋体" w:eastAsia="宋体" w:cs="宋体"/>
          <w:sz w:val="16"/>
          <w:szCs w:val="16"/>
        </w:rPr>
        <w:t>50662—2011的规定。</w:t>
      </w:r>
    </w:p>
    <w:p w14:paraId="6D58E86B">
      <w:pPr>
        <w:spacing w:before="276" w:line="221" w:lineRule="auto"/>
        <w:ind w:left="1389"/>
        <w:rPr>
          <w:rFonts w:ascii="黑体" w:hAnsi="黑体" w:eastAsia="黑体" w:cs="黑体"/>
          <w:sz w:val="20"/>
          <w:szCs w:val="20"/>
        </w:rPr>
      </w:pPr>
      <w:r>
        <w:rPr>
          <w:rFonts w:ascii="黑体" w:hAnsi="黑体" w:eastAsia="黑体" w:cs="黑体"/>
          <w:b/>
          <w:bCs/>
          <w:color w:val="208090"/>
          <w:spacing w:val="17"/>
          <w:sz w:val="20"/>
          <w:szCs w:val="20"/>
        </w:rPr>
        <w:t>3)混凝土抗冻等级的要求</w:t>
      </w:r>
    </w:p>
    <w:p w14:paraId="285FC7CF">
      <w:pPr>
        <w:spacing w:before="84" w:line="282" w:lineRule="auto"/>
        <w:ind w:left="956" w:right="1419" w:firstLine="430"/>
        <w:rPr>
          <w:rFonts w:ascii="宋体" w:hAnsi="宋体" w:eastAsia="宋体" w:cs="宋体"/>
          <w:sz w:val="20"/>
          <w:szCs w:val="20"/>
        </w:rPr>
      </w:pPr>
      <w:r>
        <w:rPr>
          <w:rFonts w:ascii="宋体" w:hAnsi="宋体" w:eastAsia="宋体" w:cs="宋体"/>
          <w:spacing w:val="8"/>
          <w:sz w:val="20"/>
          <w:szCs w:val="20"/>
        </w:rPr>
        <w:t>合理使用年限为50年的水工建筑物结构和构件的混凝土抗冻等级应根据气候分区、</w:t>
      </w:r>
      <w:r>
        <w:rPr>
          <w:rFonts w:ascii="宋体" w:hAnsi="宋体" w:eastAsia="宋体" w:cs="宋体"/>
          <w:spacing w:val="3"/>
          <w:sz w:val="20"/>
          <w:szCs w:val="20"/>
        </w:rPr>
        <w:t xml:space="preserve"> </w:t>
      </w:r>
      <w:r>
        <w:rPr>
          <w:rFonts w:ascii="宋体" w:hAnsi="宋体" w:eastAsia="宋体" w:cs="宋体"/>
          <w:spacing w:val="6"/>
          <w:sz w:val="20"/>
          <w:szCs w:val="20"/>
        </w:rPr>
        <w:t>冻融循环次数、表面局部小气候条件、水分饱和程度、结构构件重要性和检修条件等按</w:t>
      </w:r>
    </w:p>
    <w:p w14:paraId="14CCF7D0">
      <w:pPr>
        <w:spacing w:before="3" w:line="305" w:lineRule="auto"/>
        <w:ind w:left="956" w:right="1499"/>
        <w:jc w:val="both"/>
        <w:rPr>
          <w:rFonts w:ascii="宋体" w:hAnsi="宋体" w:eastAsia="宋体" w:cs="宋体"/>
          <w:sz w:val="20"/>
          <w:szCs w:val="20"/>
        </w:rPr>
      </w:pPr>
      <w:r>
        <w:rPr>
          <w:rFonts w:ascii="宋体" w:hAnsi="宋体" w:eastAsia="宋体" w:cs="宋体"/>
          <w:spacing w:val="11"/>
          <w:sz w:val="20"/>
          <w:szCs w:val="20"/>
        </w:rPr>
        <w:t>表1.2-17选定。在不利因素较多时，其抗冻等级可提高一级。当合理使用年限大</w:t>
      </w:r>
      <w:r>
        <w:rPr>
          <w:rFonts w:ascii="宋体" w:hAnsi="宋体" w:eastAsia="宋体" w:cs="宋体"/>
          <w:spacing w:val="10"/>
          <w:sz w:val="20"/>
          <w:szCs w:val="20"/>
        </w:rPr>
        <w:t>于或</w:t>
      </w:r>
      <w:r>
        <w:rPr>
          <w:rFonts w:ascii="宋体" w:hAnsi="宋体" w:eastAsia="宋体" w:cs="宋体"/>
          <w:sz w:val="20"/>
          <w:szCs w:val="20"/>
        </w:rPr>
        <w:t xml:space="preserve"> </w:t>
      </w:r>
      <w:r>
        <w:rPr>
          <w:rFonts w:ascii="宋体" w:hAnsi="宋体" w:eastAsia="宋体" w:cs="宋体"/>
          <w:spacing w:val="12"/>
          <w:sz w:val="20"/>
          <w:szCs w:val="20"/>
        </w:rPr>
        <w:t>小于50年时，应根据水工结构的环境条件、混凝土强度等级、混凝土</w:t>
      </w:r>
      <w:r>
        <w:rPr>
          <w:rFonts w:ascii="宋体" w:hAnsi="宋体" w:eastAsia="宋体" w:cs="宋体"/>
          <w:spacing w:val="11"/>
          <w:sz w:val="20"/>
          <w:szCs w:val="20"/>
        </w:rPr>
        <w:t>保护层厚度等因</w:t>
      </w:r>
      <w:r>
        <w:rPr>
          <w:rFonts w:ascii="宋体" w:hAnsi="宋体" w:eastAsia="宋体" w:cs="宋体"/>
          <w:sz w:val="20"/>
          <w:szCs w:val="20"/>
        </w:rPr>
        <w:t xml:space="preserve"> </w:t>
      </w:r>
      <w:r>
        <w:rPr>
          <w:rFonts w:ascii="宋体" w:hAnsi="宋体" w:eastAsia="宋体" w:cs="宋体"/>
          <w:spacing w:val="3"/>
          <w:sz w:val="20"/>
          <w:szCs w:val="20"/>
        </w:rPr>
        <w:t>素综合确定混凝土抗冻等级。</w:t>
      </w:r>
    </w:p>
    <w:p w14:paraId="1F0D3AF9">
      <w:pPr>
        <w:spacing w:before="141" w:line="221" w:lineRule="auto"/>
        <w:ind w:left="3789"/>
        <w:rPr>
          <w:rFonts w:ascii="黑体" w:hAnsi="黑体" w:eastAsia="黑体" w:cs="黑体"/>
          <w:sz w:val="20"/>
          <w:szCs w:val="20"/>
        </w:rPr>
      </w:pPr>
      <w:r>
        <w:rPr>
          <w:rFonts w:ascii="黑体" w:hAnsi="黑体" w:eastAsia="黑体" w:cs="黑体"/>
          <w:b/>
          <w:bCs/>
          <w:color w:val="207090"/>
          <w:spacing w:val="-13"/>
          <w:sz w:val="20"/>
          <w:szCs w:val="20"/>
        </w:rPr>
        <w:t>表1.2-17</w:t>
      </w:r>
      <w:r>
        <w:rPr>
          <w:rFonts w:ascii="黑体" w:hAnsi="黑体" w:eastAsia="黑体" w:cs="黑体"/>
          <w:color w:val="207090"/>
          <w:spacing w:val="81"/>
          <w:sz w:val="20"/>
          <w:szCs w:val="20"/>
        </w:rPr>
        <w:t xml:space="preserve"> </w:t>
      </w:r>
      <w:r>
        <w:rPr>
          <w:rFonts w:ascii="黑体" w:hAnsi="黑体" w:eastAsia="黑体" w:cs="黑体"/>
          <w:b/>
          <w:bCs/>
          <w:color w:val="207090"/>
          <w:spacing w:val="-13"/>
          <w:sz w:val="20"/>
          <w:szCs w:val="20"/>
        </w:rPr>
        <w:t>混凝土抗冻等级</w:t>
      </w:r>
    </w:p>
    <w:p w14:paraId="527B4432">
      <w:pPr>
        <w:spacing w:line="32" w:lineRule="exact"/>
      </w:pPr>
    </w:p>
    <w:tbl>
      <w:tblPr>
        <w:tblStyle w:val="5"/>
        <w:tblW w:w="7809" w:type="dxa"/>
        <w:tblInd w:w="9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
        <w:gridCol w:w="4435"/>
        <w:gridCol w:w="599"/>
        <w:gridCol w:w="579"/>
        <w:gridCol w:w="579"/>
        <w:gridCol w:w="589"/>
        <w:gridCol w:w="584"/>
      </w:tblGrid>
      <w:tr w14:paraId="3C0E3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444" w:type="dxa"/>
            <w:vMerge w:val="restart"/>
            <w:tcBorders>
              <w:bottom w:val="nil"/>
            </w:tcBorders>
            <w:vAlign w:val="top"/>
          </w:tcPr>
          <w:p w14:paraId="6B5E3C73">
            <w:pPr>
              <w:pStyle w:val="6"/>
              <w:spacing w:before="242" w:line="219" w:lineRule="auto"/>
              <w:ind w:left="35"/>
              <w:rPr>
                <w:sz w:val="17"/>
                <w:szCs w:val="17"/>
              </w:rPr>
            </w:pPr>
            <w:r>
              <w:rPr>
                <w:spacing w:val="-3"/>
                <w:sz w:val="17"/>
                <w:szCs w:val="17"/>
              </w:rPr>
              <w:t>项次</w:t>
            </w:r>
          </w:p>
        </w:tc>
        <w:tc>
          <w:tcPr>
            <w:tcW w:w="4435" w:type="dxa"/>
            <w:vAlign w:val="top"/>
          </w:tcPr>
          <w:p w14:paraId="6902AC1C">
            <w:pPr>
              <w:pStyle w:val="6"/>
              <w:spacing w:before="53" w:line="209" w:lineRule="auto"/>
              <w:ind w:left="1900"/>
              <w:rPr>
                <w:sz w:val="23"/>
                <w:szCs w:val="23"/>
              </w:rPr>
            </w:pPr>
            <w:r>
              <w:rPr>
                <w:spacing w:val="4"/>
                <w:sz w:val="23"/>
                <w:szCs w:val="23"/>
              </w:rPr>
              <w:t>气候分区</w:t>
            </w:r>
          </w:p>
        </w:tc>
        <w:tc>
          <w:tcPr>
            <w:tcW w:w="1178" w:type="dxa"/>
            <w:gridSpan w:val="2"/>
            <w:vAlign w:val="top"/>
          </w:tcPr>
          <w:p w14:paraId="6BB0A285">
            <w:pPr>
              <w:pStyle w:val="6"/>
              <w:spacing w:before="82" w:line="220" w:lineRule="auto"/>
              <w:ind w:left="416"/>
              <w:rPr>
                <w:sz w:val="17"/>
                <w:szCs w:val="17"/>
              </w:rPr>
            </w:pPr>
            <w:r>
              <w:rPr>
                <w:spacing w:val="-2"/>
                <w:sz w:val="17"/>
                <w:szCs w:val="17"/>
              </w:rPr>
              <w:t>严寒</w:t>
            </w:r>
          </w:p>
        </w:tc>
        <w:tc>
          <w:tcPr>
            <w:tcW w:w="1168" w:type="dxa"/>
            <w:gridSpan w:val="2"/>
            <w:vAlign w:val="top"/>
          </w:tcPr>
          <w:p w14:paraId="5209DF1E">
            <w:pPr>
              <w:pStyle w:val="6"/>
              <w:spacing w:before="84" w:line="221" w:lineRule="auto"/>
              <w:ind w:left="437"/>
              <w:rPr>
                <w:sz w:val="17"/>
                <w:szCs w:val="17"/>
              </w:rPr>
            </w:pPr>
            <w:r>
              <w:rPr>
                <w:spacing w:val="-2"/>
                <w:sz w:val="17"/>
                <w:szCs w:val="17"/>
              </w:rPr>
              <w:t>寒冷</w:t>
            </w:r>
          </w:p>
        </w:tc>
        <w:tc>
          <w:tcPr>
            <w:tcW w:w="584" w:type="dxa"/>
            <w:vAlign w:val="top"/>
          </w:tcPr>
          <w:p w14:paraId="1D4D15A2">
            <w:pPr>
              <w:pStyle w:val="6"/>
              <w:spacing w:before="84" w:line="222" w:lineRule="auto"/>
              <w:ind w:left="120"/>
              <w:rPr>
                <w:sz w:val="17"/>
                <w:szCs w:val="17"/>
              </w:rPr>
            </w:pPr>
            <w:r>
              <w:rPr>
                <w:spacing w:val="6"/>
                <w:sz w:val="17"/>
                <w:szCs w:val="17"/>
              </w:rPr>
              <w:t>温和</w:t>
            </w:r>
          </w:p>
        </w:tc>
      </w:tr>
      <w:tr w14:paraId="754C7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444" w:type="dxa"/>
            <w:vMerge w:val="continue"/>
            <w:tcBorders>
              <w:top w:val="nil"/>
            </w:tcBorders>
            <w:vAlign w:val="top"/>
          </w:tcPr>
          <w:p w14:paraId="09540DB1">
            <w:pPr>
              <w:rPr>
                <w:rFonts w:ascii="Arial"/>
                <w:sz w:val="21"/>
              </w:rPr>
            </w:pPr>
          </w:p>
        </w:tc>
        <w:tc>
          <w:tcPr>
            <w:tcW w:w="4435" w:type="dxa"/>
            <w:vAlign w:val="top"/>
          </w:tcPr>
          <w:p w14:paraId="7A41BD0A">
            <w:pPr>
              <w:pStyle w:val="6"/>
              <w:spacing w:before="78" w:line="219" w:lineRule="auto"/>
              <w:ind w:left="1461"/>
              <w:rPr>
                <w:sz w:val="17"/>
                <w:szCs w:val="17"/>
              </w:rPr>
            </w:pPr>
            <w:r>
              <w:rPr>
                <w:spacing w:val="3"/>
                <w:sz w:val="17"/>
                <w:szCs w:val="17"/>
              </w:rPr>
              <w:t>年冻融循环次数(次)</w:t>
            </w:r>
          </w:p>
        </w:tc>
        <w:tc>
          <w:tcPr>
            <w:tcW w:w="599" w:type="dxa"/>
            <w:vAlign w:val="top"/>
          </w:tcPr>
          <w:p w14:paraId="2B74840A">
            <w:pPr>
              <w:pStyle w:val="6"/>
              <w:spacing w:before="94" w:line="232" w:lineRule="auto"/>
              <w:ind w:left="75"/>
              <w:rPr>
                <w:sz w:val="17"/>
                <w:szCs w:val="17"/>
              </w:rPr>
            </w:pPr>
            <w:r>
              <w:rPr>
                <w:spacing w:val="-5"/>
                <w:sz w:val="17"/>
                <w:szCs w:val="17"/>
              </w:rPr>
              <w:t>≥100</w:t>
            </w:r>
          </w:p>
        </w:tc>
        <w:tc>
          <w:tcPr>
            <w:tcW w:w="579" w:type="dxa"/>
            <w:vAlign w:val="top"/>
          </w:tcPr>
          <w:p w14:paraId="7FAEEF2D">
            <w:pPr>
              <w:pStyle w:val="6"/>
              <w:spacing w:before="95" w:line="231" w:lineRule="auto"/>
              <w:ind w:left="116"/>
              <w:rPr>
                <w:sz w:val="17"/>
                <w:szCs w:val="17"/>
              </w:rPr>
            </w:pPr>
            <w:r>
              <w:rPr>
                <w:spacing w:val="-3"/>
                <w:sz w:val="17"/>
                <w:szCs w:val="17"/>
              </w:rPr>
              <w:t>&lt;100</w:t>
            </w:r>
          </w:p>
        </w:tc>
        <w:tc>
          <w:tcPr>
            <w:tcW w:w="579" w:type="dxa"/>
            <w:vAlign w:val="top"/>
          </w:tcPr>
          <w:p w14:paraId="1A7FE744">
            <w:pPr>
              <w:pStyle w:val="6"/>
              <w:spacing w:before="94" w:line="232" w:lineRule="auto"/>
              <w:ind w:left="67"/>
              <w:rPr>
                <w:sz w:val="17"/>
                <w:szCs w:val="17"/>
              </w:rPr>
            </w:pPr>
            <w:r>
              <w:rPr>
                <w:spacing w:val="-5"/>
                <w:sz w:val="17"/>
                <w:szCs w:val="17"/>
              </w:rPr>
              <w:t>≥100</w:t>
            </w:r>
          </w:p>
        </w:tc>
        <w:tc>
          <w:tcPr>
            <w:tcW w:w="589" w:type="dxa"/>
            <w:vAlign w:val="top"/>
          </w:tcPr>
          <w:p w14:paraId="15B9B897">
            <w:pPr>
              <w:pStyle w:val="6"/>
              <w:spacing w:before="95" w:line="231" w:lineRule="auto"/>
              <w:ind w:left="119"/>
              <w:rPr>
                <w:sz w:val="17"/>
                <w:szCs w:val="17"/>
              </w:rPr>
            </w:pPr>
            <w:r>
              <w:rPr>
                <w:spacing w:val="-3"/>
                <w:sz w:val="17"/>
                <w:szCs w:val="17"/>
              </w:rPr>
              <w:t>&lt;100</w:t>
            </w:r>
          </w:p>
        </w:tc>
        <w:tc>
          <w:tcPr>
            <w:tcW w:w="584" w:type="dxa"/>
            <w:vAlign w:val="top"/>
          </w:tcPr>
          <w:p w14:paraId="0A60A8F9">
            <w:pPr>
              <w:pStyle w:val="6"/>
              <w:spacing w:before="158" w:line="132" w:lineRule="exact"/>
              <w:ind w:left="199"/>
              <w:rPr>
                <w:sz w:val="17"/>
                <w:szCs w:val="17"/>
              </w:rPr>
            </w:pPr>
            <w:r>
              <w:rPr>
                <w:position w:val="-3"/>
                <w:sz w:val="17"/>
                <w:szCs w:val="17"/>
              </w:rPr>
              <w:t>一</w:t>
            </w:r>
          </w:p>
        </w:tc>
      </w:tr>
      <w:tr w14:paraId="6C688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7" w:hRule="atLeast"/>
        </w:trPr>
        <w:tc>
          <w:tcPr>
            <w:tcW w:w="444" w:type="dxa"/>
            <w:vAlign w:val="top"/>
          </w:tcPr>
          <w:p w14:paraId="356E27A2">
            <w:pPr>
              <w:rPr>
                <w:rFonts w:ascii="Arial"/>
                <w:sz w:val="21"/>
              </w:rPr>
            </w:pPr>
          </w:p>
        </w:tc>
        <w:tc>
          <w:tcPr>
            <w:tcW w:w="4435" w:type="dxa"/>
            <w:vAlign w:val="top"/>
          </w:tcPr>
          <w:p w14:paraId="40BA1896">
            <w:pPr>
              <w:pStyle w:val="6"/>
              <w:spacing w:before="100" w:line="219" w:lineRule="auto"/>
              <w:ind w:left="10"/>
              <w:rPr>
                <w:sz w:val="17"/>
                <w:szCs w:val="17"/>
              </w:rPr>
            </w:pPr>
            <w:r>
              <w:rPr>
                <w:sz w:val="17"/>
                <w:szCs w:val="17"/>
              </w:rPr>
              <w:t>结构重要、受冻严重且难于检修的部位：</w:t>
            </w:r>
          </w:p>
          <w:p w14:paraId="6F6FFE4D">
            <w:pPr>
              <w:pStyle w:val="6"/>
              <w:spacing w:before="38" w:line="219" w:lineRule="auto"/>
              <w:ind w:left="10"/>
              <w:rPr>
                <w:sz w:val="17"/>
                <w:szCs w:val="17"/>
              </w:rPr>
            </w:pPr>
            <w:r>
              <w:rPr>
                <w:spacing w:val="3"/>
                <w:sz w:val="17"/>
                <w:szCs w:val="17"/>
              </w:rPr>
              <w:t>(1)水电站尾水部位、闸门槽二期混凝土、轨道基础；</w:t>
            </w:r>
          </w:p>
          <w:p w14:paraId="768A6537">
            <w:pPr>
              <w:pStyle w:val="6"/>
              <w:spacing w:before="38" w:line="239" w:lineRule="auto"/>
              <w:ind w:left="10" w:firstLine="9"/>
              <w:rPr>
                <w:sz w:val="17"/>
                <w:szCs w:val="17"/>
              </w:rPr>
            </w:pPr>
            <w:r>
              <w:rPr>
                <w:spacing w:val="-3"/>
                <w:sz w:val="17"/>
                <w:szCs w:val="17"/>
              </w:rPr>
              <w:t>(2)坝厚小于混凝土最大冻深2倍的薄拱坝、不封闭支墩坝的</w:t>
            </w:r>
            <w:r>
              <w:rPr>
                <w:spacing w:val="6"/>
                <w:sz w:val="17"/>
                <w:szCs w:val="17"/>
              </w:rPr>
              <w:t xml:space="preserve"> </w:t>
            </w:r>
            <w:r>
              <w:rPr>
                <w:spacing w:val="-7"/>
                <w:sz w:val="17"/>
                <w:szCs w:val="17"/>
              </w:rPr>
              <w:t>外露面、面板堆石坝水位变化区及其以上部位的面板和趾座；</w:t>
            </w:r>
          </w:p>
          <w:p w14:paraId="64C58DE1">
            <w:pPr>
              <w:pStyle w:val="6"/>
              <w:spacing w:before="39"/>
              <w:ind w:left="10"/>
              <w:rPr>
                <w:sz w:val="17"/>
                <w:szCs w:val="17"/>
              </w:rPr>
            </w:pPr>
            <w:r>
              <w:rPr>
                <w:spacing w:val="-3"/>
                <w:sz w:val="17"/>
                <w:szCs w:val="17"/>
              </w:rPr>
              <w:t>(3)冬季通航或受电站尾水位影响的不通航</w:t>
            </w:r>
            <w:r>
              <w:rPr>
                <w:spacing w:val="-4"/>
                <w:sz w:val="17"/>
                <w:szCs w:val="17"/>
              </w:rPr>
              <w:t>船闸的水位变化区</w:t>
            </w:r>
            <w:r>
              <w:rPr>
                <w:sz w:val="17"/>
                <w:szCs w:val="17"/>
              </w:rPr>
              <w:t xml:space="preserve"> </w:t>
            </w:r>
            <w:r>
              <w:rPr>
                <w:spacing w:val="8"/>
                <w:sz w:val="17"/>
                <w:szCs w:val="17"/>
              </w:rPr>
              <w:t>的构件、二期混凝土；</w:t>
            </w:r>
          </w:p>
          <w:p w14:paraId="13236189">
            <w:pPr>
              <w:pStyle w:val="6"/>
              <w:spacing w:before="38" w:line="234" w:lineRule="auto"/>
              <w:ind w:left="10" w:right="154"/>
              <w:rPr>
                <w:sz w:val="17"/>
                <w:szCs w:val="17"/>
              </w:rPr>
            </w:pPr>
            <w:r>
              <w:rPr>
                <w:sz w:val="17"/>
                <w:szCs w:val="17"/>
              </w:rPr>
              <w:t>(4)流速大于25m/s、过冰、多沙或多推移质的溢流坝、深</w:t>
            </w:r>
            <w:r>
              <w:rPr>
                <w:spacing w:val="8"/>
                <w:sz w:val="17"/>
                <w:szCs w:val="17"/>
              </w:rPr>
              <w:t xml:space="preserve"> </w:t>
            </w:r>
            <w:r>
              <w:rPr>
                <w:spacing w:val="4"/>
                <w:sz w:val="17"/>
                <w:szCs w:val="17"/>
              </w:rPr>
              <w:t>孔或其他输水部位的过水面及二期混凝土；</w:t>
            </w:r>
          </w:p>
          <w:p w14:paraId="4D0272AA">
            <w:pPr>
              <w:pStyle w:val="6"/>
              <w:spacing w:before="47" w:line="241" w:lineRule="auto"/>
              <w:ind w:left="10"/>
              <w:rPr>
                <w:sz w:val="17"/>
                <w:szCs w:val="17"/>
              </w:rPr>
            </w:pPr>
            <w:r>
              <w:rPr>
                <w:spacing w:val="-3"/>
                <w:sz w:val="17"/>
                <w:szCs w:val="17"/>
              </w:rPr>
              <w:t>(5)冬季有水的露天钢筋混凝土压力水管、</w:t>
            </w:r>
            <w:r>
              <w:rPr>
                <w:spacing w:val="-4"/>
                <w:sz w:val="17"/>
                <w:szCs w:val="17"/>
              </w:rPr>
              <w:t>渡槽、薄壁充水闸</w:t>
            </w:r>
            <w:r>
              <w:rPr>
                <w:sz w:val="17"/>
                <w:szCs w:val="17"/>
              </w:rPr>
              <w:t xml:space="preserve"> </w:t>
            </w:r>
            <w:r>
              <w:rPr>
                <w:spacing w:val="3"/>
                <w:sz w:val="17"/>
                <w:szCs w:val="17"/>
              </w:rPr>
              <w:t>门井</w:t>
            </w:r>
          </w:p>
        </w:tc>
        <w:tc>
          <w:tcPr>
            <w:tcW w:w="599" w:type="dxa"/>
            <w:vAlign w:val="top"/>
          </w:tcPr>
          <w:p w14:paraId="6D590B31">
            <w:pPr>
              <w:spacing w:line="287" w:lineRule="auto"/>
              <w:rPr>
                <w:rFonts w:ascii="Arial"/>
                <w:sz w:val="21"/>
              </w:rPr>
            </w:pPr>
          </w:p>
          <w:p w14:paraId="3193B907">
            <w:pPr>
              <w:spacing w:line="288" w:lineRule="auto"/>
              <w:rPr>
                <w:rFonts w:ascii="Arial"/>
                <w:sz w:val="21"/>
              </w:rPr>
            </w:pPr>
          </w:p>
          <w:p w14:paraId="68325C96">
            <w:pPr>
              <w:spacing w:line="288" w:lineRule="auto"/>
              <w:rPr>
                <w:rFonts w:ascii="Arial"/>
                <w:sz w:val="21"/>
              </w:rPr>
            </w:pPr>
          </w:p>
          <w:p w14:paraId="3BE9B874">
            <w:pPr>
              <w:spacing w:line="288" w:lineRule="auto"/>
              <w:rPr>
                <w:rFonts w:ascii="Arial"/>
                <w:sz w:val="21"/>
              </w:rPr>
            </w:pPr>
          </w:p>
          <w:p w14:paraId="20670D7E">
            <w:pPr>
              <w:pStyle w:val="6"/>
              <w:spacing w:before="55" w:line="183" w:lineRule="auto"/>
              <w:ind w:left="125"/>
              <w:rPr>
                <w:sz w:val="17"/>
                <w:szCs w:val="17"/>
              </w:rPr>
            </w:pPr>
            <w:r>
              <w:rPr>
                <w:spacing w:val="-1"/>
                <w:sz w:val="17"/>
                <w:szCs w:val="17"/>
              </w:rPr>
              <w:t>F400</w:t>
            </w:r>
          </w:p>
        </w:tc>
        <w:tc>
          <w:tcPr>
            <w:tcW w:w="579" w:type="dxa"/>
            <w:vAlign w:val="top"/>
          </w:tcPr>
          <w:p w14:paraId="3CFD50F3">
            <w:pPr>
              <w:spacing w:line="287" w:lineRule="auto"/>
              <w:rPr>
                <w:rFonts w:ascii="Arial"/>
                <w:sz w:val="21"/>
              </w:rPr>
            </w:pPr>
          </w:p>
          <w:p w14:paraId="7A66A36B">
            <w:pPr>
              <w:spacing w:line="288" w:lineRule="auto"/>
              <w:rPr>
                <w:rFonts w:ascii="Arial"/>
                <w:sz w:val="21"/>
              </w:rPr>
            </w:pPr>
          </w:p>
          <w:p w14:paraId="423CBBFA">
            <w:pPr>
              <w:spacing w:line="288" w:lineRule="auto"/>
              <w:rPr>
                <w:rFonts w:ascii="Arial"/>
                <w:sz w:val="21"/>
              </w:rPr>
            </w:pPr>
          </w:p>
          <w:p w14:paraId="6AC7D17D">
            <w:pPr>
              <w:spacing w:line="288" w:lineRule="auto"/>
              <w:rPr>
                <w:rFonts w:ascii="Arial"/>
                <w:sz w:val="21"/>
              </w:rPr>
            </w:pPr>
          </w:p>
          <w:p w14:paraId="06B8067F">
            <w:pPr>
              <w:pStyle w:val="6"/>
              <w:spacing w:before="55" w:line="183" w:lineRule="auto"/>
              <w:ind w:left="116"/>
              <w:rPr>
                <w:sz w:val="17"/>
                <w:szCs w:val="17"/>
              </w:rPr>
            </w:pPr>
            <w:r>
              <w:rPr>
                <w:spacing w:val="-1"/>
                <w:sz w:val="17"/>
                <w:szCs w:val="17"/>
              </w:rPr>
              <w:t>F300</w:t>
            </w:r>
          </w:p>
        </w:tc>
        <w:tc>
          <w:tcPr>
            <w:tcW w:w="579" w:type="dxa"/>
            <w:vAlign w:val="top"/>
          </w:tcPr>
          <w:p w14:paraId="39411C9F">
            <w:pPr>
              <w:spacing w:line="287" w:lineRule="auto"/>
              <w:rPr>
                <w:rFonts w:ascii="Arial"/>
                <w:sz w:val="21"/>
              </w:rPr>
            </w:pPr>
          </w:p>
          <w:p w14:paraId="35285579">
            <w:pPr>
              <w:spacing w:line="288" w:lineRule="auto"/>
              <w:rPr>
                <w:rFonts w:ascii="Arial"/>
                <w:sz w:val="21"/>
              </w:rPr>
            </w:pPr>
          </w:p>
          <w:p w14:paraId="03C1AD1B">
            <w:pPr>
              <w:spacing w:line="288" w:lineRule="auto"/>
              <w:rPr>
                <w:rFonts w:ascii="Arial"/>
                <w:sz w:val="21"/>
              </w:rPr>
            </w:pPr>
          </w:p>
          <w:p w14:paraId="1CE62834">
            <w:pPr>
              <w:spacing w:line="288" w:lineRule="auto"/>
              <w:rPr>
                <w:rFonts w:ascii="Arial"/>
                <w:sz w:val="21"/>
              </w:rPr>
            </w:pPr>
          </w:p>
          <w:p w14:paraId="7E35569C">
            <w:pPr>
              <w:pStyle w:val="6"/>
              <w:spacing w:before="55" w:line="183" w:lineRule="auto"/>
              <w:ind w:left="118"/>
              <w:rPr>
                <w:sz w:val="17"/>
                <w:szCs w:val="17"/>
              </w:rPr>
            </w:pPr>
            <w:r>
              <w:rPr>
                <w:spacing w:val="-1"/>
                <w:sz w:val="17"/>
                <w:szCs w:val="17"/>
              </w:rPr>
              <w:t>F300</w:t>
            </w:r>
          </w:p>
        </w:tc>
        <w:tc>
          <w:tcPr>
            <w:tcW w:w="589" w:type="dxa"/>
            <w:vAlign w:val="top"/>
          </w:tcPr>
          <w:p w14:paraId="0EA13774">
            <w:pPr>
              <w:spacing w:line="287" w:lineRule="auto"/>
              <w:rPr>
                <w:rFonts w:ascii="Arial"/>
                <w:sz w:val="21"/>
              </w:rPr>
            </w:pPr>
          </w:p>
          <w:p w14:paraId="6C1F0157">
            <w:pPr>
              <w:spacing w:line="288" w:lineRule="auto"/>
              <w:rPr>
                <w:rFonts w:ascii="Arial"/>
                <w:sz w:val="21"/>
              </w:rPr>
            </w:pPr>
          </w:p>
          <w:p w14:paraId="34317B4B">
            <w:pPr>
              <w:spacing w:line="288" w:lineRule="auto"/>
              <w:rPr>
                <w:rFonts w:ascii="Arial"/>
                <w:sz w:val="21"/>
              </w:rPr>
            </w:pPr>
          </w:p>
          <w:p w14:paraId="17A20C1F">
            <w:pPr>
              <w:spacing w:line="288" w:lineRule="auto"/>
              <w:rPr>
                <w:rFonts w:ascii="Arial"/>
                <w:sz w:val="21"/>
              </w:rPr>
            </w:pPr>
          </w:p>
          <w:p w14:paraId="1B15031C">
            <w:pPr>
              <w:pStyle w:val="6"/>
              <w:spacing w:before="55" w:line="183" w:lineRule="auto"/>
              <w:ind w:left="119"/>
              <w:rPr>
                <w:sz w:val="17"/>
                <w:szCs w:val="17"/>
              </w:rPr>
            </w:pPr>
            <w:r>
              <w:rPr>
                <w:spacing w:val="-1"/>
                <w:sz w:val="17"/>
                <w:szCs w:val="17"/>
              </w:rPr>
              <w:t>F200</w:t>
            </w:r>
          </w:p>
        </w:tc>
        <w:tc>
          <w:tcPr>
            <w:tcW w:w="584" w:type="dxa"/>
            <w:vAlign w:val="top"/>
          </w:tcPr>
          <w:p w14:paraId="5587EEF4">
            <w:pPr>
              <w:spacing w:line="287" w:lineRule="auto"/>
              <w:rPr>
                <w:rFonts w:ascii="Arial"/>
                <w:sz w:val="21"/>
              </w:rPr>
            </w:pPr>
          </w:p>
          <w:p w14:paraId="567D2E0E">
            <w:pPr>
              <w:spacing w:line="287" w:lineRule="auto"/>
              <w:rPr>
                <w:rFonts w:ascii="Arial"/>
                <w:sz w:val="21"/>
              </w:rPr>
            </w:pPr>
          </w:p>
          <w:p w14:paraId="0187D314">
            <w:pPr>
              <w:spacing w:line="288" w:lineRule="auto"/>
              <w:rPr>
                <w:rFonts w:ascii="Arial"/>
                <w:sz w:val="21"/>
              </w:rPr>
            </w:pPr>
          </w:p>
          <w:p w14:paraId="44F8BFB1">
            <w:pPr>
              <w:spacing w:line="288" w:lineRule="auto"/>
              <w:rPr>
                <w:rFonts w:ascii="Arial"/>
                <w:sz w:val="21"/>
              </w:rPr>
            </w:pPr>
          </w:p>
          <w:p w14:paraId="3769F602">
            <w:pPr>
              <w:pStyle w:val="6"/>
              <w:spacing w:before="55" w:line="184" w:lineRule="auto"/>
              <w:ind w:left="120"/>
              <w:rPr>
                <w:sz w:val="17"/>
                <w:szCs w:val="17"/>
              </w:rPr>
            </w:pPr>
            <w:r>
              <w:rPr>
                <w:spacing w:val="-1"/>
                <w:sz w:val="17"/>
                <w:szCs w:val="17"/>
              </w:rPr>
              <w:t>F100</w:t>
            </w:r>
          </w:p>
        </w:tc>
      </w:tr>
    </w:tbl>
    <w:p w14:paraId="52313BBA">
      <w:pPr>
        <w:pStyle w:val="2"/>
      </w:pPr>
    </w:p>
    <w:p w14:paraId="4C2CF8EE">
      <w:pPr>
        <w:sectPr>
          <w:footerReference r:id="rId20" w:type="default"/>
          <w:pgSz w:w="10320" w:h="14590"/>
          <w:pgMar w:top="28" w:right="10" w:bottom="267" w:left="3" w:header="0" w:footer="0" w:gutter="0"/>
          <w:cols w:space="720" w:num="1"/>
        </w:sectPr>
      </w:pPr>
    </w:p>
    <w:p w14:paraId="44E8D9A7">
      <w:pPr>
        <w:spacing w:line="212" w:lineRule="auto"/>
        <w:ind w:left="293"/>
        <w:rPr>
          <w:rFonts w:ascii="宋体" w:hAnsi="宋体" w:eastAsia="宋体" w:cs="宋体"/>
          <w:sz w:val="22"/>
          <w:szCs w:val="22"/>
        </w:rPr>
      </w:pPr>
      <w:r>
        <w:rPr>
          <w:rFonts w:hint="eastAsia" w:ascii="宋体" w:hAnsi="宋体" w:eastAsia="宋体" w:cs="宋体"/>
          <w:b/>
          <w:bCs/>
          <w:spacing w:val="18"/>
          <w:sz w:val="22"/>
          <w:szCs w:val="22"/>
          <w:lang w:eastAsia="zh-CN"/>
        </w:rPr>
        <w:t>大鱼社区</w:t>
      </w:r>
      <w:r>
        <w:rPr>
          <w:rFonts w:ascii="宋体" w:hAnsi="宋体" w:eastAsia="宋体" w:cs="宋体"/>
          <w:b/>
          <w:bCs/>
          <w:spacing w:val="18"/>
          <w:sz w:val="22"/>
          <w:szCs w:val="22"/>
        </w:rPr>
        <w:t>助你备考：少走弯路，快速通关!认准</w:t>
      </w:r>
      <w:r>
        <w:rPr>
          <w:rFonts w:ascii="Times New Roman" w:hAnsi="Times New Roman" w:eastAsia="Times New Roman" w:cs="Times New Roman"/>
          <w:b/>
          <w:bCs/>
          <w:sz w:val="22"/>
          <w:szCs w:val="22"/>
        </w:rPr>
        <w:t>VX</w:t>
      </w:r>
      <w:r>
        <w:rPr>
          <w:rFonts w:ascii="Times New Roman" w:hAnsi="Times New Roman" w:eastAsia="Times New Roman" w:cs="Times New Roman"/>
          <w:b/>
          <w:bCs/>
          <w:spacing w:val="18"/>
          <w:sz w:val="22"/>
          <w:szCs w:val="22"/>
        </w:rPr>
        <w:t>:</w:t>
      </w:r>
      <w:r>
        <w:rPr>
          <w:rFonts w:hint="eastAsia" w:ascii="Times New Roman" w:hAnsi="Times New Roman" w:eastAsia="宋体" w:cs="Times New Roman"/>
          <w:b/>
          <w:bCs/>
          <w:sz w:val="22"/>
          <w:szCs w:val="22"/>
          <w:lang w:eastAsia="zh-CN"/>
        </w:rPr>
        <w:t>dayu_nm_cn</w:t>
      </w:r>
      <w:r>
        <w:rPr>
          <w:rFonts w:ascii="Times New Roman" w:hAnsi="Times New Roman" w:eastAsia="Times New Roman" w:cs="Times New Roman"/>
          <w:b/>
          <w:bCs/>
          <w:spacing w:val="18"/>
          <w:sz w:val="22"/>
          <w:szCs w:val="22"/>
        </w:rPr>
        <w:t xml:space="preserve">     </w:t>
      </w:r>
      <w:r>
        <w:rPr>
          <w:rFonts w:ascii="宋体" w:hAnsi="宋体" w:eastAsia="宋体" w:cs="宋体"/>
          <w:b/>
          <w:bCs/>
          <w:spacing w:val="18"/>
          <w:sz w:val="22"/>
          <w:szCs w:val="22"/>
        </w:rPr>
        <w:t>(天道酬勤，白嫖勿扰)</w:t>
      </w:r>
    </w:p>
    <w:p w14:paraId="6632417F">
      <w:pPr>
        <w:pStyle w:val="2"/>
        <w:spacing w:line="404" w:lineRule="auto"/>
      </w:pPr>
    </w:p>
    <w:p w14:paraId="75B78927">
      <w:pPr>
        <w:spacing w:before="52" w:line="222" w:lineRule="auto"/>
        <w:ind w:left="6429"/>
        <w:rPr>
          <w:rFonts w:ascii="宋体" w:hAnsi="宋体" w:eastAsia="宋体" w:cs="宋体"/>
          <w:sz w:val="16"/>
          <w:szCs w:val="16"/>
        </w:rPr>
      </w:pPr>
      <w:r>
        <w:drawing>
          <wp:anchor distT="0" distB="0" distL="0" distR="0" simplePos="0" relativeHeight="251674624" behindDoc="0" locked="0" layoutInCell="1" allowOverlap="1">
            <wp:simplePos x="0" y="0"/>
            <wp:positionH relativeFrom="column">
              <wp:posOffset>958850</wp:posOffset>
            </wp:positionH>
            <wp:positionV relativeFrom="paragraph">
              <wp:posOffset>187960</wp:posOffset>
            </wp:positionV>
            <wp:extent cx="5035550" cy="1270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5"/>
                    <a:stretch>
                      <a:fillRect/>
                    </a:stretch>
                  </pic:blipFill>
                  <pic:spPr>
                    <a:xfrm>
                      <a:off x="0" y="0"/>
                      <a:ext cx="5035543" cy="12692"/>
                    </a:xfrm>
                    <a:prstGeom prst="rect">
                      <a:avLst/>
                    </a:prstGeom>
                  </pic:spPr>
                </pic:pic>
              </a:graphicData>
            </a:graphic>
          </wp:anchor>
        </w:drawing>
      </w:r>
      <w:r>
        <w:rPr>
          <w:rFonts w:ascii="黑体" w:hAnsi="黑体" w:eastAsia="黑体" w:cs="黑体"/>
          <w:spacing w:val="11"/>
          <w:sz w:val="16"/>
          <w:szCs w:val="16"/>
        </w:rPr>
        <w:t>第1章</w:t>
      </w:r>
      <w:r>
        <w:rPr>
          <w:rFonts w:ascii="黑体" w:hAnsi="黑体" w:eastAsia="黑体" w:cs="黑体"/>
          <w:spacing w:val="47"/>
          <w:sz w:val="16"/>
          <w:szCs w:val="16"/>
        </w:rPr>
        <w:t xml:space="preserve"> </w:t>
      </w:r>
      <w:r>
        <w:rPr>
          <w:rFonts w:ascii="黑体" w:hAnsi="黑体" w:eastAsia="黑体" w:cs="黑体"/>
          <w:spacing w:val="11"/>
          <w:sz w:val="16"/>
          <w:szCs w:val="16"/>
        </w:rPr>
        <w:t>水利水电工程勘测与设计</w:t>
      </w:r>
      <w:r>
        <w:rPr>
          <w:rFonts w:ascii="黑体" w:hAnsi="黑体" w:eastAsia="黑体" w:cs="黑体"/>
          <w:sz w:val="16"/>
          <w:szCs w:val="16"/>
        </w:rPr>
        <w:t xml:space="preserve">    </w:t>
      </w:r>
      <w:r>
        <w:rPr>
          <w:rFonts w:ascii="宋体" w:hAnsi="宋体" w:eastAsia="宋体" w:cs="宋体"/>
          <w:spacing w:val="11"/>
          <w:sz w:val="16"/>
          <w:szCs w:val="16"/>
        </w:rPr>
        <w:t>21</w:t>
      </w:r>
    </w:p>
    <w:p w14:paraId="437550A3">
      <w:pPr>
        <w:spacing w:before="250" w:line="220" w:lineRule="auto"/>
        <w:ind w:left="8670"/>
        <w:rPr>
          <w:rFonts w:ascii="宋体" w:hAnsi="宋体" w:eastAsia="宋体" w:cs="宋体"/>
          <w:sz w:val="18"/>
          <w:szCs w:val="18"/>
        </w:rPr>
      </w:pPr>
      <w:r>
        <w:rPr>
          <w:rFonts w:ascii="宋体" w:hAnsi="宋体" w:eastAsia="宋体" w:cs="宋体"/>
          <w:spacing w:val="-3"/>
          <w:sz w:val="18"/>
          <w:szCs w:val="18"/>
        </w:rPr>
        <w:t>续表</w:t>
      </w:r>
    </w:p>
    <w:p w14:paraId="6C9021B4">
      <w:pPr>
        <w:spacing w:line="82" w:lineRule="exact"/>
      </w:pPr>
    </w:p>
    <w:tbl>
      <w:tblPr>
        <w:tblStyle w:val="5"/>
        <w:tblW w:w="7870" w:type="dxa"/>
        <w:tblInd w:w="1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0"/>
        <w:gridCol w:w="4460"/>
        <w:gridCol w:w="590"/>
        <w:gridCol w:w="570"/>
        <w:gridCol w:w="580"/>
        <w:gridCol w:w="640"/>
        <w:gridCol w:w="590"/>
      </w:tblGrid>
      <w:tr w14:paraId="713FE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40" w:type="dxa"/>
            <w:vMerge w:val="restart"/>
            <w:tcBorders>
              <w:left w:val="nil"/>
              <w:bottom w:val="nil"/>
            </w:tcBorders>
            <w:vAlign w:val="top"/>
          </w:tcPr>
          <w:p w14:paraId="51E4FFCB">
            <w:pPr>
              <w:pStyle w:val="6"/>
              <w:spacing w:before="232" w:line="219" w:lineRule="auto"/>
              <w:ind w:left="40"/>
              <w:rPr>
                <w:sz w:val="18"/>
                <w:szCs w:val="18"/>
              </w:rPr>
            </w:pPr>
            <w:r>
              <w:rPr>
                <w:spacing w:val="-3"/>
                <w:sz w:val="18"/>
                <w:szCs w:val="18"/>
              </w:rPr>
              <w:t>项次</w:t>
            </w:r>
          </w:p>
        </w:tc>
        <w:tc>
          <w:tcPr>
            <w:tcW w:w="4460" w:type="dxa"/>
            <w:vAlign w:val="top"/>
          </w:tcPr>
          <w:p w14:paraId="5B4AAA68">
            <w:pPr>
              <w:pStyle w:val="6"/>
              <w:spacing w:before="72" w:line="219" w:lineRule="auto"/>
              <w:ind w:left="1895"/>
              <w:rPr>
                <w:sz w:val="18"/>
                <w:szCs w:val="18"/>
              </w:rPr>
            </w:pPr>
            <w:r>
              <w:rPr>
                <w:spacing w:val="3"/>
                <w:sz w:val="18"/>
                <w:szCs w:val="18"/>
              </w:rPr>
              <w:t>气候分区</w:t>
            </w:r>
          </w:p>
        </w:tc>
        <w:tc>
          <w:tcPr>
            <w:tcW w:w="1160" w:type="dxa"/>
            <w:gridSpan w:val="2"/>
            <w:vAlign w:val="top"/>
          </w:tcPr>
          <w:p w14:paraId="10898E34">
            <w:pPr>
              <w:pStyle w:val="6"/>
              <w:spacing w:before="73" w:line="220" w:lineRule="auto"/>
              <w:ind w:left="405"/>
              <w:rPr>
                <w:sz w:val="18"/>
                <w:szCs w:val="18"/>
              </w:rPr>
            </w:pPr>
            <w:r>
              <w:rPr>
                <w:spacing w:val="-2"/>
                <w:sz w:val="18"/>
                <w:szCs w:val="18"/>
              </w:rPr>
              <w:t>严寒</w:t>
            </w:r>
          </w:p>
        </w:tc>
        <w:tc>
          <w:tcPr>
            <w:tcW w:w="1220" w:type="dxa"/>
            <w:gridSpan w:val="2"/>
            <w:vAlign w:val="top"/>
          </w:tcPr>
          <w:p w14:paraId="724AF3E3">
            <w:pPr>
              <w:pStyle w:val="6"/>
              <w:spacing w:before="74" w:line="221" w:lineRule="auto"/>
              <w:ind w:left="415"/>
              <w:rPr>
                <w:sz w:val="18"/>
                <w:szCs w:val="18"/>
              </w:rPr>
            </w:pPr>
            <w:r>
              <w:rPr>
                <w:spacing w:val="-3"/>
                <w:sz w:val="18"/>
                <w:szCs w:val="18"/>
              </w:rPr>
              <w:t>寒冷</w:t>
            </w:r>
          </w:p>
        </w:tc>
        <w:tc>
          <w:tcPr>
            <w:tcW w:w="590" w:type="dxa"/>
            <w:tcBorders>
              <w:right w:val="nil"/>
            </w:tcBorders>
            <w:vAlign w:val="top"/>
          </w:tcPr>
          <w:p w14:paraId="04FB5CCF">
            <w:pPr>
              <w:pStyle w:val="6"/>
              <w:spacing w:before="75" w:line="222" w:lineRule="auto"/>
              <w:ind w:left="105"/>
              <w:rPr>
                <w:sz w:val="18"/>
                <w:szCs w:val="18"/>
              </w:rPr>
            </w:pPr>
            <w:r>
              <w:rPr>
                <w:spacing w:val="7"/>
                <w:sz w:val="18"/>
                <w:szCs w:val="18"/>
              </w:rPr>
              <w:t>温和</w:t>
            </w:r>
          </w:p>
        </w:tc>
      </w:tr>
      <w:tr w14:paraId="39480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40" w:type="dxa"/>
            <w:vMerge w:val="continue"/>
            <w:tcBorders>
              <w:top w:val="nil"/>
              <w:left w:val="nil"/>
            </w:tcBorders>
            <w:vAlign w:val="top"/>
          </w:tcPr>
          <w:p w14:paraId="2456C021">
            <w:pPr>
              <w:rPr>
                <w:rFonts w:ascii="Arial"/>
                <w:sz w:val="21"/>
              </w:rPr>
            </w:pPr>
          </w:p>
        </w:tc>
        <w:tc>
          <w:tcPr>
            <w:tcW w:w="4460" w:type="dxa"/>
            <w:vAlign w:val="top"/>
          </w:tcPr>
          <w:p w14:paraId="1B7C7D91">
            <w:pPr>
              <w:pStyle w:val="6"/>
              <w:spacing w:before="68" w:line="219" w:lineRule="auto"/>
              <w:ind w:left="1455"/>
              <w:rPr>
                <w:sz w:val="18"/>
                <w:szCs w:val="18"/>
              </w:rPr>
            </w:pPr>
            <w:r>
              <w:rPr>
                <w:spacing w:val="3"/>
                <w:sz w:val="18"/>
                <w:szCs w:val="18"/>
              </w:rPr>
              <w:t>年冻融循环次数(次)</w:t>
            </w:r>
          </w:p>
        </w:tc>
        <w:tc>
          <w:tcPr>
            <w:tcW w:w="590" w:type="dxa"/>
            <w:vAlign w:val="top"/>
          </w:tcPr>
          <w:p w14:paraId="4D1D3BE6">
            <w:pPr>
              <w:pStyle w:val="6"/>
              <w:spacing w:before="85" w:line="230" w:lineRule="auto"/>
              <w:ind w:left="65"/>
              <w:rPr>
                <w:sz w:val="18"/>
                <w:szCs w:val="18"/>
              </w:rPr>
            </w:pPr>
            <w:r>
              <w:rPr>
                <w:spacing w:val="-5"/>
                <w:sz w:val="18"/>
                <w:szCs w:val="18"/>
              </w:rPr>
              <w:t>≥100</w:t>
            </w:r>
          </w:p>
        </w:tc>
        <w:tc>
          <w:tcPr>
            <w:tcW w:w="570" w:type="dxa"/>
            <w:vAlign w:val="top"/>
          </w:tcPr>
          <w:p w14:paraId="49BDB34F">
            <w:pPr>
              <w:pStyle w:val="6"/>
              <w:spacing w:before="86" w:line="229" w:lineRule="auto"/>
              <w:ind w:left="95"/>
              <w:rPr>
                <w:sz w:val="18"/>
                <w:szCs w:val="18"/>
              </w:rPr>
            </w:pPr>
            <w:r>
              <w:rPr>
                <w:spacing w:val="-3"/>
                <w:sz w:val="18"/>
                <w:szCs w:val="18"/>
              </w:rPr>
              <w:t>&lt;100</w:t>
            </w:r>
          </w:p>
        </w:tc>
        <w:tc>
          <w:tcPr>
            <w:tcW w:w="580" w:type="dxa"/>
            <w:vAlign w:val="top"/>
          </w:tcPr>
          <w:p w14:paraId="09EF5D9C">
            <w:pPr>
              <w:pStyle w:val="6"/>
              <w:spacing w:before="85" w:line="230" w:lineRule="auto"/>
              <w:ind w:left="55"/>
              <w:rPr>
                <w:sz w:val="18"/>
                <w:szCs w:val="18"/>
              </w:rPr>
            </w:pPr>
            <w:r>
              <w:rPr>
                <w:spacing w:val="-5"/>
                <w:sz w:val="18"/>
                <w:szCs w:val="18"/>
              </w:rPr>
              <w:t>≥100</w:t>
            </w:r>
          </w:p>
        </w:tc>
        <w:tc>
          <w:tcPr>
            <w:tcW w:w="640" w:type="dxa"/>
            <w:vAlign w:val="top"/>
          </w:tcPr>
          <w:p w14:paraId="559B0B42">
            <w:pPr>
              <w:pStyle w:val="6"/>
              <w:spacing w:before="86" w:line="229" w:lineRule="auto"/>
              <w:ind w:left="135"/>
              <w:rPr>
                <w:sz w:val="18"/>
                <w:szCs w:val="18"/>
              </w:rPr>
            </w:pPr>
            <w:r>
              <w:rPr>
                <w:spacing w:val="-3"/>
                <w:sz w:val="18"/>
                <w:szCs w:val="18"/>
              </w:rPr>
              <w:t>&lt;100</w:t>
            </w:r>
          </w:p>
        </w:tc>
        <w:tc>
          <w:tcPr>
            <w:tcW w:w="590" w:type="dxa"/>
            <w:tcBorders>
              <w:right w:val="nil"/>
            </w:tcBorders>
            <w:vAlign w:val="top"/>
          </w:tcPr>
          <w:p w14:paraId="08EAE233">
            <w:pPr>
              <w:pStyle w:val="6"/>
              <w:spacing w:before="153" w:line="140" w:lineRule="exact"/>
              <w:ind w:left="195"/>
              <w:rPr>
                <w:sz w:val="18"/>
                <w:szCs w:val="18"/>
              </w:rPr>
            </w:pPr>
            <w:r>
              <w:rPr>
                <w:position w:val="-4"/>
                <w:sz w:val="18"/>
                <w:szCs w:val="18"/>
              </w:rPr>
              <w:t>一</w:t>
            </w:r>
          </w:p>
        </w:tc>
      </w:tr>
      <w:tr w14:paraId="36B45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7" w:hRule="atLeast"/>
        </w:trPr>
        <w:tc>
          <w:tcPr>
            <w:tcW w:w="440" w:type="dxa"/>
            <w:tcBorders>
              <w:left w:val="nil"/>
            </w:tcBorders>
            <w:vAlign w:val="top"/>
          </w:tcPr>
          <w:p w14:paraId="329E35C8">
            <w:pPr>
              <w:spacing w:line="264" w:lineRule="auto"/>
              <w:rPr>
                <w:rFonts w:ascii="Arial"/>
                <w:sz w:val="21"/>
              </w:rPr>
            </w:pPr>
          </w:p>
          <w:p w14:paraId="65D0AAE7">
            <w:pPr>
              <w:spacing w:line="264" w:lineRule="auto"/>
              <w:rPr>
                <w:rFonts w:ascii="Arial"/>
                <w:sz w:val="21"/>
              </w:rPr>
            </w:pPr>
          </w:p>
          <w:p w14:paraId="1A556D4A">
            <w:pPr>
              <w:spacing w:line="264" w:lineRule="auto"/>
              <w:rPr>
                <w:rFonts w:ascii="Arial"/>
                <w:sz w:val="21"/>
              </w:rPr>
            </w:pPr>
          </w:p>
          <w:p w14:paraId="2D4FC197">
            <w:pPr>
              <w:pStyle w:val="6"/>
              <w:spacing w:before="59" w:line="241" w:lineRule="auto"/>
              <w:ind w:left="170"/>
              <w:rPr>
                <w:sz w:val="18"/>
                <w:szCs w:val="18"/>
              </w:rPr>
            </w:pPr>
            <w:r>
              <w:rPr>
                <w:sz w:val="18"/>
                <w:szCs w:val="18"/>
              </w:rPr>
              <w:t>2</w:t>
            </w:r>
          </w:p>
        </w:tc>
        <w:tc>
          <w:tcPr>
            <w:tcW w:w="4460" w:type="dxa"/>
            <w:vAlign w:val="top"/>
          </w:tcPr>
          <w:p w14:paraId="024B806E">
            <w:pPr>
              <w:pStyle w:val="6"/>
              <w:spacing w:before="118" w:line="219" w:lineRule="auto"/>
              <w:ind w:left="15"/>
              <w:rPr>
                <w:sz w:val="18"/>
                <w:szCs w:val="18"/>
              </w:rPr>
            </w:pPr>
            <w:r>
              <w:rPr>
                <w:spacing w:val="-1"/>
                <w:sz w:val="18"/>
                <w:szCs w:val="18"/>
              </w:rPr>
              <w:t>受冻严重但有检修条件的部位：</w:t>
            </w:r>
          </w:p>
          <w:p w14:paraId="6B16EE76">
            <w:pPr>
              <w:pStyle w:val="6"/>
              <w:spacing w:before="16" w:line="219" w:lineRule="auto"/>
              <w:ind w:left="15"/>
              <w:rPr>
                <w:sz w:val="18"/>
                <w:szCs w:val="18"/>
              </w:rPr>
            </w:pPr>
            <w:r>
              <w:rPr>
                <w:spacing w:val="4"/>
                <w:sz w:val="18"/>
                <w:szCs w:val="18"/>
              </w:rPr>
              <w:t>(1)混凝土坝上游面冬季水位变化区；</w:t>
            </w:r>
          </w:p>
          <w:p w14:paraId="1FE17DE8">
            <w:pPr>
              <w:pStyle w:val="6"/>
              <w:spacing w:before="36" w:line="219" w:lineRule="auto"/>
              <w:ind w:left="15"/>
              <w:rPr>
                <w:sz w:val="18"/>
                <w:szCs w:val="18"/>
              </w:rPr>
            </w:pPr>
            <w:r>
              <w:rPr>
                <w:spacing w:val="3"/>
                <w:sz w:val="18"/>
                <w:szCs w:val="18"/>
              </w:rPr>
              <w:t>(2)水电站或船闸的尾水渠，引航道的挡墙、护坡；</w:t>
            </w:r>
          </w:p>
          <w:p w14:paraId="0D244582">
            <w:pPr>
              <w:pStyle w:val="6"/>
              <w:spacing w:before="16" w:line="243" w:lineRule="auto"/>
              <w:ind w:left="15" w:right="100"/>
              <w:rPr>
                <w:sz w:val="18"/>
                <w:szCs w:val="18"/>
              </w:rPr>
            </w:pPr>
            <w:r>
              <w:rPr>
                <w:sz w:val="18"/>
                <w:szCs w:val="18"/>
              </w:rPr>
              <w:t>(3)流速小于25m/s的溢洪道、输水洞(孔)、引水系统的</w:t>
            </w:r>
            <w:r>
              <w:rPr>
                <w:spacing w:val="12"/>
                <w:sz w:val="18"/>
                <w:szCs w:val="18"/>
              </w:rPr>
              <w:t xml:space="preserve"> </w:t>
            </w:r>
            <w:r>
              <w:rPr>
                <w:spacing w:val="21"/>
                <w:sz w:val="18"/>
                <w:szCs w:val="18"/>
              </w:rPr>
              <w:t>过水面</w:t>
            </w:r>
            <w:r>
              <w:rPr>
                <w:spacing w:val="-43"/>
                <w:sz w:val="18"/>
                <w:szCs w:val="18"/>
              </w:rPr>
              <w:t xml:space="preserve"> </w:t>
            </w:r>
            <w:r>
              <w:rPr>
                <w:spacing w:val="21"/>
                <w:sz w:val="18"/>
                <w:szCs w:val="18"/>
              </w:rPr>
              <w:t>；</w:t>
            </w:r>
          </w:p>
          <w:p w14:paraId="5DE8ADC2">
            <w:pPr>
              <w:pStyle w:val="6"/>
              <w:spacing w:before="15" w:line="238" w:lineRule="auto"/>
              <w:ind w:left="15"/>
              <w:rPr>
                <w:sz w:val="18"/>
                <w:szCs w:val="18"/>
              </w:rPr>
            </w:pPr>
            <w:r>
              <w:rPr>
                <w:spacing w:val="-12"/>
                <w:sz w:val="18"/>
                <w:szCs w:val="18"/>
              </w:rPr>
              <w:t>(4)易积雪、结霜或饱和的路面、平台栏杆、挑檐、墙、板、</w:t>
            </w:r>
            <w:r>
              <w:rPr>
                <w:sz w:val="18"/>
                <w:szCs w:val="18"/>
              </w:rPr>
              <w:t xml:space="preserve"> </w:t>
            </w:r>
            <w:r>
              <w:rPr>
                <w:spacing w:val="-4"/>
                <w:sz w:val="18"/>
                <w:szCs w:val="18"/>
              </w:rPr>
              <w:t>梁、柱、墩、廊道或竖井的单薄墙壁</w:t>
            </w:r>
          </w:p>
        </w:tc>
        <w:tc>
          <w:tcPr>
            <w:tcW w:w="590" w:type="dxa"/>
            <w:vAlign w:val="top"/>
          </w:tcPr>
          <w:p w14:paraId="1307F2C2">
            <w:pPr>
              <w:spacing w:line="273" w:lineRule="auto"/>
              <w:rPr>
                <w:rFonts w:ascii="Arial"/>
                <w:sz w:val="21"/>
              </w:rPr>
            </w:pPr>
          </w:p>
          <w:p w14:paraId="473CDA07">
            <w:pPr>
              <w:spacing w:line="274" w:lineRule="auto"/>
              <w:rPr>
                <w:rFonts w:ascii="Arial"/>
                <w:sz w:val="21"/>
              </w:rPr>
            </w:pPr>
          </w:p>
          <w:p w14:paraId="2FC4830C">
            <w:pPr>
              <w:spacing w:line="274" w:lineRule="auto"/>
              <w:rPr>
                <w:rFonts w:ascii="Arial"/>
                <w:sz w:val="21"/>
              </w:rPr>
            </w:pPr>
          </w:p>
          <w:p w14:paraId="17C5D527">
            <w:pPr>
              <w:pStyle w:val="6"/>
              <w:spacing w:before="58" w:line="183" w:lineRule="auto"/>
              <w:ind w:left="105"/>
              <w:rPr>
                <w:sz w:val="18"/>
                <w:szCs w:val="18"/>
              </w:rPr>
            </w:pPr>
            <w:r>
              <w:rPr>
                <w:spacing w:val="-1"/>
                <w:sz w:val="18"/>
                <w:szCs w:val="18"/>
              </w:rPr>
              <w:t>F300</w:t>
            </w:r>
          </w:p>
        </w:tc>
        <w:tc>
          <w:tcPr>
            <w:tcW w:w="570" w:type="dxa"/>
            <w:vAlign w:val="top"/>
          </w:tcPr>
          <w:p w14:paraId="0B5AD5DA">
            <w:pPr>
              <w:spacing w:line="273" w:lineRule="auto"/>
              <w:rPr>
                <w:rFonts w:ascii="Arial"/>
                <w:sz w:val="21"/>
              </w:rPr>
            </w:pPr>
          </w:p>
          <w:p w14:paraId="3043D85A">
            <w:pPr>
              <w:spacing w:line="274" w:lineRule="auto"/>
              <w:rPr>
                <w:rFonts w:ascii="Arial"/>
                <w:sz w:val="21"/>
              </w:rPr>
            </w:pPr>
          </w:p>
          <w:p w14:paraId="79803555">
            <w:pPr>
              <w:spacing w:line="274" w:lineRule="auto"/>
              <w:rPr>
                <w:rFonts w:ascii="Arial"/>
                <w:sz w:val="21"/>
              </w:rPr>
            </w:pPr>
          </w:p>
          <w:p w14:paraId="39EFE45D">
            <w:pPr>
              <w:pStyle w:val="6"/>
              <w:spacing w:before="58" w:line="183" w:lineRule="auto"/>
              <w:ind w:left="95"/>
              <w:rPr>
                <w:sz w:val="18"/>
                <w:szCs w:val="18"/>
              </w:rPr>
            </w:pPr>
            <w:r>
              <w:rPr>
                <w:spacing w:val="-1"/>
                <w:sz w:val="18"/>
                <w:szCs w:val="18"/>
              </w:rPr>
              <w:t>F250</w:t>
            </w:r>
          </w:p>
        </w:tc>
        <w:tc>
          <w:tcPr>
            <w:tcW w:w="580" w:type="dxa"/>
            <w:vAlign w:val="top"/>
          </w:tcPr>
          <w:p w14:paraId="4791B76B">
            <w:pPr>
              <w:spacing w:line="273" w:lineRule="auto"/>
              <w:rPr>
                <w:rFonts w:ascii="Arial"/>
                <w:sz w:val="21"/>
              </w:rPr>
            </w:pPr>
          </w:p>
          <w:p w14:paraId="60D60377">
            <w:pPr>
              <w:spacing w:line="274" w:lineRule="auto"/>
              <w:rPr>
                <w:rFonts w:ascii="Arial"/>
                <w:sz w:val="21"/>
              </w:rPr>
            </w:pPr>
          </w:p>
          <w:p w14:paraId="49A1B483">
            <w:pPr>
              <w:spacing w:line="274" w:lineRule="auto"/>
              <w:rPr>
                <w:rFonts w:ascii="Arial"/>
                <w:sz w:val="21"/>
              </w:rPr>
            </w:pPr>
          </w:p>
          <w:p w14:paraId="145B28FC">
            <w:pPr>
              <w:pStyle w:val="6"/>
              <w:spacing w:before="58" w:line="183" w:lineRule="auto"/>
              <w:ind w:left="105"/>
              <w:rPr>
                <w:sz w:val="18"/>
                <w:szCs w:val="18"/>
              </w:rPr>
            </w:pPr>
            <w:r>
              <w:rPr>
                <w:spacing w:val="-1"/>
                <w:sz w:val="18"/>
                <w:szCs w:val="18"/>
              </w:rPr>
              <w:t>F200</w:t>
            </w:r>
          </w:p>
        </w:tc>
        <w:tc>
          <w:tcPr>
            <w:tcW w:w="640" w:type="dxa"/>
            <w:vAlign w:val="top"/>
          </w:tcPr>
          <w:p w14:paraId="7356A3C3">
            <w:pPr>
              <w:spacing w:line="273" w:lineRule="auto"/>
              <w:rPr>
                <w:rFonts w:ascii="Arial"/>
                <w:sz w:val="21"/>
              </w:rPr>
            </w:pPr>
          </w:p>
          <w:p w14:paraId="7D28E8A9">
            <w:pPr>
              <w:spacing w:line="273" w:lineRule="auto"/>
              <w:rPr>
                <w:rFonts w:ascii="Arial"/>
                <w:sz w:val="21"/>
              </w:rPr>
            </w:pPr>
          </w:p>
          <w:p w14:paraId="0BD5F727">
            <w:pPr>
              <w:spacing w:line="274" w:lineRule="auto"/>
              <w:rPr>
                <w:rFonts w:ascii="Arial"/>
                <w:sz w:val="21"/>
              </w:rPr>
            </w:pPr>
          </w:p>
          <w:p w14:paraId="0B03E53C">
            <w:pPr>
              <w:pStyle w:val="6"/>
              <w:spacing w:before="58" w:line="184" w:lineRule="auto"/>
              <w:ind w:left="135"/>
              <w:rPr>
                <w:sz w:val="18"/>
                <w:szCs w:val="18"/>
              </w:rPr>
            </w:pPr>
            <w:r>
              <w:rPr>
                <w:spacing w:val="-1"/>
                <w:sz w:val="18"/>
                <w:szCs w:val="18"/>
              </w:rPr>
              <w:t>F150</w:t>
            </w:r>
          </w:p>
        </w:tc>
        <w:tc>
          <w:tcPr>
            <w:tcW w:w="590" w:type="dxa"/>
            <w:tcBorders>
              <w:right w:val="nil"/>
            </w:tcBorders>
            <w:vAlign w:val="top"/>
          </w:tcPr>
          <w:p w14:paraId="562C7D37">
            <w:pPr>
              <w:spacing w:line="273" w:lineRule="auto"/>
              <w:rPr>
                <w:rFonts w:ascii="Arial"/>
                <w:sz w:val="21"/>
              </w:rPr>
            </w:pPr>
          </w:p>
          <w:p w14:paraId="4BD41B48">
            <w:pPr>
              <w:spacing w:line="274" w:lineRule="auto"/>
              <w:rPr>
                <w:rFonts w:ascii="Arial"/>
                <w:sz w:val="21"/>
              </w:rPr>
            </w:pPr>
          </w:p>
          <w:p w14:paraId="556F3AB4">
            <w:pPr>
              <w:spacing w:line="274" w:lineRule="auto"/>
              <w:rPr>
                <w:rFonts w:ascii="Arial"/>
                <w:sz w:val="21"/>
              </w:rPr>
            </w:pPr>
          </w:p>
          <w:p w14:paraId="06720F9A">
            <w:pPr>
              <w:pStyle w:val="6"/>
              <w:spacing w:before="58" w:line="183" w:lineRule="auto"/>
              <w:ind w:left="155"/>
              <w:rPr>
                <w:sz w:val="18"/>
                <w:szCs w:val="18"/>
              </w:rPr>
            </w:pPr>
            <w:r>
              <w:rPr>
                <w:spacing w:val="-1"/>
                <w:sz w:val="18"/>
                <w:szCs w:val="18"/>
              </w:rPr>
              <w:t>F50</w:t>
            </w:r>
          </w:p>
        </w:tc>
      </w:tr>
      <w:tr w14:paraId="755B8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trPr>
        <w:tc>
          <w:tcPr>
            <w:tcW w:w="440" w:type="dxa"/>
            <w:tcBorders>
              <w:left w:val="nil"/>
            </w:tcBorders>
            <w:vAlign w:val="top"/>
          </w:tcPr>
          <w:p w14:paraId="60C20DDE">
            <w:pPr>
              <w:spacing w:line="308" w:lineRule="auto"/>
              <w:rPr>
                <w:rFonts w:ascii="Arial"/>
                <w:sz w:val="21"/>
              </w:rPr>
            </w:pPr>
          </w:p>
          <w:p w14:paraId="6CC4AA0C">
            <w:pPr>
              <w:pStyle w:val="6"/>
              <w:spacing w:before="58"/>
              <w:ind w:left="170"/>
              <w:rPr>
                <w:sz w:val="18"/>
                <w:szCs w:val="18"/>
              </w:rPr>
            </w:pPr>
            <w:r>
              <w:rPr>
                <w:sz w:val="18"/>
                <w:szCs w:val="18"/>
              </w:rPr>
              <w:t>3</w:t>
            </w:r>
          </w:p>
        </w:tc>
        <w:tc>
          <w:tcPr>
            <w:tcW w:w="4460" w:type="dxa"/>
            <w:vAlign w:val="top"/>
          </w:tcPr>
          <w:p w14:paraId="1FCC7CD7">
            <w:pPr>
              <w:pStyle w:val="6"/>
              <w:spacing w:before="131" w:line="219" w:lineRule="auto"/>
              <w:ind w:left="15"/>
              <w:rPr>
                <w:sz w:val="18"/>
                <w:szCs w:val="18"/>
              </w:rPr>
            </w:pPr>
            <w:r>
              <w:rPr>
                <w:spacing w:val="-1"/>
                <w:sz w:val="18"/>
                <w:szCs w:val="18"/>
              </w:rPr>
              <w:t>受冻较重部位：</w:t>
            </w:r>
          </w:p>
          <w:p w14:paraId="3CAC1EF9">
            <w:pPr>
              <w:pStyle w:val="6"/>
              <w:spacing w:before="6" w:line="219" w:lineRule="auto"/>
              <w:ind w:left="15"/>
              <w:rPr>
                <w:sz w:val="18"/>
                <w:szCs w:val="18"/>
              </w:rPr>
            </w:pPr>
            <w:r>
              <w:rPr>
                <w:spacing w:val="5"/>
                <w:sz w:val="18"/>
                <w:szCs w:val="18"/>
              </w:rPr>
              <w:t>(1)混凝土坝外露的阴面部位；</w:t>
            </w:r>
          </w:p>
          <w:p w14:paraId="09733DE0">
            <w:pPr>
              <w:pStyle w:val="6"/>
              <w:spacing w:before="16" w:line="219" w:lineRule="auto"/>
              <w:ind w:left="15"/>
              <w:rPr>
                <w:sz w:val="18"/>
                <w:szCs w:val="18"/>
              </w:rPr>
            </w:pPr>
            <w:r>
              <w:rPr>
                <w:sz w:val="18"/>
                <w:szCs w:val="18"/>
              </w:rPr>
              <w:t>(2)冬季有水或易长期积雪结冰的渠系建筑物</w:t>
            </w:r>
          </w:p>
        </w:tc>
        <w:tc>
          <w:tcPr>
            <w:tcW w:w="590" w:type="dxa"/>
            <w:vAlign w:val="top"/>
          </w:tcPr>
          <w:p w14:paraId="23C3736B">
            <w:pPr>
              <w:spacing w:line="337" w:lineRule="auto"/>
              <w:rPr>
                <w:rFonts w:ascii="Arial"/>
                <w:sz w:val="21"/>
              </w:rPr>
            </w:pPr>
          </w:p>
          <w:p w14:paraId="013750AC">
            <w:pPr>
              <w:pStyle w:val="6"/>
              <w:spacing w:before="58" w:line="183" w:lineRule="auto"/>
              <w:ind w:left="105"/>
              <w:rPr>
                <w:sz w:val="18"/>
                <w:szCs w:val="18"/>
              </w:rPr>
            </w:pPr>
            <w:r>
              <w:rPr>
                <w:spacing w:val="-1"/>
                <w:sz w:val="18"/>
                <w:szCs w:val="18"/>
              </w:rPr>
              <w:t>F250</w:t>
            </w:r>
          </w:p>
        </w:tc>
        <w:tc>
          <w:tcPr>
            <w:tcW w:w="570" w:type="dxa"/>
            <w:vAlign w:val="top"/>
          </w:tcPr>
          <w:p w14:paraId="2AA593CB">
            <w:pPr>
              <w:spacing w:line="337" w:lineRule="auto"/>
              <w:rPr>
                <w:rFonts w:ascii="Arial"/>
                <w:sz w:val="21"/>
              </w:rPr>
            </w:pPr>
          </w:p>
          <w:p w14:paraId="1FF95001">
            <w:pPr>
              <w:pStyle w:val="6"/>
              <w:spacing w:before="58" w:line="183" w:lineRule="auto"/>
              <w:ind w:left="95"/>
              <w:rPr>
                <w:sz w:val="18"/>
                <w:szCs w:val="18"/>
              </w:rPr>
            </w:pPr>
            <w:r>
              <w:rPr>
                <w:spacing w:val="-1"/>
                <w:sz w:val="18"/>
                <w:szCs w:val="18"/>
              </w:rPr>
              <w:t>F200</w:t>
            </w:r>
          </w:p>
        </w:tc>
        <w:tc>
          <w:tcPr>
            <w:tcW w:w="580" w:type="dxa"/>
            <w:vAlign w:val="top"/>
          </w:tcPr>
          <w:p w14:paraId="22BE5CAC">
            <w:pPr>
              <w:spacing w:line="336" w:lineRule="auto"/>
              <w:rPr>
                <w:rFonts w:ascii="Arial"/>
                <w:sz w:val="21"/>
              </w:rPr>
            </w:pPr>
          </w:p>
          <w:p w14:paraId="204ADFE9">
            <w:pPr>
              <w:pStyle w:val="6"/>
              <w:spacing w:before="58" w:line="184" w:lineRule="auto"/>
              <w:ind w:left="105"/>
              <w:rPr>
                <w:sz w:val="18"/>
                <w:szCs w:val="18"/>
              </w:rPr>
            </w:pPr>
            <w:r>
              <w:rPr>
                <w:spacing w:val="-1"/>
                <w:sz w:val="18"/>
                <w:szCs w:val="18"/>
              </w:rPr>
              <w:t>F150</w:t>
            </w:r>
          </w:p>
        </w:tc>
        <w:tc>
          <w:tcPr>
            <w:tcW w:w="640" w:type="dxa"/>
            <w:vAlign w:val="top"/>
          </w:tcPr>
          <w:p w14:paraId="3C82A8F5">
            <w:pPr>
              <w:spacing w:line="336" w:lineRule="auto"/>
              <w:rPr>
                <w:rFonts w:ascii="Arial"/>
                <w:sz w:val="21"/>
              </w:rPr>
            </w:pPr>
          </w:p>
          <w:p w14:paraId="66AB39F4">
            <w:pPr>
              <w:pStyle w:val="6"/>
              <w:spacing w:before="58" w:line="184" w:lineRule="auto"/>
              <w:ind w:left="135"/>
              <w:rPr>
                <w:sz w:val="18"/>
                <w:szCs w:val="18"/>
              </w:rPr>
            </w:pPr>
            <w:r>
              <w:rPr>
                <w:spacing w:val="-1"/>
                <w:sz w:val="18"/>
                <w:szCs w:val="18"/>
              </w:rPr>
              <w:t>F150</w:t>
            </w:r>
          </w:p>
        </w:tc>
        <w:tc>
          <w:tcPr>
            <w:tcW w:w="590" w:type="dxa"/>
            <w:tcBorders>
              <w:right w:val="nil"/>
            </w:tcBorders>
            <w:vAlign w:val="top"/>
          </w:tcPr>
          <w:p w14:paraId="4007F1EF">
            <w:pPr>
              <w:spacing w:line="337" w:lineRule="auto"/>
              <w:rPr>
                <w:rFonts w:ascii="Arial"/>
                <w:sz w:val="21"/>
              </w:rPr>
            </w:pPr>
          </w:p>
          <w:p w14:paraId="1BC54A0C">
            <w:pPr>
              <w:pStyle w:val="6"/>
              <w:spacing w:before="58" w:line="183" w:lineRule="auto"/>
              <w:ind w:left="155"/>
              <w:rPr>
                <w:sz w:val="18"/>
                <w:szCs w:val="18"/>
              </w:rPr>
            </w:pPr>
            <w:r>
              <w:rPr>
                <w:spacing w:val="-1"/>
                <w:sz w:val="18"/>
                <w:szCs w:val="18"/>
              </w:rPr>
              <w:t>F50</w:t>
            </w:r>
          </w:p>
        </w:tc>
      </w:tr>
      <w:tr w14:paraId="3411D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7" w:hRule="atLeast"/>
        </w:trPr>
        <w:tc>
          <w:tcPr>
            <w:tcW w:w="440" w:type="dxa"/>
            <w:tcBorders>
              <w:left w:val="nil"/>
            </w:tcBorders>
            <w:vAlign w:val="top"/>
          </w:tcPr>
          <w:p w14:paraId="1049E91E">
            <w:pPr>
              <w:spacing w:line="274" w:lineRule="auto"/>
              <w:rPr>
                <w:rFonts w:ascii="Arial"/>
                <w:sz w:val="21"/>
              </w:rPr>
            </w:pPr>
          </w:p>
          <w:p w14:paraId="74824D17">
            <w:pPr>
              <w:spacing w:line="275" w:lineRule="auto"/>
              <w:rPr>
                <w:rFonts w:ascii="Arial"/>
                <w:sz w:val="21"/>
              </w:rPr>
            </w:pPr>
          </w:p>
          <w:p w14:paraId="761DF5EF">
            <w:pPr>
              <w:pStyle w:val="6"/>
              <w:spacing w:before="58" w:line="241" w:lineRule="auto"/>
              <w:ind w:left="170"/>
              <w:rPr>
                <w:sz w:val="18"/>
                <w:szCs w:val="18"/>
              </w:rPr>
            </w:pPr>
            <w:r>
              <w:rPr>
                <w:sz w:val="18"/>
                <w:szCs w:val="18"/>
              </w:rPr>
              <w:t>4</w:t>
            </w:r>
          </w:p>
        </w:tc>
        <w:tc>
          <w:tcPr>
            <w:tcW w:w="4460" w:type="dxa"/>
            <w:vAlign w:val="top"/>
          </w:tcPr>
          <w:p w14:paraId="399430BC">
            <w:pPr>
              <w:pStyle w:val="6"/>
              <w:spacing w:before="123" w:line="219" w:lineRule="auto"/>
              <w:ind w:left="15"/>
              <w:rPr>
                <w:sz w:val="18"/>
                <w:szCs w:val="18"/>
              </w:rPr>
            </w:pPr>
            <w:r>
              <w:rPr>
                <w:spacing w:val="-1"/>
                <w:sz w:val="18"/>
                <w:szCs w:val="18"/>
              </w:rPr>
              <w:t>受冻较轻部位：</w:t>
            </w:r>
          </w:p>
          <w:p w14:paraId="621BE988">
            <w:pPr>
              <w:pStyle w:val="6"/>
              <w:spacing w:before="26" w:line="219" w:lineRule="auto"/>
              <w:ind w:left="15"/>
              <w:rPr>
                <w:sz w:val="18"/>
                <w:szCs w:val="18"/>
              </w:rPr>
            </w:pPr>
            <w:r>
              <w:rPr>
                <w:spacing w:val="5"/>
                <w:sz w:val="18"/>
                <w:szCs w:val="18"/>
              </w:rPr>
              <w:t>(1)混凝土坝外露的阳面部位；</w:t>
            </w:r>
          </w:p>
          <w:p w14:paraId="4A48BAC6">
            <w:pPr>
              <w:pStyle w:val="6"/>
              <w:spacing w:before="5" w:line="219" w:lineRule="auto"/>
              <w:ind w:left="15"/>
              <w:rPr>
                <w:sz w:val="18"/>
                <w:szCs w:val="18"/>
              </w:rPr>
            </w:pPr>
            <w:r>
              <w:rPr>
                <w:spacing w:val="5"/>
                <w:sz w:val="18"/>
                <w:szCs w:val="18"/>
              </w:rPr>
              <w:t>(2)冬季无水干燥的渠系建筑物；</w:t>
            </w:r>
          </w:p>
          <w:p w14:paraId="53EE77B2">
            <w:pPr>
              <w:pStyle w:val="6"/>
              <w:spacing w:before="47" w:line="219" w:lineRule="auto"/>
              <w:ind w:left="15"/>
              <w:rPr>
                <w:sz w:val="18"/>
                <w:szCs w:val="18"/>
              </w:rPr>
            </w:pPr>
            <w:r>
              <w:rPr>
                <w:spacing w:val="8"/>
                <w:sz w:val="18"/>
                <w:szCs w:val="18"/>
              </w:rPr>
              <w:t>(3)水下薄壁构件；</w:t>
            </w:r>
          </w:p>
          <w:p w14:paraId="7BF98456">
            <w:pPr>
              <w:pStyle w:val="6"/>
              <w:spacing w:before="6" w:line="219" w:lineRule="auto"/>
              <w:ind w:left="15"/>
              <w:rPr>
                <w:sz w:val="18"/>
                <w:szCs w:val="18"/>
              </w:rPr>
            </w:pPr>
            <w:r>
              <w:rPr>
                <w:sz w:val="18"/>
                <w:szCs w:val="18"/>
              </w:rPr>
              <w:t>(4)水下流速大于25m/s的过水面</w:t>
            </w:r>
          </w:p>
        </w:tc>
        <w:tc>
          <w:tcPr>
            <w:tcW w:w="590" w:type="dxa"/>
            <w:vAlign w:val="top"/>
          </w:tcPr>
          <w:p w14:paraId="46D49455">
            <w:pPr>
              <w:spacing w:line="288" w:lineRule="auto"/>
              <w:rPr>
                <w:rFonts w:ascii="Arial"/>
                <w:sz w:val="21"/>
              </w:rPr>
            </w:pPr>
          </w:p>
          <w:p w14:paraId="0043BB1A">
            <w:pPr>
              <w:spacing w:line="289" w:lineRule="auto"/>
              <w:rPr>
                <w:rFonts w:ascii="Arial"/>
                <w:sz w:val="21"/>
              </w:rPr>
            </w:pPr>
          </w:p>
          <w:p w14:paraId="295B3E21">
            <w:pPr>
              <w:pStyle w:val="6"/>
              <w:spacing w:before="59" w:line="183" w:lineRule="auto"/>
              <w:ind w:left="105"/>
              <w:rPr>
                <w:sz w:val="18"/>
                <w:szCs w:val="18"/>
              </w:rPr>
            </w:pPr>
            <w:r>
              <w:rPr>
                <w:spacing w:val="-1"/>
                <w:sz w:val="18"/>
                <w:szCs w:val="18"/>
              </w:rPr>
              <w:t>F200</w:t>
            </w:r>
          </w:p>
        </w:tc>
        <w:tc>
          <w:tcPr>
            <w:tcW w:w="570" w:type="dxa"/>
            <w:vAlign w:val="top"/>
          </w:tcPr>
          <w:p w14:paraId="7407E90A">
            <w:pPr>
              <w:spacing w:line="288" w:lineRule="auto"/>
              <w:rPr>
                <w:rFonts w:ascii="Arial"/>
                <w:sz w:val="21"/>
              </w:rPr>
            </w:pPr>
          </w:p>
          <w:p w14:paraId="1F9D2EC1">
            <w:pPr>
              <w:spacing w:line="288" w:lineRule="auto"/>
              <w:rPr>
                <w:rFonts w:ascii="Arial"/>
                <w:sz w:val="21"/>
              </w:rPr>
            </w:pPr>
          </w:p>
          <w:p w14:paraId="5FBA8CD0">
            <w:pPr>
              <w:pStyle w:val="6"/>
              <w:spacing w:before="59" w:line="184" w:lineRule="auto"/>
              <w:ind w:left="95"/>
              <w:rPr>
                <w:sz w:val="18"/>
                <w:szCs w:val="18"/>
              </w:rPr>
            </w:pPr>
            <w:r>
              <w:rPr>
                <w:spacing w:val="-1"/>
                <w:sz w:val="18"/>
                <w:szCs w:val="18"/>
              </w:rPr>
              <w:t>F150</w:t>
            </w:r>
          </w:p>
        </w:tc>
        <w:tc>
          <w:tcPr>
            <w:tcW w:w="580" w:type="dxa"/>
            <w:vAlign w:val="top"/>
          </w:tcPr>
          <w:p w14:paraId="6185EE56">
            <w:pPr>
              <w:spacing w:line="288" w:lineRule="auto"/>
              <w:rPr>
                <w:rFonts w:ascii="Arial"/>
                <w:sz w:val="21"/>
              </w:rPr>
            </w:pPr>
          </w:p>
          <w:p w14:paraId="65EC922F">
            <w:pPr>
              <w:spacing w:line="288" w:lineRule="auto"/>
              <w:rPr>
                <w:rFonts w:ascii="Arial"/>
                <w:sz w:val="21"/>
              </w:rPr>
            </w:pPr>
          </w:p>
          <w:p w14:paraId="40D00257">
            <w:pPr>
              <w:pStyle w:val="6"/>
              <w:spacing w:before="59" w:line="184" w:lineRule="auto"/>
              <w:ind w:left="105"/>
              <w:rPr>
                <w:sz w:val="18"/>
                <w:szCs w:val="18"/>
              </w:rPr>
            </w:pPr>
            <w:r>
              <w:rPr>
                <w:spacing w:val="-1"/>
                <w:sz w:val="18"/>
                <w:szCs w:val="18"/>
              </w:rPr>
              <w:t>F100</w:t>
            </w:r>
          </w:p>
        </w:tc>
        <w:tc>
          <w:tcPr>
            <w:tcW w:w="640" w:type="dxa"/>
            <w:vAlign w:val="top"/>
          </w:tcPr>
          <w:p w14:paraId="2BB2D3DF">
            <w:pPr>
              <w:spacing w:line="288" w:lineRule="auto"/>
              <w:rPr>
                <w:rFonts w:ascii="Arial"/>
                <w:sz w:val="21"/>
              </w:rPr>
            </w:pPr>
          </w:p>
          <w:p w14:paraId="20DC01AE">
            <w:pPr>
              <w:spacing w:line="288" w:lineRule="auto"/>
              <w:rPr>
                <w:rFonts w:ascii="Arial"/>
                <w:sz w:val="21"/>
              </w:rPr>
            </w:pPr>
          </w:p>
          <w:p w14:paraId="108E5396">
            <w:pPr>
              <w:pStyle w:val="6"/>
              <w:spacing w:before="59" w:line="184" w:lineRule="auto"/>
              <w:ind w:left="135"/>
              <w:rPr>
                <w:sz w:val="18"/>
                <w:szCs w:val="18"/>
              </w:rPr>
            </w:pPr>
            <w:r>
              <w:rPr>
                <w:spacing w:val="-1"/>
                <w:sz w:val="18"/>
                <w:szCs w:val="18"/>
              </w:rPr>
              <w:t>F100</w:t>
            </w:r>
          </w:p>
        </w:tc>
        <w:tc>
          <w:tcPr>
            <w:tcW w:w="590" w:type="dxa"/>
            <w:tcBorders>
              <w:right w:val="nil"/>
            </w:tcBorders>
            <w:vAlign w:val="top"/>
          </w:tcPr>
          <w:p w14:paraId="068D688B">
            <w:pPr>
              <w:spacing w:line="288" w:lineRule="auto"/>
              <w:rPr>
                <w:rFonts w:ascii="Arial"/>
                <w:sz w:val="21"/>
              </w:rPr>
            </w:pPr>
          </w:p>
          <w:p w14:paraId="002EC21A">
            <w:pPr>
              <w:spacing w:line="289" w:lineRule="auto"/>
              <w:rPr>
                <w:rFonts w:ascii="Arial"/>
                <w:sz w:val="21"/>
              </w:rPr>
            </w:pPr>
          </w:p>
          <w:p w14:paraId="0BF90229">
            <w:pPr>
              <w:pStyle w:val="6"/>
              <w:spacing w:before="59" w:line="183" w:lineRule="auto"/>
              <w:ind w:left="155"/>
              <w:rPr>
                <w:sz w:val="18"/>
                <w:szCs w:val="18"/>
              </w:rPr>
            </w:pPr>
            <w:r>
              <w:rPr>
                <w:spacing w:val="-1"/>
                <w:sz w:val="18"/>
                <w:szCs w:val="18"/>
              </w:rPr>
              <w:t>F50</w:t>
            </w:r>
          </w:p>
        </w:tc>
      </w:tr>
      <w:tr w14:paraId="536D2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440" w:type="dxa"/>
            <w:tcBorders>
              <w:left w:val="nil"/>
            </w:tcBorders>
            <w:vAlign w:val="top"/>
          </w:tcPr>
          <w:p w14:paraId="6836EB8E">
            <w:pPr>
              <w:pStyle w:val="6"/>
              <w:spacing w:before="133"/>
              <w:ind w:left="170"/>
              <w:rPr>
                <w:sz w:val="18"/>
                <w:szCs w:val="18"/>
              </w:rPr>
            </w:pPr>
            <w:r>
              <w:rPr>
                <w:sz w:val="18"/>
                <w:szCs w:val="18"/>
              </w:rPr>
              <w:t>5</w:t>
            </w:r>
          </w:p>
        </w:tc>
        <w:tc>
          <w:tcPr>
            <w:tcW w:w="4460" w:type="dxa"/>
            <w:vAlign w:val="top"/>
          </w:tcPr>
          <w:p w14:paraId="531B19BA">
            <w:pPr>
              <w:pStyle w:val="6"/>
              <w:spacing w:before="116" w:line="219" w:lineRule="auto"/>
              <w:ind w:left="15"/>
              <w:rPr>
                <w:sz w:val="18"/>
                <w:szCs w:val="18"/>
              </w:rPr>
            </w:pPr>
            <w:r>
              <w:rPr>
                <w:spacing w:val="-1"/>
                <w:sz w:val="18"/>
                <w:szCs w:val="18"/>
              </w:rPr>
              <w:t>表面不结冰和水下、土中、大体积内部的混凝土</w:t>
            </w:r>
          </w:p>
        </w:tc>
        <w:tc>
          <w:tcPr>
            <w:tcW w:w="2970" w:type="dxa"/>
            <w:gridSpan w:val="5"/>
            <w:tcBorders>
              <w:right w:val="nil"/>
            </w:tcBorders>
            <w:vAlign w:val="top"/>
          </w:tcPr>
          <w:p w14:paraId="7569CD85">
            <w:pPr>
              <w:pStyle w:val="6"/>
              <w:spacing w:before="162" w:line="183" w:lineRule="auto"/>
              <w:ind w:left="1295"/>
              <w:rPr>
                <w:sz w:val="18"/>
                <w:szCs w:val="18"/>
              </w:rPr>
            </w:pPr>
            <w:r>
              <w:rPr>
                <w:spacing w:val="-1"/>
                <w:sz w:val="18"/>
                <w:szCs w:val="18"/>
              </w:rPr>
              <w:t>F50</w:t>
            </w:r>
          </w:p>
        </w:tc>
      </w:tr>
    </w:tbl>
    <w:p w14:paraId="7926131C">
      <w:pPr>
        <w:spacing w:before="112" w:line="265" w:lineRule="auto"/>
        <w:ind w:left="2279" w:right="935" w:hanging="459"/>
        <w:rPr>
          <w:rFonts w:ascii="宋体" w:hAnsi="宋体" w:eastAsia="宋体" w:cs="宋体"/>
          <w:sz w:val="16"/>
          <w:szCs w:val="16"/>
        </w:rPr>
      </w:pPr>
      <w:r>
        <w:rPr>
          <w:rFonts w:ascii="宋体" w:hAnsi="宋体" w:eastAsia="宋体" w:cs="宋体"/>
          <w:spacing w:val="7"/>
          <w:sz w:val="16"/>
          <w:szCs w:val="16"/>
        </w:rPr>
        <w:t>注：1.年冻融循环次数分别按一年内气温从+3℃以上降至-3℃以下，然后回升到+3℃以上的交替次数和</w:t>
      </w:r>
      <w:r>
        <w:rPr>
          <w:rFonts w:ascii="宋体" w:hAnsi="宋体" w:eastAsia="宋体" w:cs="宋体"/>
          <w:spacing w:val="8"/>
          <w:sz w:val="16"/>
          <w:szCs w:val="16"/>
        </w:rPr>
        <w:t xml:space="preserve"> </w:t>
      </w:r>
      <w:r>
        <w:rPr>
          <w:rFonts w:ascii="宋体" w:hAnsi="宋体" w:eastAsia="宋体" w:cs="宋体"/>
          <w:spacing w:val="1"/>
          <w:sz w:val="16"/>
          <w:szCs w:val="16"/>
        </w:rPr>
        <w:t>一年中日平均气温低于-3℃期间设计预定水位的涨落次数统计，并取其中的大值。</w:t>
      </w:r>
    </w:p>
    <w:p w14:paraId="6039C90A">
      <w:pPr>
        <w:spacing w:line="219" w:lineRule="auto"/>
        <w:ind w:left="2120"/>
        <w:rPr>
          <w:rFonts w:ascii="宋体" w:hAnsi="宋体" w:eastAsia="宋体" w:cs="宋体"/>
          <w:sz w:val="16"/>
          <w:szCs w:val="16"/>
        </w:rPr>
      </w:pPr>
      <w:r>
        <w:rPr>
          <w:rFonts w:ascii="宋体" w:hAnsi="宋体" w:eastAsia="宋体" w:cs="宋体"/>
          <w:spacing w:val="-1"/>
          <w:sz w:val="16"/>
          <w:szCs w:val="16"/>
        </w:rPr>
        <w:t>2.气候分区划分标准如下：</w:t>
      </w:r>
    </w:p>
    <w:p w14:paraId="0C1650CD">
      <w:pPr>
        <w:spacing w:before="60" w:line="219" w:lineRule="auto"/>
        <w:ind w:left="2279"/>
        <w:rPr>
          <w:rFonts w:ascii="宋体" w:hAnsi="宋体" w:eastAsia="宋体" w:cs="宋体"/>
          <w:sz w:val="16"/>
          <w:szCs w:val="16"/>
        </w:rPr>
      </w:pPr>
      <w:r>
        <w:rPr>
          <w:rFonts w:ascii="宋体" w:hAnsi="宋体" w:eastAsia="宋体" w:cs="宋体"/>
          <w:spacing w:val="2"/>
          <w:sz w:val="16"/>
          <w:szCs w:val="16"/>
        </w:rPr>
        <w:t>严寒地区——累年最冷月平均气温低于-10℃的地区；</w:t>
      </w:r>
    </w:p>
    <w:p w14:paraId="3F4ED78C">
      <w:pPr>
        <w:spacing w:before="50" w:line="219" w:lineRule="auto"/>
        <w:ind w:left="2279"/>
        <w:rPr>
          <w:rFonts w:ascii="宋体" w:hAnsi="宋体" w:eastAsia="宋体" w:cs="宋体"/>
          <w:sz w:val="16"/>
          <w:szCs w:val="16"/>
        </w:rPr>
      </w:pPr>
      <w:r>
        <w:rPr>
          <w:rFonts w:ascii="宋体" w:hAnsi="宋体" w:eastAsia="宋体" w:cs="宋体"/>
          <w:spacing w:val="2"/>
          <w:sz w:val="16"/>
          <w:szCs w:val="16"/>
        </w:rPr>
        <w:t>寒冷地区——累年最冷月平均气温高于或等于-10℃、低于或等于-3℃的地区；</w:t>
      </w:r>
    </w:p>
    <w:p w14:paraId="710B84EE">
      <w:pPr>
        <w:spacing w:before="50" w:line="219" w:lineRule="auto"/>
        <w:ind w:left="2279"/>
        <w:rPr>
          <w:rFonts w:ascii="宋体" w:hAnsi="宋体" w:eastAsia="宋体" w:cs="宋体"/>
          <w:sz w:val="16"/>
          <w:szCs w:val="16"/>
        </w:rPr>
      </w:pPr>
      <w:r>
        <w:rPr>
          <w:rFonts w:ascii="宋体" w:hAnsi="宋体" w:eastAsia="宋体" w:cs="宋体"/>
          <w:spacing w:val="2"/>
          <w:sz w:val="16"/>
          <w:szCs w:val="16"/>
        </w:rPr>
        <w:t>温和地区——累年最冷月平均气温高于-3℃的地区。</w:t>
      </w:r>
    </w:p>
    <w:p w14:paraId="57CFF4ED">
      <w:pPr>
        <w:spacing w:before="39" w:line="254" w:lineRule="auto"/>
        <w:ind w:left="2279" w:right="868" w:hanging="159"/>
        <w:rPr>
          <w:rFonts w:ascii="宋体" w:hAnsi="宋体" w:eastAsia="宋体" w:cs="宋体"/>
          <w:sz w:val="16"/>
          <w:szCs w:val="16"/>
        </w:rPr>
      </w:pPr>
      <w:r>
        <w:rPr>
          <w:rFonts w:ascii="Times New Roman" w:hAnsi="Times New Roman" w:eastAsia="Times New Roman" w:cs="Times New Roman"/>
          <w:spacing w:val="4"/>
          <w:sz w:val="16"/>
          <w:szCs w:val="16"/>
        </w:rPr>
        <w:t xml:space="preserve">3. </w:t>
      </w:r>
      <w:r>
        <w:rPr>
          <w:rFonts w:ascii="宋体" w:hAnsi="宋体" w:eastAsia="宋体" w:cs="宋体"/>
          <w:spacing w:val="4"/>
          <w:sz w:val="16"/>
          <w:szCs w:val="16"/>
        </w:rPr>
        <w:t>冬季水位变化区指运行期内可能遇到的冬季最低水位以下0.5～1</w:t>
      </w:r>
      <w:r>
        <w:rPr>
          <w:rFonts w:ascii="Times New Roman" w:hAnsi="Times New Roman" w:eastAsia="Times New Roman" w:cs="Times New Roman"/>
          <w:spacing w:val="4"/>
          <w:sz w:val="16"/>
          <w:szCs w:val="16"/>
        </w:rPr>
        <w:t>m</w:t>
      </w:r>
      <w:r>
        <w:rPr>
          <w:rFonts w:ascii="Times New Roman" w:hAnsi="Times New Roman" w:eastAsia="Times New Roman" w:cs="Times New Roman"/>
          <w:spacing w:val="-13"/>
          <w:sz w:val="16"/>
          <w:szCs w:val="16"/>
        </w:rPr>
        <w:t xml:space="preserve"> </w:t>
      </w:r>
      <w:r>
        <w:rPr>
          <w:rFonts w:ascii="宋体" w:hAnsi="宋体" w:eastAsia="宋体" w:cs="宋体"/>
          <w:spacing w:val="4"/>
          <w:sz w:val="16"/>
          <w:szCs w:val="16"/>
        </w:rPr>
        <w:t>至冬季最高水位以上1</w:t>
      </w:r>
      <w:r>
        <w:rPr>
          <w:rFonts w:ascii="Times New Roman" w:hAnsi="Times New Roman" w:eastAsia="Times New Roman" w:cs="Times New Roman"/>
          <w:spacing w:val="4"/>
          <w:sz w:val="16"/>
          <w:szCs w:val="16"/>
        </w:rPr>
        <w:t xml:space="preserve">m </w:t>
      </w:r>
      <w:r>
        <w:rPr>
          <w:rFonts w:ascii="宋体" w:hAnsi="宋体" w:eastAsia="宋体" w:cs="宋体"/>
          <w:spacing w:val="4"/>
          <w:sz w:val="16"/>
          <w:szCs w:val="16"/>
        </w:rPr>
        <w:t>(阳面)、</w:t>
      </w:r>
      <w:r>
        <w:rPr>
          <w:rFonts w:ascii="宋体" w:hAnsi="宋体" w:eastAsia="宋体" w:cs="宋体"/>
          <w:sz w:val="16"/>
          <w:szCs w:val="16"/>
        </w:rPr>
        <w:t xml:space="preserve"> </w:t>
      </w:r>
      <w:r>
        <w:rPr>
          <w:rFonts w:ascii="Times New Roman" w:hAnsi="Times New Roman" w:eastAsia="Times New Roman" w:cs="Times New Roman"/>
          <w:spacing w:val="9"/>
          <w:sz w:val="16"/>
          <w:szCs w:val="16"/>
        </w:rPr>
        <w:t>2m</w:t>
      </w:r>
      <w:r>
        <w:rPr>
          <w:rFonts w:ascii="宋体" w:hAnsi="宋体" w:eastAsia="宋体" w:cs="宋体"/>
          <w:spacing w:val="9"/>
          <w:sz w:val="16"/>
          <w:szCs w:val="16"/>
        </w:rPr>
        <w:t>(阴面)、4</w:t>
      </w:r>
      <w:r>
        <w:rPr>
          <w:rFonts w:ascii="Times New Roman" w:hAnsi="Times New Roman" w:eastAsia="Times New Roman" w:cs="Times New Roman"/>
          <w:spacing w:val="9"/>
          <w:sz w:val="16"/>
          <w:szCs w:val="16"/>
        </w:rPr>
        <w:t xml:space="preserve">m </w:t>
      </w:r>
      <w:r>
        <w:rPr>
          <w:rFonts w:ascii="宋体" w:hAnsi="宋体" w:eastAsia="宋体" w:cs="宋体"/>
          <w:spacing w:val="9"/>
          <w:sz w:val="16"/>
          <w:szCs w:val="16"/>
        </w:rPr>
        <w:t>(水电站尾水区)的区域。</w:t>
      </w:r>
    </w:p>
    <w:p w14:paraId="77C47C85">
      <w:pPr>
        <w:spacing w:before="30" w:line="249" w:lineRule="auto"/>
        <w:ind w:left="2279" w:right="868" w:hanging="159"/>
        <w:rPr>
          <w:rFonts w:ascii="宋体" w:hAnsi="宋体" w:eastAsia="宋体" w:cs="宋体"/>
          <w:sz w:val="16"/>
          <w:szCs w:val="16"/>
        </w:rPr>
      </w:pPr>
      <w:r>
        <w:rPr>
          <w:rFonts w:ascii="Times New Roman" w:hAnsi="Times New Roman" w:eastAsia="Times New Roman" w:cs="Times New Roman"/>
          <w:spacing w:val="3"/>
          <w:sz w:val="16"/>
          <w:szCs w:val="16"/>
        </w:rPr>
        <w:t>4.</w:t>
      </w:r>
      <w:r>
        <w:rPr>
          <w:rFonts w:ascii="宋体" w:hAnsi="宋体" w:eastAsia="宋体" w:cs="宋体"/>
          <w:spacing w:val="3"/>
          <w:sz w:val="16"/>
          <w:szCs w:val="16"/>
        </w:rPr>
        <w:t>阳面指冬季大多为晴天，平均每天有4</w:t>
      </w:r>
      <w:r>
        <w:rPr>
          <w:rFonts w:ascii="Times New Roman" w:hAnsi="Times New Roman" w:eastAsia="Times New Roman" w:cs="Times New Roman"/>
          <w:spacing w:val="3"/>
          <w:sz w:val="16"/>
          <w:szCs w:val="16"/>
        </w:rPr>
        <w:t>h</w:t>
      </w:r>
      <w:r>
        <w:rPr>
          <w:rFonts w:ascii="宋体" w:hAnsi="宋体" w:eastAsia="宋体" w:cs="宋体"/>
          <w:spacing w:val="3"/>
          <w:sz w:val="16"/>
          <w:szCs w:val="16"/>
        </w:rPr>
        <w:t>阳光照射，不受山体或建筑物遮挡的表面。当不满足条件时，</w:t>
      </w:r>
      <w:r>
        <w:rPr>
          <w:rFonts w:ascii="宋体" w:hAnsi="宋体" w:eastAsia="宋体" w:cs="宋体"/>
          <w:spacing w:val="17"/>
          <w:sz w:val="16"/>
          <w:szCs w:val="16"/>
        </w:rPr>
        <w:t xml:space="preserve"> </w:t>
      </w:r>
      <w:r>
        <w:rPr>
          <w:rFonts w:ascii="宋体" w:hAnsi="宋体" w:eastAsia="宋体" w:cs="宋体"/>
          <w:sz w:val="16"/>
          <w:szCs w:val="16"/>
        </w:rPr>
        <w:t>均为阴面。</w:t>
      </w:r>
    </w:p>
    <w:p w14:paraId="15AB2C4E">
      <w:pPr>
        <w:spacing w:before="68" w:line="219" w:lineRule="auto"/>
        <w:ind w:left="2120"/>
        <w:rPr>
          <w:rFonts w:ascii="宋体" w:hAnsi="宋体" w:eastAsia="宋体" w:cs="宋体"/>
          <w:sz w:val="16"/>
          <w:szCs w:val="16"/>
        </w:rPr>
      </w:pPr>
      <w:r>
        <w:rPr>
          <w:rFonts w:ascii="宋体" w:hAnsi="宋体" w:eastAsia="宋体" w:cs="宋体"/>
          <w:spacing w:val="1"/>
          <w:sz w:val="16"/>
          <w:szCs w:val="16"/>
        </w:rPr>
        <w:t>5.累年最冷月平均气温低于-25℃地区的混凝土抗冻等级根据</w:t>
      </w:r>
      <w:r>
        <w:rPr>
          <w:rFonts w:ascii="宋体" w:hAnsi="宋体" w:eastAsia="宋体" w:cs="宋体"/>
          <w:sz w:val="16"/>
          <w:szCs w:val="16"/>
        </w:rPr>
        <w:t>具体情况研究确定。</w:t>
      </w:r>
    </w:p>
    <w:p w14:paraId="1379AB1C">
      <w:pPr>
        <w:spacing w:before="271" w:line="222" w:lineRule="auto"/>
        <w:ind w:left="1893"/>
        <w:rPr>
          <w:rFonts w:ascii="黑体" w:hAnsi="黑体" w:eastAsia="黑体" w:cs="黑体"/>
          <w:sz w:val="22"/>
          <w:szCs w:val="22"/>
        </w:rPr>
      </w:pPr>
      <w:r>
        <w:rPr>
          <w:rFonts w:ascii="黑体" w:hAnsi="黑体" w:eastAsia="黑体" w:cs="黑体"/>
          <w:b/>
          <w:bCs/>
          <w:color w:val="307090"/>
          <w:spacing w:val="4"/>
          <w:sz w:val="22"/>
          <w:szCs w:val="22"/>
        </w:rPr>
        <w:t>4)有关材料要求</w:t>
      </w:r>
    </w:p>
    <w:p w14:paraId="6E0579A5">
      <w:pPr>
        <w:spacing w:before="38" w:line="268" w:lineRule="auto"/>
        <w:ind w:left="1469" w:right="959" w:firstLine="420"/>
        <w:rPr>
          <w:rFonts w:ascii="宋体" w:hAnsi="宋体" w:eastAsia="宋体" w:cs="宋体"/>
          <w:sz w:val="22"/>
          <w:szCs w:val="22"/>
        </w:rPr>
      </w:pPr>
      <w:r>
        <w:rPr>
          <w:rFonts w:ascii="宋体" w:hAnsi="宋体" w:eastAsia="宋体" w:cs="宋体"/>
          <w:spacing w:val="-7"/>
          <w:sz w:val="22"/>
          <w:szCs w:val="22"/>
        </w:rPr>
        <w:t>水利水电工程建筑物材料应根据其所处的环境条件和合理使用年限确定。在满足</w:t>
      </w:r>
      <w:r>
        <w:rPr>
          <w:rFonts w:ascii="宋体" w:hAnsi="宋体" w:eastAsia="宋体" w:cs="宋体"/>
          <w:spacing w:val="3"/>
          <w:sz w:val="22"/>
          <w:szCs w:val="22"/>
        </w:rPr>
        <w:t xml:space="preserve"> </w:t>
      </w:r>
      <w:r>
        <w:rPr>
          <w:rFonts w:ascii="宋体" w:hAnsi="宋体" w:eastAsia="宋体" w:cs="宋体"/>
          <w:spacing w:val="-13"/>
          <w:sz w:val="22"/>
          <w:szCs w:val="22"/>
        </w:rPr>
        <w:t>稳定、强度、变形、渗流等要求外，还应符合耐久性要求。</w:t>
      </w:r>
    </w:p>
    <w:p w14:paraId="28F2D9D9">
      <w:pPr>
        <w:spacing w:before="1" w:line="248" w:lineRule="auto"/>
        <w:ind w:left="1479" w:right="938" w:firstLine="410"/>
        <w:rPr>
          <w:rFonts w:ascii="宋体" w:hAnsi="宋体" w:eastAsia="宋体" w:cs="宋体"/>
          <w:sz w:val="22"/>
          <w:szCs w:val="22"/>
        </w:rPr>
      </w:pPr>
      <w:r>
        <w:rPr>
          <w:rFonts w:ascii="宋体" w:hAnsi="宋体" w:eastAsia="宋体" w:cs="宋体"/>
          <w:spacing w:val="6"/>
          <w:sz w:val="22"/>
          <w:szCs w:val="22"/>
        </w:rPr>
        <w:t>对于合理使用年限为50年的水工结构，配筋混凝土耐久性的基本要求宜符合</w:t>
      </w:r>
      <w:r>
        <w:rPr>
          <w:rFonts w:ascii="宋体" w:hAnsi="宋体" w:eastAsia="宋体" w:cs="宋体"/>
          <w:spacing w:val="14"/>
          <w:sz w:val="22"/>
          <w:szCs w:val="22"/>
        </w:rPr>
        <w:t xml:space="preserve"> </w:t>
      </w:r>
      <w:r>
        <w:rPr>
          <w:rFonts w:ascii="宋体" w:hAnsi="宋体" w:eastAsia="宋体" w:cs="宋体"/>
          <w:spacing w:val="-4"/>
          <w:sz w:val="22"/>
          <w:szCs w:val="22"/>
        </w:rPr>
        <w:t>表1.2-18的要求。</w:t>
      </w:r>
    </w:p>
    <w:p w14:paraId="3D4C7F53">
      <w:pPr>
        <w:spacing w:before="214" w:line="219" w:lineRule="auto"/>
        <w:ind w:left="3852"/>
        <w:rPr>
          <w:rFonts w:ascii="宋体" w:hAnsi="宋体" w:eastAsia="宋体" w:cs="宋体"/>
          <w:sz w:val="19"/>
          <w:szCs w:val="19"/>
        </w:rPr>
      </w:pPr>
      <w:r>
        <w:rPr>
          <w:rFonts w:ascii="宋体" w:hAnsi="宋体" w:eastAsia="宋体" w:cs="宋体"/>
          <w:b/>
          <w:bCs/>
          <w:spacing w:val="-3"/>
          <w:sz w:val="19"/>
          <w:szCs w:val="19"/>
        </w:rPr>
        <w:t>表1.2-18配筋混凝土耐久性基本要求</w:t>
      </w:r>
    </w:p>
    <w:p w14:paraId="5404AEE0">
      <w:pPr>
        <w:spacing w:line="46" w:lineRule="exact"/>
      </w:pPr>
    </w:p>
    <w:tbl>
      <w:tblPr>
        <w:tblStyle w:val="5"/>
        <w:tblW w:w="7850" w:type="dxa"/>
        <w:tblInd w:w="1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1400"/>
        <w:gridCol w:w="1390"/>
        <w:gridCol w:w="1400"/>
        <w:gridCol w:w="1390"/>
        <w:gridCol w:w="1430"/>
      </w:tblGrid>
      <w:tr w14:paraId="60847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40" w:type="dxa"/>
            <w:tcBorders>
              <w:left w:val="nil"/>
            </w:tcBorders>
            <w:vAlign w:val="top"/>
          </w:tcPr>
          <w:p w14:paraId="0B788DC1">
            <w:pPr>
              <w:pStyle w:val="6"/>
              <w:spacing w:before="202" w:line="219" w:lineRule="auto"/>
              <w:ind w:left="79"/>
              <w:rPr>
                <w:sz w:val="17"/>
                <w:szCs w:val="17"/>
              </w:rPr>
            </w:pPr>
            <w:r>
              <w:rPr>
                <w:spacing w:val="3"/>
                <w:sz w:val="17"/>
                <w:szCs w:val="17"/>
              </w:rPr>
              <w:t>环境类别</w:t>
            </w:r>
          </w:p>
        </w:tc>
        <w:tc>
          <w:tcPr>
            <w:tcW w:w="1400" w:type="dxa"/>
            <w:vAlign w:val="top"/>
          </w:tcPr>
          <w:p w14:paraId="6DA9E5F4">
            <w:pPr>
              <w:pStyle w:val="6"/>
              <w:spacing w:before="62" w:line="266" w:lineRule="auto"/>
              <w:ind w:left="354" w:right="283" w:hanging="89"/>
              <w:rPr>
                <w:sz w:val="17"/>
                <w:szCs w:val="17"/>
              </w:rPr>
            </w:pPr>
            <w:r>
              <w:rPr>
                <w:spacing w:val="-2"/>
                <w:sz w:val="17"/>
                <w:szCs w:val="17"/>
              </w:rPr>
              <w:t>混凝土最低</w:t>
            </w:r>
            <w:r>
              <w:rPr>
                <w:sz w:val="17"/>
                <w:szCs w:val="17"/>
              </w:rPr>
              <w:t xml:space="preserve"> </w:t>
            </w:r>
            <w:r>
              <w:rPr>
                <w:spacing w:val="2"/>
                <w:sz w:val="17"/>
                <w:szCs w:val="17"/>
              </w:rPr>
              <w:t>强度等级</w:t>
            </w:r>
          </w:p>
        </w:tc>
        <w:tc>
          <w:tcPr>
            <w:tcW w:w="1390" w:type="dxa"/>
            <w:vAlign w:val="top"/>
          </w:tcPr>
          <w:p w14:paraId="29946EF0">
            <w:pPr>
              <w:pStyle w:val="6"/>
              <w:spacing w:before="62" w:line="219" w:lineRule="auto"/>
              <w:ind w:left="175"/>
              <w:rPr>
                <w:sz w:val="17"/>
                <w:szCs w:val="17"/>
              </w:rPr>
            </w:pPr>
            <w:r>
              <w:rPr>
                <w:spacing w:val="-2"/>
                <w:sz w:val="17"/>
                <w:szCs w:val="17"/>
              </w:rPr>
              <w:t>最小水泥用量</w:t>
            </w:r>
          </w:p>
          <w:p w14:paraId="2B705FD5">
            <w:pPr>
              <w:pStyle w:val="6"/>
              <w:spacing w:before="32" w:line="214" w:lineRule="auto"/>
              <w:ind w:left="345"/>
              <w:rPr>
                <w:sz w:val="17"/>
                <w:szCs w:val="17"/>
              </w:rPr>
            </w:pPr>
            <w:r>
              <w:rPr>
                <w:spacing w:val="-5"/>
                <w:sz w:val="17"/>
                <w:szCs w:val="17"/>
              </w:rPr>
              <w:t>(kg/m³)</w:t>
            </w:r>
          </w:p>
        </w:tc>
        <w:tc>
          <w:tcPr>
            <w:tcW w:w="1400" w:type="dxa"/>
            <w:vAlign w:val="top"/>
          </w:tcPr>
          <w:p w14:paraId="283FCDBA">
            <w:pPr>
              <w:pStyle w:val="6"/>
              <w:spacing w:before="202" w:line="219" w:lineRule="auto"/>
              <w:ind w:left="265"/>
              <w:rPr>
                <w:sz w:val="17"/>
                <w:szCs w:val="17"/>
              </w:rPr>
            </w:pPr>
            <w:r>
              <w:rPr>
                <w:spacing w:val="-2"/>
                <w:sz w:val="17"/>
                <w:szCs w:val="17"/>
              </w:rPr>
              <w:t>最大水胶比</w:t>
            </w:r>
          </w:p>
        </w:tc>
        <w:tc>
          <w:tcPr>
            <w:tcW w:w="1390" w:type="dxa"/>
            <w:vAlign w:val="top"/>
          </w:tcPr>
          <w:p w14:paraId="307CB73B">
            <w:pPr>
              <w:pStyle w:val="6"/>
              <w:spacing w:before="82" w:line="219" w:lineRule="auto"/>
              <w:ind w:left="94"/>
              <w:rPr>
                <w:sz w:val="17"/>
                <w:szCs w:val="17"/>
              </w:rPr>
            </w:pPr>
            <w:r>
              <w:rPr>
                <w:spacing w:val="-2"/>
                <w:sz w:val="17"/>
                <w:szCs w:val="17"/>
              </w:rPr>
              <w:t>最大氯离子含量</w:t>
            </w:r>
          </w:p>
          <w:p w14:paraId="047D174B">
            <w:pPr>
              <w:pStyle w:val="6"/>
              <w:spacing w:before="30" w:line="222" w:lineRule="auto"/>
              <w:ind w:left="555"/>
              <w:rPr>
                <w:sz w:val="17"/>
                <w:szCs w:val="17"/>
              </w:rPr>
            </w:pPr>
            <w:r>
              <w:rPr>
                <w:spacing w:val="-9"/>
                <w:sz w:val="17"/>
                <w:szCs w:val="17"/>
              </w:rPr>
              <w:t>(%)</w:t>
            </w:r>
          </w:p>
        </w:tc>
        <w:tc>
          <w:tcPr>
            <w:tcW w:w="1430" w:type="dxa"/>
            <w:tcBorders>
              <w:right w:val="nil"/>
            </w:tcBorders>
            <w:vAlign w:val="top"/>
          </w:tcPr>
          <w:p w14:paraId="679E5724">
            <w:pPr>
              <w:pStyle w:val="6"/>
              <w:spacing w:before="82" w:line="219" w:lineRule="auto"/>
              <w:ind w:left="284"/>
              <w:rPr>
                <w:sz w:val="17"/>
                <w:szCs w:val="17"/>
              </w:rPr>
            </w:pPr>
            <w:r>
              <w:rPr>
                <w:spacing w:val="-2"/>
                <w:sz w:val="17"/>
                <w:szCs w:val="17"/>
              </w:rPr>
              <w:t>最大碱含量</w:t>
            </w:r>
          </w:p>
          <w:p w14:paraId="16083EF7">
            <w:pPr>
              <w:pStyle w:val="6"/>
              <w:spacing w:before="2" w:line="214" w:lineRule="auto"/>
              <w:ind w:left="365"/>
              <w:rPr>
                <w:sz w:val="17"/>
                <w:szCs w:val="17"/>
              </w:rPr>
            </w:pPr>
            <w:r>
              <w:rPr>
                <w:spacing w:val="-5"/>
                <w:sz w:val="17"/>
                <w:szCs w:val="17"/>
              </w:rPr>
              <w:t>(kg/m³)</w:t>
            </w:r>
          </w:p>
        </w:tc>
      </w:tr>
      <w:tr w14:paraId="1DE59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40" w:type="dxa"/>
            <w:tcBorders>
              <w:left w:val="nil"/>
            </w:tcBorders>
            <w:vAlign w:val="top"/>
          </w:tcPr>
          <w:p w14:paraId="36658593">
            <w:pPr>
              <w:pStyle w:val="6"/>
              <w:spacing w:before="190" w:line="132" w:lineRule="exact"/>
              <w:ind w:left="330"/>
              <w:rPr>
                <w:sz w:val="17"/>
                <w:szCs w:val="17"/>
              </w:rPr>
            </w:pPr>
            <w:r>
              <w:rPr>
                <w:position w:val="-3"/>
                <w:sz w:val="17"/>
                <w:szCs w:val="17"/>
              </w:rPr>
              <w:t>一</w:t>
            </w:r>
          </w:p>
        </w:tc>
        <w:tc>
          <w:tcPr>
            <w:tcW w:w="1400" w:type="dxa"/>
            <w:vAlign w:val="top"/>
          </w:tcPr>
          <w:p w14:paraId="3F63DC66">
            <w:pPr>
              <w:pStyle w:val="6"/>
              <w:spacing w:before="153" w:line="183" w:lineRule="auto"/>
              <w:ind w:left="565"/>
              <w:rPr>
                <w:sz w:val="17"/>
                <w:szCs w:val="17"/>
              </w:rPr>
            </w:pPr>
            <w:r>
              <w:rPr>
                <w:spacing w:val="-2"/>
                <w:sz w:val="17"/>
                <w:szCs w:val="17"/>
              </w:rPr>
              <w:t>C20</w:t>
            </w:r>
          </w:p>
        </w:tc>
        <w:tc>
          <w:tcPr>
            <w:tcW w:w="1390" w:type="dxa"/>
            <w:vAlign w:val="top"/>
          </w:tcPr>
          <w:p w14:paraId="71BEE4D3">
            <w:pPr>
              <w:pStyle w:val="6"/>
              <w:spacing w:before="126"/>
              <w:ind w:left="555"/>
              <w:rPr>
                <w:sz w:val="17"/>
                <w:szCs w:val="17"/>
              </w:rPr>
            </w:pPr>
            <w:r>
              <w:rPr>
                <w:spacing w:val="-2"/>
                <w:sz w:val="17"/>
                <w:szCs w:val="17"/>
              </w:rPr>
              <w:t>220</w:t>
            </w:r>
          </w:p>
        </w:tc>
        <w:tc>
          <w:tcPr>
            <w:tcW w:w="1400" w:type="dxa"/>
            <w:vAlign w:val="top"/>
          </w:tcPr>
          <w:p w14:paraId="04AD99BF">
            <w:pPr>
              <w:pStyle w:val="6"/>
              <w:spacing w:before="126" w:line="239" w:lineRule="auto"/>
              <w:ind w:left="565"/>
              <w:rPr>
                <w:sz w:val="17"/>
                <w:szCs w:val="17"/>
              </w:rPr>
            </w:pPr>
            <w:r>
              <w:rPr>
                <w:spacing w:val="-2"/>
                <w:sz w:val="17"/>
                <w:szCs w:val="17"/>
              </w:rPr>
              <w:t>0.6</w:t>
            </w:r>
          </w:p>
        </w:tc>
        <w:tc>
          <w:tcPr>
            <w:tcW w:w="1390" w:type="dxa"/>
            <w:vAlign w:val="top"/>
          </w:tcPr>
          <w:p w14:paraId="53FF2703">
            <w:pPr>
              <w:pStyle w:val="6"/>
              <w:spacing w:before="126" w:line="241" w:lineRule="auto"/>
              <w:ind w:left="645"/>
              <w:rPr>
                <w:sz w:val="17"/>
                <w:szCs w:val="17"/>
              </w:rPr>
            </w:pPr>
            <w:r>
              <w:rPr>
                <w:sz w:val="17"/>
                <w:szCs w:val="17"/>
              </w:rPr>
              <w:t>1</w:t>
            </w:r>
          </w:p>
        </w:tc>
        <w:tc>
          <w:tcPr>
            <w:tcW w:w="1430" w:type="dxa"/>
            <w:tcBorders>
              <w:right w:val="nil"/>
            </w:tcBorders>
            <w:vAlign w:val="top"/>
          </w:tcPr>
          <w:p w14:paraId="4D5457E6">
            <w:pPr>
              <w:pStyle w:val="6"/>
              <w:spacing w:before="110" w:line="220" w:lineRule="auto"/>
              <w:ind w:left="455"/>
              <w:rPr>
                <w:sz w:val="17"/>
                <w:szCs w:val="17"/>
              </w:rPr>
            </w:pPr>
            <w:r>
              <w:rPr>
                <w:spacing w:val="4"/>
                <w:sz w:val="17"/>
                <w:szCs w:val="17"/>
              </w:rPr>
              <w:t>不限制</w:t>
            </w:r>
          </w:p>
        </w:tc>
      </w:tr>
      <w:tr w14:paraId="1286F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40" w:type="dxa"/>
            <w:tcBorders>
              <w:left w:val="nil"/>
            </w:tcBorders>
            <w:vAlign w:val="top"/>
          </w:tcPr>
          <w:p w14:paraId="07FBE5E6">
            <w:pPr>
              <w:pStyle w:val="6"/>
              <w:spacing w:before="153" w:line="178" w:lineRule="auto"/>
              <w:ind w:left="300"/>
              <w:rPr>
                <w:sz w:val="24"/>
                <w:szCs w:val="24"/>
              </w:rPr>
            </w:pPr>
            <w:r>
              <w:rPr>
                <w:sz w:val="24"/>
                <w:szCs w:val="24"/>
              </w:rPr>
              <w:t>二</w:t>
            </w:r>
          </w:p>
        </w:tc>
        <w:tc>
          <w:tcPr>
            <w:tcW w:w="1400" w:type="dxa"/>
            <w:vAlign w:val="top"/>
          </w:tcPr>
          <w:p w14:paraId="17DC19B0">
            <w:pPr>
              <w:pStyle w:val="6"/>
              <w:spacing w:before="165" w:line="183" w:lineRule="auto"/>
              <w:ind w:left="565"/>
              <w:rPr>
                <w:sz w:val="17"/>
                <w:szCs w:val="17"/>
              </w:rPr>
            </w:pPr>
            <w:r>
              <w:rPr>
                <w:spacing w:val="-2"/>
                <w:sz w:val="17"/>
                <w:szCs w:val="17"/>
              </w:rPr>
              <w:t>C25</w:t>
            </w:r>
          </w:p>
        </w:tc>
        <w:tc>
          <w:tcPr>
            <w:tcW w:w="1390" w:type="dxa"/>
            <w:vAlign w:val="top"/>
          </w:tcPr>
          <w:p w14:paraId="48D71116">
            <w:pPr>
              <w:pStyle w:val="6"/>
              <w:spacing w:before="138"/>
              <w:ind w:left="555"/>
              <w:rPr>
                <w:sz w:val="17"/>
                <w:szCs w:val="17"/>
              </w:rPr>
            </w:pPr>
            <w:r>
              <w:rPr>
                <w:spacing w:val="-2"/>
                <w:sz w:val="17"/>
                <w:szCs w:val="17"/>
              </w:rPr>
              <w:t>260</w:t>
            </w:r>
          </w:p>
        </w:tc>
        <w:tc>
          <w:tcPr>
            <w:tcW w:w="1400" w:type="dxa"/>
            <w:vAlign w:val="top"/>
          </w:tcPr>
          <w:p w14:paraId="1FDDC9B4">
            <w:pPr>
              <w:pStyle w:val="6"/>
              <w:spacing w:before="138" w:line="239" w:lineRule="auto"/>
              <w:ind w:left="524"/>
              <w:rPr>
                <w:sz w:val="17"/>
                <w:szCs w:val="17"/>
              </w:rPr>
            </w:pPr>
            <w:r>
              <w:rPr>
                <w:spacing w:val="-2"/>
                <w:sz w:val="17"/>
                <w:szCs w:val="17"/>
              </w:rPr>
              <w:t>0.55</w:t>
            </w:r>
          </w:p>
        </w:tc>
        <w:tc>
          <w:tcPr>
            <w:tcW w:w="1390" w:type="dxa"/>
            <w:vAlign w:val="top"/>
          </w:tcPr>
          <w:p w14:paraId="2A2D96EE">
            <w:pPr>
              <w:pStyle w:val="6"/>
              <w:spacing w:before="138" w:line="239" w:lineRule="auto"/>
              <w:ind w:left="555"/>
              <w:rPr>
                <w:sz w:val="17"/>
                <w:szCs w:val="17"/>
              </w:rPr>
            </w:pPr>
            <w:r>
              <w:rPr>
                <w:spacing w:val="-2"/>
                <w:sz w:val="17"/>
                <w:szCs w:val="17"/>
              </w:rPr>
              <w:t>0.3</w:t>
            </w:r>
          </w:p>
        </w:tc>
        <w:tc>
          <w:tcPr>
            <w:tcW w:w="1430" w:type="dxa"/>
            <w:tcBorders>
              <w:right w:val="nil"/>
            </w:tcBorders>
            <w:vAlign w:val="top"/>
          </w:tcPr>
          <w:p w14:paraId="7EBF80A2">
            <w:pPr>
              <w:pStyle w:val="6"/>
              <w:spacing w:before="138"/>
              <w:ind w:left="665"/>
              <w:rPr>
                <w:sz w:val="17"/>
                <w:szCs w:val="17"/>
              </w:rPr>
            </w:pPr>
            <w:r>
              <w:rPr>
                <w:sz w:val="17"/>
                <w:szCs w:val="17"/>
              </w:rPr>
              <w:t>3</w:t>
            </w:r>
          </w:p>
        </w:tc>
      </w:tr>
      <w:tr w14:paraId="23D06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40" w:type="dxa"/>
            <w:tcBorders>
              <w:left w:val="nil"/>
            </w:tcBorders>
            <w:vAlign w:val="top"/>
          </w:tcPr>
          <w:p w14:paraId="38D2F23D">
            <w:pPr>
              <w:pStyle w:val="6"/>
              <w:spacing w:before="108" w:line="218" w:lineRule="auto"/>
              <w:ind w:left="300"/>
              <w:rPr>
                <w:sz w:val="24"/>
                <w:szCs w:val="24"/>
              </w:rPr>
            </w:pPr>
            <w:r>
              <w:rPr>
                <w:sz w:val="24"/>
                <w:szCs w:val="24"/>
              </w:rPr>
              <w:t>三</w:t>
            </w:r>
          </w:p>
        </w:tc>
        <w:tc>
          <w:tcPr>
            <w:tcW w:w="1400" w:type="dxa"/>
            <w:vAlign w:val="top"/>
          </w:tcPr>
          <w:p w14:paraId="2FCF7BF3">
            <w:pPr>
              <w:pStyle w:val="6"/>
              <w:spacing w:before="167" w:line="183" w:lineRule="auto"/>
              <w:ind w:left="565"/>
              <w:rPr>
                <w:sz w:val="17"/>
                <w:szCs w:val="17"/>
              </w:rPr>
            </w:pPr>
            <w:r>
              <w:rPr>
                <w:spacing w:val="-2"/>
                <w:sz w:val="17"/>
                <w:szCs w:val="17"/>
              </w:rPr>
              <w:t>C25</w:t>
            </w:r>
          </w:p>
        </w:tc>
        <w:tc>
          <w:tcPr>
            <w:tcW w:w="1390" w:type="dxa"/>
            <w:vAlign w:val="top"/>
          </w:tcPr>
          <w:p w14:paraId="6746D9B2">
            <w:pPr>
              <w:pStyle w:val="6"/>
              <w:spacing w:before="140"/>
              <w:ind w:left="555"/>
              <w:rPr>
                <w:sz w:val="17"/>
                <w:szCs w:val="17"/>
              </w:rPr>
            </w:pPr>
            <w:r>
              <w:rPr>
                <w:spacing w:val="-3"/>
                <w:sz w:val="17"/>
                <w:szCs w:val="17"/>
              </w:rPr>
              <w:t>300</w:t>
            </w:r>
          </w:p>
        </w:tc>
        <w:tc>
          <w:tcPr>
            <w:tcW w:w="1400" w:type="dxa"/>
            <w:vAlign w:val="top"/>
          </w:tcPr>
          <w:p w14:paraId="6459B542">
            <w:pPr>
              <w:pStyle w:val="6"/>
              <w:spacing w:before="140" w:line="239" w:lineRule="auto"/>
              <w:ind w:left="565"/>
              <w:rPr>
                <w:sz w:val="17"/>
                <w:szCs w:val="17"/>
              </w:rPr>
            </w:pPr>
            <w:r>
              <w:rPr>
                <w:spacing w:val="-2"/>
                <w:sz w:val="17"/>
                <w:szCs w:val="17"/>
              </w:rPr>
              <w:t>0.5</w:t>
            </w:r>
          </w:p>
        </w:tc>
        <w:tc>
          <w:tcPr>
            <w:tcW w:w="1390" w:type="dxa"/>
            <w:vAlign w:val="top"/>
          </w:tcPr>
          <w:p w14:paraId="5FC5B38F">
            <w:pPr>
              <w:pStyle w:val="6"/>
              <w:spacing w:before="140" w:line="239" w:lineRule="auto"/>
              <w:ind w:left="555"/>
              <w:rPr>
                <w:sz w:val="17"/>
                <w:szCs w:val="17"/>
              </w:rPr>
            </w:pPr>
            <w:r>
              <w:rPr>
                <w:spacing w:val="-2"/>
                <w:sz w:val="17"/>
                <w:szCs w:val="17"/>
              </w:rPr>
              <w:t>0.2</w:t>
            </w:r>
          </w:p>
        </w:tc>
        <w:tc>
          <w:tcPr>
            <w:tcW w:w="1430" w:type="dxa"/>
            <w:tcBorders>
              <w:right w:val="nil"/>
            </w:tcBorders>
            <w:vAlign w:val="top"/>
          </w:tcPr>
          <w:p w14:paraId="58083B5B">
            <w:pPr>
              <w:pStyle w:val="6"/>
              <w:spacing w:before="140"/>
              <w:ind w:left="665"/>
              <w:rPr>
                <w:sz w:val="17"/>
                <w:szCs w:val="17"/>
              </w:rPr>
            </w:pPr>
            <w:r>
              <w:rPr>
                <w:sz w:val="17"/>
                <w:szCs w:val="17"/>
              </w:rPr>
              <w:t>3</w:t>
            </w:r>
          </w:p>
        </w:tc>
      </w:tr>
    </w:tbl>
    <w:p w14:paraId="322258CA">
      <w:pPr>
        <w:pStyle w:val="2"/>
        <w:spacing w:line="267" w:lineRule="auto"/>
      </w:pPr>
    </w:p>
    <w:p w14:paraId="6D41AA76">
      <w:pPr>
        <w:spacing w:line="190" w:lineRule="auto"/>
        <w:rPr>
          <w:rFonts w:ascii="宋体" w:hAnsi="宋体" w:eastAsia="宋体" w:cs="宋体"/>
          <w:sz w:val="22"/>
          <w:szCs w:val="22"/>
        </w:rPr>
        <w:sectPr>
          <w:pgSz w:w="10320" w:h="14590"/>
          <w:pgMar w:top="43" w:right="11" w:bottom="10" w:left="0" w:header="0" w:footer="0" w:gutter="0"/>
          <w:cols w:space="720" w:num="1"/>
        </w:sectPr>
      </w:pPr>
    </w:p>
    <w:p w14:paraId="6FCA23E1">
      <w:pPr>
        <w:spacing w:line="213" w:lineRule="auto"/>
        <w:ind w:left="289"/>
        <w:rPr>
          <w:rFonts w:ascii="宋体" w:hAnsi="宋体" w:eastAsia="宋体" w:cs="宋体"/>
          <w:sz w:val="21"/>
          <w:szCs w:val="21"/>
        </w:rPr>
      </w:pPr>
      <w:r>
        <w:rPr>
          <w:rFonts w:hint="eastAsia" w:ascii="宋体" w:hAnsi="宋体" w:eastAsia="宋体" w:cs="宋体"/>
          <w:spacing w:val="30"/>
          <w:sz w:val="21"/>
          <w:szCs w:val="21"/>
          <w:lang w:eastAsia="zh-CN"/>
        </w:rPr>
        <w:t>大鱼社区</w:t>
      </w:r>
      <w:r>
        <w:rPr>
          <w:rFonts w:ascii="宋体" w:hAnsi="宋体" w:eastAsia="宋体" w:cs="宋体"/>
          <w:spacing w:val="30"/>
          <w:sz w:val="21"/>
          <w:szCs w:val="21"/>
        </w:rPr>
        <w:t>助你备考：少走弯路，快速通关!认准</w:t>
      </w:r>
      <w:r>
        <w:rPr>
          <w:rFonts w:ascii="宋体" w:hAnsi="宋体" w:eastAsia="宋体" w:cs="宋体"/>
          <w:sz w:val="21"/>
          <w:szCs w:val="21"/>
        </w:rPr>
        <w:t>VX</w:t>
      </w:r>
      <w:r>
        <w:rPr>
          <w:rFonts w:ascii="宋体" w:hAnsi="宋体" w:eastAsia="宋体" w:cs="宋体"/>
          <w:spacing w:val="30"/>
          <w:sz w:val="21"/>
          <w:szCs w:val="21"/>
        </w:rPr>
        <w:t>:</w:t>
      </w:r>
      <w:r>
        <w:rPr>
          <w:rFonts w:hint="eastAsia" w:ascii="宋体" w:hAnsi="宋体" w:eastAsia="宋体" w:cs="宋体"/>
          <w:sz w:val="21"/>
          <w:szCs w:val="21"/>
          <w:lang w:eastAsia="zh-CN"/>
        </w:rPr>
        <w:t>dayu_nm_cn</w:t>
      </w:r>
      <w:r>
        <w:rPr>
          <w:rFonts w:ascii="宋体" w:hAnsi="宋体" w:eastAsia="宋体" w:cs="宋体"/>
          <w:spacing w:val="17"/>
          <w:sz w:val="21"/>
          <w:szCs w:val="21"/>
        </w:rPr>
        <w:t xml:space="preserve">    </w:t>
      </w:r>
      <w:r>
        <w:rPr>
          <w:rFonts w:ascii="宋体" w:hAnsi="宋体" w:eastAsia="宋体" w:cs="宋体"/>
          <w:spacing w:val="30"/>
          <w:sz w:val="21"/>
          <w:szCs w:val="21"/>
        </w:rPr>
        <w:t>(天道酬勤，白嫖勿扰)</w:t>
      </w:r>
    </w:p>
    <w:p w14:paraId="35AEE0EF">
      <w:pPr>
        <w:pStyle w:val="2"/>
        <w:spacing w:line="455" w:lineRule="auto"/>
      </w:pPr>
    </w:p>
    <w:p w14:paraId="21090B06">
      <w:pPr>
        <w:spacing w:before="52" w:line="222" w:lineRule="auto"/>
        <w:ind w:left="959"/>
        <w:rPr>
          <w:rFonts w:ascii="黑体" w:hAnsi="黑体" w:eastAsia="黑体" w:cs="黑体"/>
          <w:sz w:val="16"/>
          <w:szCs w:val="16"/>
        </w:rPr>
      </w:pPr>
      <w:r>
        <w:drawing>
          <wp:anchor distT="0" distB="0" distL="0" distR="0" simplePos="0" relativeHeight="251675648" behindDoc="0" locked="0" layoutInCell="1" allowOverlap="1">
            <wp:simplePos x="0" y="0"/>
            <wp:positionH relativeFrom="column">
              <wp:posOffset>606425</wp:posOffset>
            </wp:positionH>
            <wp:positionV relativeFrom="paragraph">
              <wp:posOffset>128905</wp:posOffset>
            </wp:positionV>
            <wp:extent cx="4981575" cy="6350"/>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6"/>
                    <a:stretch>
                      <a:fillRect/>
                    </a:stretch>
                  </pic:blipFill>
                  <pic:spPr>
                    <a:xfrm>
                      <a:off x="0" y="0"/>
                      <a:ext cx="4981549" cy="6350"/>
                    </a:xfrm>
                    <a:prstGeom prst="rect">
                      <a:avLst/>
                    </a:prstGeom>
                  </pic:spPr>
                </pic:pic>
              </a:graphicData>
            </a:graphic>
          </wp:anchor>
        </w:drawing>
      </w:r>
      <w:r>
        <w:rPr>
          <w:rFonts w:ascii="黑体" w:hAnsi="黑体" w:eastAsia="黑体" w:cs="黑体"/>
          <w:spacing w:val="-6"/>
          <w:sz w:val="16"/>
          <w:szCs w:val="16"/>
        </w:rPr>
        <w:t>2 2</w:t>
      </w:r>
      <w:r>
        <w:rPr>
          <w:rFonts w:ascii="黑体" w:hAnsi="黑体" w:eastAsia="黑体" w:cs="黑体"/>
          <w:spacing w:val="2"/>
          <w:sz w:val="16"/>
          <w:szCs w:val="16"/>
        </w:rPr>
        <w:t xml:space="preserve">     </w:t>
      </w:r>
      <w:r>
        <w:rPr>
          <w:rFonts w:ascii="黑体" w:hAnsi="黑体" w:eastAsia="黑体" w:cs="黑体"/>
          <w:spacing w:val="-6"/>
          <w:sz w:val="16"/>
          <w:szCs w:val="16"/>
        </w:rPr>
        <w:t>第</w:t>
      </w:r>
      <w:r>
        <w:rPr>
          <w:rFonts w:ascii="黑体" w:hAnsi="黑体" w:eastAsia="黑体" w:cs="黑体"/>
          <w:spacing w:val="17"/>
          <w:sz w:val="16"/>
          <w:szCs w:val="16"/>
        </w:rPr>
        <w:t xml:space="preserve"> </w:t>
      </w:r>
      <w:r>
        <w:rPr>
          <w:rFonts w:ascii="黑体" w:hAnsi="黑体" w:eastAsia="黑体" w:cs="黑体"/>
          <w:spacing w:val="-6"/>
          <w:sz w:val="16"/>
          <w:szCs w:val="16"/>
        </w:rPr>
        <w:t>1</w:t>
      </w:r>
      <w:r>
        <w:rPr>
          <w:rFonts w:ascii="黑体" w:hAnsi="黑体" w:eastAsia="黑体" w:cs="黑体"/>
          <w:spacing w:val="9"/>
          <w:sz w:val="16"/>
          <w:szCs w:val="16"/>
        </w:rPr>
        <w:t xml:space="preserve"> </w:t>
      </w:r>
      <w:r>
        <w:rPr>
          <w:rFonts w:ascii="黑体" w:hAnsi="黑体" w:eastAsia="黑体" w:cs="黑体"/>
          <w:spacing w:val="-6"/>
          <w:sz w:val="16"/>
          <w:szCs w:val="16"/>
        </w:rPr>
        <w:t>篇</w:t>
      </w:r>
      <w:r>
        <w:rPr>
          <w:rFonts w:ascii="黑体" w:hAnsi="黑体" w:eastAsia="黑体" w:cs="黑体"/>
          <w:spacing w:val="3"/>
          <w:sz w:val="16"/>
          <w:szCs w:val="16"/>
        </w:rPr>
        <w:t xml:space="preserve">   </w:t>
      </w:r>
      <w:r>
        <w:rPr>
          <w:rFonts w:ascii="黑体" w:hAnsi="黑体" w:eastAsia="黑体" w:cs="黑体"/>
          <w:spacing w:val="-6"/>
          <w:sz w:val="16"/>
          <w:szCs w:val="16"/>
        </w:rPr>
        <w:t>水</w:t>
      </w:r>
      <w:r>
        <w:rPr>
          <w:rFonts w:ascii="黑体" w:hAnsi="黑体" w:eastAsia="黑体" w:cs="黑体"/>
          <w:spacing w:val="10"/>
          <w:sz w:val="16"/>
          <w:szCs w:val="16"/>
        </w:rPr>
        <w:t xml:space="preserve"> </w:t>
      </w:r>
      <w:r>
        <w:rPr>
          <w:rFonts w:ascii="黑体" w:hAnsi="黑体" w:eastAsia="黑体" w:cs="黑体"/>
          <w:spacing w:val="-6"/>
          <w:sz w:val="16"/>
          <w:szCs w:val="16"/>
        </w:rPr>
        <w:t>利</w:t>
      </w:r>
      <w:r>
        <w:rPr>
          <w:rFonts w:ascii="黑体" w:hAnsi="黑体" w:eastAsia="黑体" w:cs="黑体"/>
          <w:spacing w:val="7"/>
          <w:sz w:val="16"/>
          <w:szCs w:val="16"/>
        </w:rPr>
        <w:t xml:space="preserve"> </w:t>
      </w:r>
      <w:r>
        <w:rPr>
          <w:rFonts w:ascii="黑体" w:hAnsi="黑体" w:eastAsia="黑体" w:cs="黑体"/>
          <w:spacing w:val="-6"/>
          <w:sz w:val="16"/>
          <w:szCs w:val="16"/>
        </w:rPr>
        <w:t>水</w:t>
      </w:r>
      <w:r>
        <w:rPr>
          <w:rFonts w:ascii="黑体" w:hAnsi="黑体" w:eastAsia="黑体" w:cs="黑体"/>
          <w:spacing w:val="19"/>
          <w:sz w:val="16"/>
          <w:szCs w:val="16"/>
        </w:rPr>
        <w:t xml:space="preserve"> </w:t>
      </w:r>
      <w:r>
        <w:rPr>
          <w:rFonts w:ascii="黑体" w:hAnsi="黑体" w:eastAsia="黑体" w:cs="黑体"/>
          <w:spacing w:val="-6"/>
          <w:sz w:val="16"/>
          <w:szCs w:val="16"/>
        </w:rPr>
        <w:t>电</w:t>
      </w:r>
      <w:r>
        <w:rPr>
          <w:rFonts w:ascii="黑体" w:hAnsi="黑体" w:eastAsia="黑体" w:cs="黑体"/>
          <w:spacing w:val="8"/>
          <w:sz w:val="16"/>
          <w:szCs w:val="16"/>
        </w:rPr>
        <w:t xml:space="preserve"> </w:t>
      </w:r>
      <w:r>
        <w:rPr>
          <w:rFonts w:ascii="黑体" w:hAnsi="黑体" w:eastAsia="黑体" w:cs="黑体"/>
          <w:spacing w:val="-6"/>
          <w:sz w:val="16"/>
          <w:szCs w:val="16"/>
        </w:rPr>
        <w:t>工</w:t>
      </w:r>
      <w:r>
        <w:rPr>
          <w:rFonts w:ascii="黑体" w:hAnsi="黑体" w:eastAsia="黑体" w:cs="黑体"/>
          <w:spacing w:val="8"/>
          <w:sz w:val="16"/>
          <w:szCs w:val="16"/>
        </w:rPr>
        <w:t xml:space="preserve"> </w:t>
      </w:r>
      <w:r>
        <w:rPr>
          <w:rFonts w:ascii="黑体" w:hAnsi="黑体" w:eastAsia="黑体" w:cs="黑体"/>
          <w:spacing w:val="-6"/>
          <w:sz w:val="16"/>
          <w:szCs w:val="16"/>
        </w:rPr>
        <w:t>程</w:t>
      </w:r>
      <w:r>
        <w:rPr>
          <w:rFonts w:ascii="黑体" w:hAnsi="黑体" w:eastAsia="黑体" w:cs="黑体"/>
          <w:spacing w:val="8"/>
          <w:sz w:val="16"/>
          <w:szCs w:val="16"/>
        </w:rPr>
        <w:t xml:space="preserve"> </w:t>
      </w:r>
      <w:r>
        <w:rPr>
          <w:rFonts w:ascii="黑体" w:hAnsi="黑体" w:eastAsia="黑体" w:cs="黑体"/>
          <w:spacing w:val="-6"/>
          <w:sz w:val="16"/>
          <w:szCs w:val="16"/>
        </w:rPr>
        <w:t>技</w:t>
      </w:r>
      <w:r>
        <w:rPr>
          <w:rFonts w:ascii="黑体" w:hAnsi="黑体" w:eastAsia="黑体" w:cs="黑体"/>
          <w:spacing w:val="8"/>
          <w:sz w:val="16"/>
          <w:szCs w:val="16"/>
        </w:rPr>
        <w:t xml:space="preserve"> </w:t>
      </w:r>
      <w:r>
        <w:rPr>
          <w:rFonts w:ascii="黑体" w:hAnsi="黑体" w:eastAsia="黑体" w:cs="黑体"/>
          <w:spacing w:val="-6"/>
          <w:sz w:val="16"/>
          <w:szCs w:val="16"/>
        </w:rPr>
        <w:t>术</w:t>
      </w:r>
    </w:p>
    <w:p w14:paraId="7EA342BA">
      <w:pPr>
        <w:spacing w:before="201" w:line="220" w:lineRule="auto"/>
        <w:ind w:left="8040"/>
        <w:rPr>
          <w:rFonts w:ascii="宋体" w:hAnsi="宋体" w:eastAsia="宋体" w:cs="宋体"/>
          <w:sz w:val="21"/>
          <w:szCs w:val="21"/>
        </w:rPr>
      </w:pPr>
      <w:r>
        <w:rPr>
          <w:rFonts w:ascii="宋体" w:hAnsi="宋体" w:eastAsia="宋体" w:cs="宋体"/>
          <w:spacing w:val="-3"/>
          <w:sz w:val="21"/>
          <w:szCs w:val="21"/>
        </w:rPr>
        <w:t>续表</w:t>
      </w:r>
    </w:p>
    <w:p w14:paraId="77441E42">
      <w:pPr>
        <w:spacing w:line="85" w:lineRule="exact"/>
      </w:pPr>
    </w:p>
    <w:tbl>
      <w:tblPr>
        <w:tblStyle w:val="5"/>
        <w:tblW w:w="7809" w:type="dxa"/>
        <w:tblInd w:w="9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1398"/>
        <w:gridCol w:w="1408"/>
        <w:gridCol w:w="1388"/>
        <w:gridCol w:w="1388"/>
        <w:gridCol w:w="1403"/>
      </w:tblGrid>
      <w:tr w14:paraId="3CBC6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824" w:type="dxa"/>
            <w:vAlign w:val="top"/>
          </w:tcPr>
          <w:p w14:paraId="47E9A5E0">
            <w:pPr>
              <w:pStyle w:val="6"/>
              <w:spacing w:before="202" w:line="219" w:lineRule="auto"/>
              <w:ind w:left="64"/>
              <w:rPr>
                <w:sz w:val="17"/>
                <w:szCs w:val="17"/>
              </w:rPr>
            </w:pPr>
            <w:r>
              <w:rPr>
                <w:spacing w:val="3"/>
                <w:sz w:val="17"/>
                <w:szCs w:val="17"/>
              </w:rPr>
              <w:t>环境类别</w:t>
            </w:r>
          </w:p>
        </w:tc>
        <w:tc>
          <w:tcPr>
            <w:tcW w:w="1398" w:type="dxa"/>
            <w:vAlign w:val="top"/>
          </w:tcPr>
          <w:p w14:paraId="65580B21">
            <w:pPr>
              <w:pStyle w:val="6"/>
              <w:spacing w:before="71" w:line="260" w:lineRule="auto"/>
              <w:ind w:left="349" w:right="285" w:hanging="89"/>
              <w:rPr>
                <w:sz w:val="17"/>
                <w:szCs w:val="17"/>
              </w:rPr>
            </w:pPr>
            <w:r>
              <w:rPr>
                <w:spacing w:val="-2"/>
                <w:sz w:val="17"/>
                <w:szCs w:val="17"/>
              </w:rPr>
              <w:t>混凝土最低</w:t>
            </w:r>
            <w:r>
              <w:rPr>
                <w:sz w:val="17"/>
                <w:szCs w:val="17"/>
              </w:rPr>
              <w:t xml:space="preserve"> </w:t>
            </w:r>
            <w:r>
              <w:rPr>
                <w:spacing w:val="2"/>
                <w:sz w:val="17"/>
                <w:szCs w:val="17"/>
              </w:rPr>
              <w:t>强度等级</w:t>
            </w:r>
          </w:p>
        </w:tc>
        <w:tc>
          <w:tcPr>
            <w:tcW w:w="1408" w:type="dxa"/>
            <w:vAlign w:val="top"/>
          </w:tcPr>
          <w:p w14:paraId="30A9D7C9">
            <w:pPr>
              <w:pStyle w:val="6"/>
              <w:spacing w:before="64" w:line="187" w:lineRule="auto"/>
              <w:ind w:left="32"/>
              <w:rPr>
                <w:sz w:val="22"/>
                <w:szCs w:val="22"/>
              </w:rPr>
            </w:pPr>
            <w:r>
              <w:rPr>
                <w:spacing w:val="-2"/>
                <w:sz w:val="22"/>
                <w:szCs w:val="22"/>
              </w:rPr>
              <w:t>最小水泥用量</w:t>
            </w:r>
          </w:p>
          <w:p w14:paraId="25F08724">
            <w:pPr>
              <w:pStyle w:val="6"/>
              <w:spacing w:line="213" w:lineRule="auto"/>
              <w:ind w:left="252"/>
              <w:rPr>
                <w:sz w:val="22"/>
                <w:szCs w:val="22"/>
              </w:rPr>
            </w:pPr>
            <w:r>
              <w:rPr>
                <w:spacing w:val="-6"/>
                <w:sz w:val="22"/>
                <w:szCs w:val="22"/>
              </w:rPr>
              <w:t>(kg/m³)</w:t>
            </w:r>
          </w:p>
        </w:tc>
        <w:tc>
          <w:tcPr>
            <w:tcW w:w="1388" w:type="dxa"/>
            <w:vAlign w:val="top"/>
          </w:tcPr>
          <w:p w14:paraId="0E5A236E">
            <w:pPr>
              <w:pStyle w:val="6"/>
              <w:spacing w:before="202" w:line="219" w:lineRule="auto"/>
              <w:ind w:left="265"/>
              <w:rPr>
                <w:sz w:val="17"/>
                <w:szCs w:val="17"/>
              </w:rPr>
            </w:pPr>
            <w:r>
              <w:rPr>
                <w:spacing w:val="-2"/>
                <w:sz w:val="17"/>
                <w:szCs w:val="17"/>
              </w:rPr>
              <w:t>最大水胶比</w:t>
            </w:r>
          </w:p>
        </w:tc>
        <w:tc>
          <w:tcPr>
            <w:tcW w:w="1388" w:type="dxa"/>
            <w:vAlign w:val="top"/>
          </w:tcPr>
          <w:p w14:paraId="5E487F27">
            <w:pPr>
              <w:pStyle w:val="6"/>
              <w:spacing w:before="59" w:line="219" w:lineRule="auto"/>
              <w:ind w:left="99"/>
              <w:rPr>
                <w:sz w:val="17"/>
                <w:szCs w:val="17"/>
              </w:rPr>
            </w:pPr>
            <w:r>
              <w:rPr>
                <w:b/>
                <w:bCs/>
                <w:spacing w:val="-3"/>
                <w:sz w:val="17"/>
                <w:szCs w:val="17"/>
              </w:rPr>
              <w:t>最大氯离子含量</w:t>
            </w:r>
          </w:p>
          <w:p w14:paraId="3D555B14">
            <w:pPr>
              <w:pStyle w:val="6"/>
              <w:spacing w:before="66" w:line="178" w:lineRule="auto"/>
              <w:ind w:left="516"/>
              <w:rPr>
                <w:sz w:val="23"/>
                <w:szCs w:val="23"/>
              </w:rPr>
            </w:pPr>
            <w:r>
              <w:rPr>
                <w:spacing w:val="-11"/>
                <w:sz w:val="23"/>
                <w:szCs w:val="23"/>
              </w:rPr>
              <w:t>(%)</w:t>
            </w:r>
          </w:p>
        </w:tc>
        <w:tc>
          <w:tcPr>
            <w:tcW w:w="1403" w:type="dxa"/>
            <w:vAlign w:val="top"/>
          </w:tcPr>
          <w:p w14:paraId="3DBBA206">
            <w:pPr>
              <w:pStyle w:val="6"/>
              <w:spacing w:before="63" w:line="196" w:lineRule="auto"/>
              <w:ind w:left="149"/>
              <w:rPr>
                <w:sz w:val="22"/>
                <w:szCs w:val="22"/>
              </w:rPr>
            </w:pPr>
            <w:r>
              <w:rPr>
                <w:spacing w:val="-2"/>
                <w:sz w:val="22"/>
                <w:szCs w:val="22"/>
              </w:rPr>
              <w:t>最大碱含量</w:t>
            </w:r>
          </w:p>
          <w:p w14:paraId="1B5D1D0D">
            <w:pPr>
              <w:pStyle w:val="6"/>
              <w:spacing w:line="212" w:lineRule="auto"/>
              <w:ind w:left="259"/>
              <w:rPr>
                <w:sz w:val="22"/>
                <w:szCs w:val="22"/>
              </w:rPr>
            </w:pPr>
            <w:r>
              <w:rPr>
                <w:spacing w:val="-6"/>
                <w:sz w:val="22"/>
                <w:szCs w:val="22"/>
              </w:rPr>
              <w:t>(kg/m³)</w:t>
            </w:r>
          </w:p>
        </w:tc>
      </w:tr>
      <w:tr w14:paraId="503D7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24" w:type="dxa"/>
            <w:vAlign w:val="top"/>
          </w:tcPr>
          <w:p w14:paraId="5759E5DB">
            <w:pPr>
              <w:pStyle w:val="6"/>
              <w:spacing w:before="84" w:line="222" w:lineRule="auto"/>
              <w:ind w:left="315"/>
              <w:rPr>
                <w:sz w:val="17"/>
                <w:szCs w:val="17"/>
              </w:rPr>
            </w:pPr>
            <w:r>
              <w:rPr>
                <w:sz w:val="17"/>
                <w:szCs w:val="17"/>
              </w:rPr>
              <w:t>四</w:t>
            </w:r>
          </w:p>
        </w:tc>
        <w:tc>
          <w:tcPr>
            <w:tcW w:w="1398" w:type="dxa"/>
            <w:vAlign w:val="top"/>
          </w:tcPr>
          <w:p w14:paraId="18347A08">
            <w:pPr>
              <w:pStyle w:val="6"/>
              <w:spacing w:before="125" w:line="183" w:lineRule="auto"/>
              <w:ind w:left="560"/>
              <w:rPr>
                <w:sz w:val="17"/>
                <w:szCs w:val="17"/>
              </w:rPr>
            </w:pPr>
            <w:r>
              <w:rPr>
                <w:spacing w:val="-2"/>
                <w:sz w:val="17"/>
                <w:szCs w:val="17"/>
              </w:rPr>
              <w:t>C30</w:t>
            </w:r>
          </w:p>
        </w:tc>
        <w:tc>
          <w:tcPr>
            <w:tcW w:w="1408" w:type="dxa"/>
            <w:vAlign w:val="top"/>
          </w:tcPr>
          <w:p w14:paraId="17D02CB4">
            <w:pPr>
              <w:pStyle w:val="6"/>
              <w:spacing w:before="98" w:line="226" w:lineRule="auto"/>
              <w:ind w:left="563"/>
              <w:rPr>
                <w:sz w:val="17"/>
                <w:szCs w:val="17"/>
              </w:rPr>
            </w:pPr>
            <w:r>
              <w:rPr>
                <w:spacing w:val="-3"/>
                <w:sz w:val="17"/>
                <w:szCs w:val="17"/>
              </w:rPr>
              <w:t>340</w:t>
            </w:r>
          </w:p>
        </w:tc>
        <w:tc>
          <w:tcPr>
            <w:tcW w:w="1388" w:type="dxa"/>
            <w:vAlign w:val="top"/>
          </w:tcPr>
          <w:p w14:paraId="38369EB5">
            <w:pPr>
              <w:pStyle w:val="6"/>
              <w:spacing w:before="98" w:line="226" w:lineRule="auto"/>
              <w:ind w:left="514"/>
              <w:rPr>
                <w:sz w:val="17"/>
                <w:szCs w:val="17"/>
              </w:rPr>
            </w:pPr>
            <w:r>
              <w:rPr>
                <w:spacing w:val="-2"/>
                <w:sz w:val="17"/>
                <w:szCs w:val="17"/>
              </w:rPr>
              <w:t>0.45</w:t>
            </w:r>
          </w:p>
        </w:tc>
        <w:tc>
          <w:tcPr>
            <w:tcW w:w="1388" w:type="dxa"/>
            <w:vAlign w:val="top"/>
          </w:tcPr>
          <w:p w14:paraId="588B7350">
            <w:pPr>
              <w:pStyle w:val="6"/>
              <w:spacing w:before="98" w:line="226" w:lineRule="auto"/>
              <w:ind w:left="557"/>
              <w:rPr>
                <w:sz w:val="17"/>
                <w:szCs w:val="17"/>
              </w:rPr>
            </w:pPr>
            <w:r>
              <w:rPr>
                <w:spacing w:val="-2"/>
                <w:sz w:val="17"/>
                <w:szCs w:val="17"/>
              </w:rPr>
              <w:t>0.1</w:t>
            </w:r>
          </w:p>
        </w:tc>
        <w:tc>
          <w:tcPr>
            <w:tcW w:w="1403" w:type="dxa"/>
            <w:vAlign w:val="top"/>
          </w:tcPr>
          <w:p w14:paraId="6F0D4B27">
            <w:pPr>
              <w:pStyle w:val="6"/>
              <w:spacing w:before="98" w:line="226" w:lineRule="auto"/>
              <w:ind w:left="569"/>
              <w:rPr>
                <w:sz w:val="17"/>
                <w:szCs w:val="17"/>
              </w:rPr>
            </w:pPr>
            <w:r>
              <w:rPr>
                <w:spacing w:val="-2"/>
                <w:sz w:val="17"/>
                <w:szCs w:val="17"/>
              </w:rPr>
              <w:t>2.5</w:t>
            </w:r>
          </w:p>
        </w:tc>
      </w:tr>
      <w:tr w14:paraId="658EE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824" w:type="dxa"/>
            <w:vAlign w:val="top"/>
          </w:tcPr>
          <w:p w14:paraId="40BD530C">
            <w:pPr>
              <w:pStyle w:val="6"/>
              <w:spacing w:before="84" w:line="229" w:lineRule="auto"/>
              <w:ind w:left="315"/>
              <w:rPr>
                <w:sz w:val="17"/>
                <w:szCs w:val="17"/>
              </w:rPr>
            </w:pPr>
            <w:r>
              <w:rPr>
                <w:sz w:val="17"/>
                <w:szCs w:val="17"/>
              </w:rPr>
              <w:t>五</w:t>
            </w:r>
          </w:p>
        </w:tc>
        <w:tc>
          <w:tcPr>
            <w:tcW w:w="1398" w:type="dxa"/>
            <w:vAlign w:val="top"/>
          </w:tcPr>
          <w:p w14:paraId="6D3C174E">
            <w:pPr>
              <w:pStyle w:val="6"/>
              <w:spacing w:before="118" w:line="183" w:lineRule="auto"/>
              <w:ind w:left="560"/>
              <w:rPr>
                <w:sz w:val="17"/>
                <w:szCs w:val="17"/>
              </w:rPr>
            </w:pPr>
            <w:r>
              <w:rPr>
                <w:spacing w:val="-2"/>
                <w:sz w:val="17"/>
                <w:szCs w:val="17"/>
              </w:rPr>
              <w:t>C35</w:t>
            </w:r>
          </w:p>
        </w:tc>
        <w:tc>
          <w:tcPr>
            <w:tcW w:w="1408" w:type="dxa"/>
            <w:vAlign w:val="top"/>
          </w:tcPr>
          <w:p w14:paraId="6F03329E">
            <w:pPr>
              <w:pStyle w:val="6"/>
              <w:spacing w:before="92" w:line="229" w:lineRule="auto"/>
              <w:ind w:left="563"/>
              <w:rPr>
                <w:sz w:val="17"/>
                <w:szCs w:val="17"/>
              </w:rPr>
            </w:pPr>
            <w:r>
              <w:rPr>
                <w:spacing w:val="-3"/>
                <w:sz w:val="17"/>
                <w:szCs w:val="17"/>
              </w:rPr>
              <w:t>360</w:t>
            </w:r>
          </w:p>
        </w:tc>
        <w:tc>
          <w:tcPr>
            <w:tcW w:w="1388" w:type="dxa"/>
            <w:vAlign w:val="top"/>
          </w:tcPr>
          <w:p w14:paraId="210E3CAB">
            <w:pPr>
              <w:pStyle w:val="6"/>
              <w:spacing w:before="92" w:line="229" w:lineRule="auto"/>
              <w:ind w:left="555"/>
              <w:rPr>
                <w:sz w:val="17"/>
                <w:szCs w:val="17"/>
              </w:rPr>
            </w:pPr>
            <w:r>
              <w:rPr>
                <w:spacing w:val="-2"/>
                <w:sz w:val="17"/>
                <w:szCs w:val="17"/>
              </w:rPr>
              <w:t>0.4</w:t>
            </w:r>
          </w:p>
        </w:tc>
        <w:tc>
          <w:tcPr>
            <w:tcW w:w="1388" w:type="dxa"/>
            <w:vAlign w:val="top"/>
          </w:tcPr>
          <w:p w14:paraId="740481AD">
            <w:pPr>
              <w:pStyle w:val="6"/>
              <w:spacing w:before="92" w:line="229" w:lineRule="auto"/>
              <w:ind w:left="516"/>
              <w:rPr>
                <w:sz w:val="17"/>
                <w:szCs w:val="17"/>
              </w:rPr>
            </w:pPr>
            <w:r>
              <w:rPr>
                <w:spacing w:val="-2"/>
                <w:sz w:val="17"/>
                <w:szCs w:val="17"/>
              </w:rPr>
              <w:t>0.06</w:t>
            </w:r>
          </w:p>
        </w:tc>
        <w:tc>
          <w:tcPr>
            <w:tcW w:w="1403" w:type="dxa"/>
            <w:vAlign w:val="top"/>
          </w:tcPr>
          <w:p w14:paraId="62F267D1">
            <w:pPr>
              <w:pStyle w:val="6"/>
              <w:spacing w:before="92" w:line="229" w:lineRule="auto"/>
              <w:ind w:left="569"/>
              <w:rPr>
                <w:sz w:val="17"/>
                <w:szCs w:val="17"/>
              </w:rPr>
            </w:pPr>
            <w:r>
              <w:rPr>
                <w:spacing w:val="-2"/>
                <w:sz w:val="17"/>
                <w:szCs w:val="17"/>
              </w:rPr>
              <w:t>2.5</w:t>
            </w:r>
          </w:p>
        </w:tc>
      </w:tr>
    </w:tbl>
    <w:p w14:paraId="48D53006">
      <w:pPr>
        <w:spacing w:before="42" w:line="219" w:lineRule="auto"/>
        <w:ind w:left="1259"/>
        <w:rPr>
          <w:rFonts w:ascii="宋体" w:hAnsi="宋体" w:eastAsia="宋体" w:cs="宋体"/>
          <w:sz w:val="17"/>
          <w:szCs w:val="17"/>
        </w:rPr>
      </w:pPr>
      <w:r>
        <w:rPr>
          <w:rFonts w:ascii="宋体" w:hAnsi="宋体" w:eastAsia="宋体" w:cs="宋体"/>
          <w:spacing w:val="-6"/>
          <w:sz w:val="17"/>
          <w:szCs w:val="17"/>
        </w:rPr>
        <w:t>注：1.配置钢丝、钢绞丝的预应力混凝土构件的混凝土最低强度等级不宜小于C40;最小水泥用量不宜少于</w:t>
      </w:r>
    </w:p>
    <w:p w14:paraId="7A25DACE">
      <w:pPr>
        <w:spacing w:before="134" w:line="183" w:lineRule="auto"/>
        <w:ind w:left="1759"/>
        <w:rPr>
          <w:rFonts w:ascii="宋体" w:hAnsi="宋体" w:eastAsia="宋体" w:cs="宋体"/>
          <w:sz w:val="16"/>
          <w:szCs w:val="16"/>
        </w:rPr>
      </w:pPr>
      <w:r>
        <w:rPr>
          <w:rFonts w:ascii="Times New Roman" w:hAnsi="Times New Roman" w:eastAsia="Times New Roman" w:cs="Times New Roman"/>
          <w:spacing w:val="-1"/>
          <w:sz w:val="16"/>
          <w:szCs w:val="16"/>
        </w:rPr>
        <w:t>300kg/m³</w:t>
      </w:r>
      <w:r>
        <w:rPr>
          <w:rFonts w:ascii="宋体" w:hAnsi="宋体" w:eastAsia="宋体" w:cs="宋体"/>
          <w:spacing w:val="-1"/>
          <w:sz w:val="16"/>
          <w:szCs w:val="16"/>
        </w:rPr>
        <w:t>。</w:t>
      </w:r>
    </w:p>
    <w:p w14:paraId="44AF91C6">
      <w:pPr>
        <w:spacing w:before="54" w:line="219" w:lineRule="auto"/>
        <w:ind w:left="1579"/>
        <w:rPr>
          <w:rFonts w:ascii="宋体" w:hAnsi="宋体" w:eastAsia="宋体" w:cs="宋体"/>
          <w:sz w:val="16"/>
          <w:szCs w:val="16"/>
        </w:rPr>
      </w:pPr>
      <w:r>
        <w:rPr>
          <w:rFonts w:ascii="宋体" w:hAnsi="宋体" w:eastAsia="宋体" w:cs="宋体"/>
          <w:sz w:val="16"/>
          <w:szCs w:val="16"/>
        </w:rPr>
        <w:t>2.当混凝土中加入优质活性掺合料或能提高耐久性的外加剂时，可适当减少最小水泥用量。</w:t>
      </w:r>
    </w:p>
    <w:p w14:paraId="59CFF0DB">
      <w:pPr>
        <w:spacing w:before="51" w:line="219" w:lineRule="auto"/>
        <w:ind w:left="1579"/>
        <w:rPr>
          <w:rFonts w:ascii="宋体" w:hAnsi="宋体" w:eastAsia="宋体" w:cs="宋体"/>
          <w:sz w:val="16"/>
          <w:szCs w:val="16"/>
        </w:rPr>
      </w:pPr>
      <w:r>
        <w:rPr>
          <w:rFonts w:ascii="宋体" w:hAnsi="宋体" w:eastAsia="宋体" w:cs="宋体"/>
          <w:sz w:val="16"/>
          <w:szCs w:val="16"/>
        </w:rPr>
        <w:t>3.桥梁上部结构及处于露天环境的梁、柱构件，混凝土强度等级不宜低于C25。</w:t>
      </w:r>
    </w:p>
    <w:p w14:paraId="08131EE5">
      <w:pPr>
        <w:spacing w:before="61" w:line="219" w:lineRule="auto"/>
        <w:ind w:left="1579"/>
        <w:rPr>
          <w:rFonts w:ascii="宋体" w:hAnsi="宋体" w:eastAsia="宋体" w:cs="宋体"/>
          <w:sz w:val="16"/>
          <w:szCs w:val="16"/>
        </w:rPr>
      </w:pPr>
      <w:r>
        <w:rPr>
          <w:rFonts w:ascii="宋体" w:hAnsi="宋体" w:eastAsia="宋体" w:cs="宋体"/>
          <w:spacing w:val="2"/>
          <w:sz w:val="16"/>
          <w:szCs w:val="16"/>
        </w:rPr>
        <w:t>4.预应力混凝土构件中的氯离子含量不宜大于0.06%。</w:t>
      </w:r>
    </w:p>
    <w:p w14:paraId="0DE5D59F">
      <w:pPr>
        <w:spacing w:before="49" w:line="219" w:lineRule="auto"/>
        <w:ind w:left="1579"/>
        <w:rPr>
          <w:rFonts w:ascii="宋体" w:hAnsi="宋体" w:eastAsia="宋体" w:cs="宋体"/>
          <w:sz w:val="16"/>
          <w:szCs w:val="16"/>
        </w:rPr>
      </w:pPr>
      <w:r>
        <w:rPr>
          <w:rFonts w:ascii="宋体" w:hAnsi="宋体" w:eastAsia="宋体" w:cs="宋体"/>
          <w:sz w:val="16"/>
          <w:szCs w:val="16"/>
        </w:rPr>
        <w:t>5.水工混凝土上结构的水下部分，不宜采用碱活性集料。</w:t>
      </w:r>
    </w:p>
    <w:p w14:paraId="1014D234">
      <w:pPr>
        <w:spacing w:before="31" w:line="254" w:lineRule="auto"/>
        <w:ind w:left="1748" w:right="1610" w:hanging="169"/>
        <w:rPr>
          <w:rFonts w:ascii="宋体" w:hAnsi="宋体" w:eastAsia="宋体" w:cs="宋体"/>
          <w:sz w:val="16"/>
          <w:szCs w:val="16"/>
        </w:rPr>
      </w:pPr>
      <w:r>
        <w:rPr>
          <w:rFonts w:ascii="宋体" w:hAnsi="宋体" w:eastAsia="宋体" w:cs="宋体"/>
          <w:spacing w:val="2"/>
          <w:sz w:val="16"/>
          <w:szCs w:val="16"/>
        </w:rPr>
        <w:t>6.有抗冻要求的结构构件，混凝土的最大水胶比应按《水</w:t>
      </w:r>
      <w:r>
        <w:rPr>
          <w:rFonts w:ascii="宋体" w:hAnsi="宋体" w:eastAsia="宋体" w:cs="宋体"/>
          <w:spacing w:val="1"/>
          <w:sz w:val="16"/>
          <w:szCs w:val="16"/>
        </w:rPr>
        <w:t>工建筑物抗冰冻设计标准》(2024年版)</w:t>
      </w:r>
      <w:r>
        <w:rPr>
          <w:rFonts w:ascii="宋体" w:hAnsi="宋体" w:eastAsia="宋体" w:cs="宋体"/>
          <w:sz w:val="16"/>
          <w:szCs w:val="16"/>
        </w:rPr>
        <w:t>GB</w:t>
      </w:r>
      <w:r>
        <w:rPr>
          <w:rFonts w:ascii="宋体" w:hAnsi="宋体" w:eastAsia="宋体" w:cs="宋体"/>
          <w:spacing w:val="1"/>
          <w:sz w:val="16"/>
          <w:szCs w:val="16"/>
        </w:rPr>
        <w:t>/T</w:t>
      </w:r>
      <w:r>
        <w:rPr>
          <w:rFonts w:ascii="宋体" w:hAnsi="宋体" w:eastAsia="宋体" w:cs="宋体"/>
          <w:sz w:val="16"/>
          <w:szCs w:val="16"/>
        </w:rPr>
        <w:t xml:space="preserve"> </w:t>
      </w:r>
      <w:r>
        <w:rPr>
          <w:rFonts w:ascii="宋体" w:hAnsi="宋体" w:eastAsia="宋体" w:cs="宋体"/>
          <w:spacing w:val="2"/>
          <w:sz w:val="16"/>
          <w:szCs w:val="16"/>
        </w:rPr>
        <w:t>50662—2011的规定执行。</w:t>
      </w:r>
    </w:p>
    <w:p w14:paraId="6FE9CB89">
      <w:pPr>
        <w:spacing w:before="58" w:line="218" w:lineRule="auto"/>
        <w:ind w:left="1579"/>
        <w:rPr>
          <w:rFonts w:ascii="宋体" w:hAnsi="宋体" w:eastAsia="宋体" w:cs="宋体"/>
          <w:sz w:val="16"/>
          <w:szCs w:val="16"/>
        </w:rPr>
      </w:pPr>
      <w:r>
        <w:rPr>
          <w:rFonts w:ascii="宋体" w:hAnsi="宋体" w:eastAsia="宋体" w:cs="宋体"/>
          <w:sz w:val="16"/>
          <w:szCs w:val="16"/>
        </w:rPr>
        <w:t>7.炎热地区的海水水位变化区和浪溅区，混凝土的各项耐久性基本要求宜按表中的规定适当加严。</w:t>
      </w:r>
    </w:p>
    <w:p w14:paraId="71D6CC8A">
      <w:pPr>
        <w:spacing w:before="214" w:line="299" w:lineRule="auto"/>
        <w:ind w:left="959" w:right="1513" w:firstLine="410"/>
        <w:rPr>
          <w:rFonts w:ascii="宋体" w:hAnsi="宋体" w:eastAsia="宋体" w:cs="宋体"/>
          <w:sz w:val="21"/>
          <w:szCs w:val="21"/>
        </w:rPr>
      </w:pPr>
      <w:r>
        <w:rPr>
          <w:rFonts w:ascii="宋体" w:hAnsi="宋体" w:eastAsia="宋体" w:cs="宋体"/>
          <w:spacing w:val="-1"/>
          <w:sz w:val="21"/>
          <w:szCs w:val="21"/>
        </w:rPr>
        <w:t>对于合理使用年限为100年的水工结构，混凝土耐久性基本要求除应满足表1.2-18</w:t>
      </w:r>
      <w:r>
        <w:rPr>
          <w:rFonts w:ascii="宋体" w:hAnsi="宋体" w:eastAsia="宋体" w:cs="宋体"/>
          <w:spacing w:val="6"/>
          <w:sz w:val="21"/>
          <w:szCs w:val="21"/>
        </w:rPr>
        <w:t xml:space="preserve"> </w:t>
      </w:r>
      <w:r>
        <w:rPr>
          <w:rFonts w:ascii="宋体" w:hAnsi="宋体" w:eastAsia="宋体" w:cs="宋体"/>
          <w:spacing w:val="-7"/>
          <w:sz w:val="21"/>
          <w:szCs w:val="21"/>
        </w:rPr>
        <w:t>的规定外，尚应符合下列要求：</w:t>
      </w:r>
    </w:p>
    <w:p w14:paraId="563CA78A">
      <w:pPr>
        <w:spacing w:before="1" w:line="219" w:lineRule="auto"/>
        <w:ind w:left="1369"/>
        <w:rPr>
          <w:rFonts w:ascii="宋体" w:hAnsi="宋体" w:eastAsia="宋体" w:cs="宋体"/>
          <w:sz w:val="21"/>
          <w:szCs w:val="21"/>
        </w:rPr>
      </w:pPr>
      <w:r>
        <w:rPr>
          <w:rFonts w:ascii="宋体" w:hAnsi="宋体" w:eastAsia="宋体" w:cs="宋体"/>
          <w:spacing w:val="2"/>
          <w:sz w:val="21"/>
          <w:szCs w:val="21"/>
        </w:rPr>
        <w:t>(1)混凝土强度等级宜按表1.2-18的规定提高一级，并复核抗</w:t>
      </w:r>
      <w:r>
        <w:rPr>
          <w:rFonts w:ascii="宋体" w:hAnsi="宋体" w:eastAsia="宋体" w:cs="宋体"/>
          <w:spacing w:val="1"/>
          <w:sz w:val="21"/>
          <w:szCs w:val="21"/>
        </w:rPr>
        <w:t>冻等级要求。</w:t>
      </w:r>
    </w:p>
    <w:p w14:paraId="17D00757">
      <w:pPr>
        <w:spacing w:before="61" w:line="219" w:lineRule="auto"/>
        <w:ind w:left="1369"/>
        <w:rPr>
          <w:rFonts w:ascii="宋体" w:hAnsi="宋体" w:eastAsia="宋体" w:cs="宋体"/>
          <w:sz w:val="21"/>
          <w:szCs w:val="21"/>
        </w:rPr>
      </w:pPr>
      <w:r>
        <w:rPr>
          <w:rFonts w:ascii="宋体" w:hAnsi="宋体" w:eastAsia="宋体" w:cs="宋体"/>
          <w:spacing w:val="5"/>
          <w:sz w:val="21"/>
          <w:szCs w:val="21"/>
        </w:rPr>
        <w:t>(2)混凝土中的氯离子含量不应大于0.06%。</w:t>
      </w:r>
    </w:p>
    <w:p w14:paraId="3101662F">
      <w:pPr>
        <w:spacing w:before="79" w:line="219" w:lineRule="auto"/>
        <w:ind w:left="1369"/>
        <w:rPr>
          <w:rFonts w:ascii="宋体" w:hAnsi="宋体" w:eastAsia="宋体" w:cs="宋体"/>
          <w:sz w:val="21"/>
          <w:szCs w:val="21"/>
        </w:rPr>
      </w:pPr>
      <w:r>
        <w:rPr>
          <w:rFonts w:ascii="宋体" w:hAnsi="宋体" w:eastAsia="宋体" w:cs="宋体"/>
          <w:spacing w:val="1"/>
          <w:sz w:val="21"/>
          <w:szCs w:val="21"/>
        </w:rPr>
        <w:t>(3)未经论证，混凝土不应采用碱活性集料。</w:t>
      </w:r>
    </w:p>
    <w:p w14:paraId="498F234F">
      <w:pPr>
        <w:spacing w:before="72" w:line="219" w:lineRule="auto"/>
        <w:ind w:left="1369"/>
        <w:rPr>
          <w:rFonts w:ascii="宋体" w:hAnsi="宋体" w:eastAsia="宋体" w:cs="宋体"/>
          <w:sz w:val="21"/>
          <w:szCs w:val="21"/>
        </w:rPr>
      </w:pPr>
      <w:r>
        <w:rPr>
          <w:rFonts w:ascii="宋体" w:hAnsi="宋体" w:eastAsia="宋体" w:cs="宋体"/>
          <w:spacing w:val="3"/>
          <w:sz w:val="21"/>
          <w:szCs w:val="21"/>
        </w:rPr>
        <w:t>(4)在使用过程中，应定期维护。</w:t>
      </w:r>
    </w:p>
    <w:p w14:paraId="40A860F9">
      <w:pPr>
        <w:spacing w:before="52" w:line="305" w:lineRule="auto"/>
        <w:ind w:left="959" w:right="1502" w:firstLine="410"/>
        <w:jc w:val="both"/>
        <w:rPr>
          <w:rFonts w:ascii="宋体" w:hAnsi="宋体" w:eastAsia="宋体" w:cs="宋体"/>
          <w:sz w:val="16"/>
          <w:szCs w:val="16"/>
        </w:rPr>
      </w:pPr>
      <w:r>
        <w:rPr>
          <w:rFonts w:ascii="宋体" w:hAnsi="宋体" w:eastAsia="宋体" w:cs="宋体"/>
          <w:spacing w:val="14"/>
          <w:sz w:val="21"/>
          <w:szCs w:val="21"/>
        </w:rPr>
        <w:t>合理使用年限为20年、30年的水工结构混凝土强度等级宜与合理使用年限为</w:t>
      </w:r>
      <w:r>
        <w:rPr>
          <w:rFonts w:ascii="宋体" w:hAnsi="宋体" w:eastAsia="宋体" w:cs="宋体"/>
          <w:sz w:val="21"/>
          <w:szCs w:val="21"/>
        </w:rPr>
        <w:t xml:space="preserve"> </w:t>
      </w:r>
      <w:r>
        <w:rPr>
          <w:rFonts w:ascii="宋体" w:hAnsi="宋体" w:eastAsia="宋体" w:cs="宋体"/>
          <w:spacing w:val="10"/>
          <w:sz w:val="21"/>
          <w:szCs w:val="21"/>
        </w:rPr>
        <w:t>50年的水工结构一致。合理使用年限为150年的水工结构混凝土强度等级应作专门</w:t>
      </w:r>
      <w:r>
        <w:rPr>
          <w:rFonts w:ascii="宋体" w:hAnsi="宋体" w:eastAsia="宋体" w:cs="宋体"/>
          <w:spacing w:val="7"/>
          <w:sz w:val="21"/>
          <w:szCs w:val="21"/>
        </w:rPr>
        <w:t xml:space="preserve"> </w:t>
      </w:r>
      <w:r>
        <w:rPr>
          <w:rFonts w:ascii="宋体" w:hAnsi="宋体" w:eastAsia="宋体" w:cs="宋体"/>
          <w:spacing w:val="-5"/>
          <w:sz w:val="16"/>
          <w:szCs w:val="16"/>
        </w:rPr>
        <w:t>论</w:t>
      </w:r>
      <w:r>
        <w:rPr>
          <w:rFonts w:ascii="宋体" w:hAnsi="宋体" w:eastAsia="宋体" w:cs="宋体"/>
          <w:spacing w:val="-9"/>
          <w:sz w:val="16"/>
          <w:szCs w:val="16"/>
        </w:rPr>
        <w:t xml:space="preserve"> </w:t>
      </w:r>
      <w:r>
        <w:rPr>
          <w:rFonts w:ascii="宋体" w:hAnsi="宋体" w:eastAsia="宋体" w:cs="宋体"/>
          <w:spacing w:val="-5"/>
          <w:sz w:val="16"/>
          <w:szCs w:val="16"/>
        </w:rPr>
        <w:t>证</w:t>
      </w:r>
      <w:r>
        <w:rPr>
          <w:rFonts w:ascii="宋体" w:hAnsi="宋体" w:eastAsia="宋体" w:cs="宋体"/>
          <w:spacing w:val="-14"/>
          <w:sz w:val="16"/>
          <w:szCs w:val="16"/>
        </w:rPr>
        <w:t xml:space="preserve"> </w:t>
      </w:r>
      <w:r>
        <w:rPr>
          <w:rFonts w:ascii="宋体" w:hAnsi="宋体" w:eastAsia="宋体" w:cs="宋体"/>
          <w:spacing w:val="-5"/>
          <w:sz w:val="16"/>
          <w:szCs w:val="16"/>
        </w:rPr>
        <w:t>。</w:t>
      </w:r>
    </w:p>
    <w:p w14:paraId="287BF1F8">
      <w:pPr>
        <w:spacing w:before="1" w:line="218" w:lineRule="auto"/>
        <w:ind w:left="1369"/>
        <w:rPr>
          <w:rFonts w:ascii="宋体" w:hAnsi="宋体" w:eastAsia="宋体" w:cs="宋体"/>
          <w:sz w:val="21"/>
          <w:szCs w:val="21"/>
        </w:rPr>
      </w:pPr>
      <w:r>
        <w:rPr>
          <w:rFonts w:ascii="宋体" w:hAnsi="宋体" w:eastAsia="宋体" w:cs="宋体"/>
          <w:spacing w:val="-5"/>
          <w:sz w:val="21"/>
          <w:szCs w:val="21"/>
        </w:rPr>
        <w:t>混凝土坝、碾压混凝土坝等大体积混凝土材料应满足下列要求：</w:t>
      </w:r>
    </w:p>
    <w:p w14:paraId="568EEDDD">
      <w:pPr>
        <w:spacing w:before="61" w:line="255" w:lineRule="auto"/>
        <w:ind w:left="959" w:right="1517" w:firstLine="410"/>
        <w:rPr>
          <w:rFonts w:ascii="宋体" w:hAnsi="宋体" w:eastAsia="宋体" w:cs="宋体"/>
          <w:sz w:val="21"/>
          <w:szCs w:val="21"/>
        </w:rPr>
      </w:pPr>
      <w:r>
        <w:rPr>
          <w:rFonts w:ascii="宋体" w:hAnsi="宋体" w:eastAsia="宋体" w:cs="宋体"/>
          <w:spacing w:val="5"/>
          <w:sz w:val="21"/>
          <w:szCs w:val="21"/>
        </w:rPr>
        <w:t>(1)应采用合适的混凝土原材料，提高混凝土的密实性，改善</w:t>
      </w:r>
      <w:r>
        <w:rPr>
          <w:rFonts w:ascii="宋体" w:hAnsi="宋体" w:eastAsia="宋体" w:cs="宋体"/>
          <w:spacing w:val="4"/>
          <w:sz w:val="21"/>
          <w:szCs w:val="21"/>
        </w:rPr>
        <w:t>混凝土性能。应优</w:t>
      </w:r>
      <w:r>
        <w:rPr>
          <w:rFonts w:ascii="宋体" w:hAnsi="宋体" w:eastAsia="宋体" w:cs="宋体"/>
          <w:sz w:val="21"/>
          <w:szCs w:val="21"/>
        </w:rPr>
        <w:t xml:space="preserve"> </w:t>
      </w:r>
      <w:r>
        <w:rPr>
          <w:rFonts w:ascii="宋体" w:hAnsi="宋体" w:eastAsia="宋体" w:cs="宋体"/>
          <w:spacing w:val="-5"/>
          <w:sz w:val="21"/>
          <w:szCs w:val="21"/>
        </w:rPr>
        <w:t>先选用中热硅酸盐水泥或发热量较低的硅酸盐水泥。</w:t>
      </w:r>
    </w:p>
    <w:p w14:paraId="44A9BE5D">
      <w:pPr>
        <w:spacing w:before="22" w:line="274" w:lineRule="auto"/>
        <w:ind w:left="959" w:right="1514" w:firstLine="410"/>
        <w:rPr>
          <w:rFonts w:ascii="宋体" w:hAnsi="宋体" w:eastAsia="宋体" w:cs="宋体"/>
          <w:sz w:val="21"/>
          <w:szCs w:val="21"/>
        </w:rPr>
      </w:pPr>
      <w:r>
        <w:rPr>
          <w:rFonts w:ascii="宋体" w:hAnsi="宋体" w:eastAsia="宋体" w:cs="宋体"/>
          <w:spacing w:val="5"/>
          <w:sz w:val="21"/>
          <w:szCs w:val="21"/>
        </w:rPr>
        <w:t>(2)混凝土水胶比根据混凝土分区或部位</w:t>
      </w:r>
      <w:r>
        <w:rPr>
          <w:rFonts w:ascii="宋体" w:hAnsi="宋体" w:eastAsia="宋体" w:cs="宋体"/>
          <w:spacing w:val="4"/>
          <w:sz w:val="21"/>
          <w:szCs w:val="21"/>
        </w:rPr>
        <w:t>宜按表1.2-19确定。碾压混凝土的水胶</w:t>
      </w:r>
      <w:r>
        <w:rPr>
          <w:rFonts w:ascii="宋体" w:hAnsi="宋体" w:eastAsia="宋体" w:cs="宋体"/>
          <w:sz w:val="21"/>
          <w:szCs w:val="21"/>
        </w:rPr>
        <w:t xml:space="preserve"> </w:t>
      </w:r>
      <w:r>
        <w:rPr>
          <w:rFonts w:ascii="宋体" w:hAnsi="宋体" w:eastAsia="宋体" w:cs="宋体"/>
          <w:spacing w:val="-5"/>
          <w:sz w:val="21"/>
          <w:szCs w:val="21"/>
        </w:rPr>
        <w:t>比应小于0.70。</w:t>
      </w:r>
    </w:p>
    <w:p w14:paraId="39F317D3">
      <w:pPr>
        <w:spacing w:before="215" w:line="219" w:lineRule="auto"/>
        <w:ind w:left="3710"/>
        <w:rPr>
          <w:rFonts w:ascii="宋体" w:hAnsi="宋体" w:eastAsia="宋体" w:cs="宋体"/>
          <w:sz w:val="20"/>
          <w:szCs w:val="20"/>
        </w:rPr>
      </w:pPr>
      <w:r>
        <w:rPr>
          <w:rFonts w:ascii="宋体" w:hAnsi="宋体" w:eastAsia="宋体" w:cs="宋体"/>
          <w:spacing w:val="-1"/>
          <w:sz w:val="20"/>
          <w:szCs w:val="20"/>
        </w:rPr>
        <w:t>表1.2-19大坝混凝土水胶比</w:t>
      </w:r>
    </w:p>
    <w:p w14:paraId="66D09A82">
      <w:pPr>
        <w:spacing w:line="40" w:lineRule="exact"/>
      </w:pPr>
    </w:p>
    <w:tbl>
      <w:tblPr>
        <w:tblStyle w:val="5"/>
        <w:tblW w:w="7809" w:type="dxa"/>
        <w:tblInd w:w="10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3"/>
        <w:gridCol w:w="1218"/>
        <w:gridCol w:w="1228"/>
        <w:gridCol w:w="1219"/>
        <w:gridCol w:w="1218"/>
        <w:gridCol w:w="1233"/>
      </w:tblGrid>
      <w:tr w14:paraId="60ACD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3" w:type="dxa"/>
            <w:vMerge w:val="restart"/>
            <w:tcBorders>
              <w:bottom w:val="nil"/>
            </w:tcBorders>
            <w:vAlign w:val="top"/>
          </w:tcPr>
          <w:p w14:paraId="50FD0D0A">
            <w:pPr>
              <w:pStyle w:val="6"/>
              <w:spacing w:before="232" w:line="219" w:lineRule="auto"/>
              <w:ind w:left="474"/>
              <w:rPr>
                <w:sz w:val="18"/>
                <w:szCs w:val="18"/>
              </w:rPr>
            </w:pPr>
            <w:r>
              <w:rPr>
                <w:spacing w:val="3"/>
                <w:sz w:val="18"/>
                <w:szCs w:val="18"/>
              </w:rPr>
              <w:t>气候分区</w:t>
            </w:r>
          </w:p>
        </w:tc>
        <w:tc>
          <w:tcPr>
            <w:tcW w:w="6116" w:type="dxa"/>
            <w:gridSpan w:val="5"/>
            <w:vAlign w:val="top"/>
          </w:tcPr>
          <w:p w14:paraId="396E0C20">
            <w:pPr>
              <w:pStyle w:val="6"/>
              <w:spacing w:before="54" w:line="207" w:lineRule="auto"/>
              <w:ind w:left="2241"/>
              <w:rPr>
                <w:sz w:val="23"/>
                <w:szCs w:val="23"/>
              </w:rPr>
            </w:pPr>
            <w:r>
              <w:rPr>
                <w:sz w:val="23"/>
                <w:szCs w:val="23"/>
              </w:rPr>
              <w:t>大坝混凝土分区或部位</w:t>
            </w:r>
          </w:p>
        </w:tc>
      </w:tr>
      <w:tr w14:paraId="295BC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693" w:type="dxa"/>
            <w:vMerge w:val="continue"/>
            <w:tcBorders>
              <w:top w:val="nil"/>
            </w:tcBorders>
            <w:vAlign w:val="top"/>
          </w:tcPr>
          <w:p w14:paraId="6D802DDE">
            <w:pPr>
              <w:rPr>
                <w:rFonts w:ascii="Arial"/>
                <w:sz w:val="21"/>
              </w:rPr>
            </w:pPr>
          </w:p>
        </w:tc>
        <w:tc>
          <w:tcPr>
            <w:tcW w:w="1218" w:type="dxa"/>
            <w:vAlign w:val="top"/>
          </w:tcPr>
          <w:p w14:paraId="58779823">
            <w:pPr>
              <w:pStyle w:val="6"/>
              <w:spacing w:before="70" w:line="219" w:lineRule="auto"/>
              <w:ind w:left="421"/>
              <w:rPr>
                <w:sz w:val="18"/>
                <w:szCs w:val="18"/>
              </w:rPr>
            </w:pPr>
            <w:r>
              <w:rPr>
                <w:spacing w:val="-3"/>
                <w:sz w:val="18"/>
                <w:szCs w:val="18"/>
              </w:rPr>
              <w:t>水上</w:t>
            </w:r>
          </w:p>
        </w:tc>
        <w:tc>
          <w:tcPr>
            <w:tcW w:w="1228" w:type="dxa"/>
            <w:vAlign w:val="top"/>
          </w:tcPr>
          <w:p w14:paraId="78E4AAB7">
            <w:pPr>
              <w:pStyle w:val="6"/>
              <w:spacing w:before="70" w:line="219" w:lineRule="auto"/>
              <w:ind w:left="153"/>
              <w:rPr>
                <w:sz w:val="18"/>
                <w:szCs w:val="18"/>
              </w:rPr>
            </w:pPr>
            <w:r>
              <w:rPr>
                <w:spacing w:val="3"/>
                <w:sz w:val="18"/>
                <w:szCs w:val="18"/>
              </w:rPr>
              <w:t>水位变化区</w:t>
            </w:r>
          </w:p>
        </w:tc>
        <w:tc>
          <w:tcPr>
            <w:tcW w:w="1219" w:type="dxa"/>
            <w:vAlign w:val="top"/>
          </w:tcPr>
          <w:p w14:paraId="020AB320">
            <w:pPr>
              <w:pStyle w:val="6"/>
              <w:spacing w:before="70" w:line="219" w:lineRule="auto"/>
              <w:ind w:left="426"/>
              <w:rPr>
                <w:sz w:val="18"/>
                <w:szCs w:val="18"/>
              </w:rPr>
            </w:pPr>
            <w:r>
              <w:rPr>
                <w:spacing w:val="5"/>
                <w:sz w:val="18"/>
                <w:szCs w:val="18"/>
              </w:rPr>
              <w:t>水下</w:t>
            </w:r>
          </w:p>
        </w:tc>
        <w:tc>
          <w:tcPr>
            <w:tcW w:w="1218" w:type="dxa"/>
            <w:vAlign w:val="top"/>
          </w:tcPr>
          <w:p w14:paraId="3F8E4858">
            <w:pPr>
              <w:pStyle w:val="6"/>
              <w:spacing w:before="76" w:line="225" w:lineRule="auto"/>
              <w:ind w:left="426"/>
              <w:rPr>
                <w:sz w:val="18"/>
                <w:szCs w:val="18"/>
              </w:rPr>
            </w:pPr>
            <w:r>
              <w:rPr>
                <w:spacing w:val="-2"/>
                <w:sz w:val="18"/>
                <w:szCs w:val="18"/>
              </w:rPr>
              <w:t>基础</w:t>
            </w:r>
          </w:p>
        </w:tc>
        <w:tc>
          <w:tcPr>
            <w:tcW w:w="1233" w:type="dxa"/>
            <w:vAlign w:val="top"/>
          </w:tcPr>
          <w:p w14:paraId="6CB669C8">
            <w:pPr>
              <w:pStyle w:val="6"/>
              <w:spacing w:before="70" w:line="219" w:lineRule="auto"/>
              <w:ind w:left="428"/>
              <w:rPr>
                <w:sz w:val="18"/>
                <w:szCs w:val="18"/>
              </w:rPr>
            </w:pPr>
            <w:r>
              <w:rPr>
                <w:spacing w:val="-2"/>
                <w:sz w:val="18"/>
                <w:szCs w:val="18"/>
              </w:rPr>
              <w:t>抗冲</w:t>
            </w:r>
          </w:p>
        </w:tc>
      </w:tr>
      <w:tr w14:paraId="386D3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693" w:type="dxa"/>
            <w:vAlign w:val="top"/>
          </w:tcPr>
          <w:p w14:paraId="50EE98FD">
            <w:pPr>
              <w:pStyle w:val="6"/>
              <w:spacing w:before="73" w:line="220" w:lineRule="auto"/>
              <w:ind w:left="295"/>
              <w:rPr>
                <w:sz w:val="18"/>
                <w:szCs w:val="18"/>
              </w:rPr>
            </w:pPr>
            <w:r>
              <w:rPr>
                <w:spacing w:val="2"/>
                <w:sz w:val="18"/>
                <w:szCs w:val="18"/>
              </w:rPr>
              <w:t>严寒和寒冷区</w:t>
            </w:r>
          </w:p>
        </w:tc>
        <w:tc>
          <w:tcPr>
            <w:tcW w:w="1218" w:type="dxa"/>
            <w:vAlign w:val="top"/>
          </w:tcPr>
          <w:p w14:paraId="494A94C0">
            <w:pPr>
              <w:pStyle w:val="6"/>
              <w:spacing w:before="90" w:line="223" w:lineRule="auto"/>
              <w:ind w:left="421"/>
              <w:rPr>
                <w:sz w:val="18"/>
                <w:szCs w:val="18"/>
              </w:rPr>
            </w:pPr>
            <w:r>
              <w:rPr>
                <w:spacing w:val="-2"/>
                <w:sz w:val="18"/>
                <w:szCs w:val="18"/>
              </w:rPr>
              <w:t>0.55</w:t>
            </w:r>
          </w:p>
        </w:tc>
        <w:tc>
          <w:tcPr>
            <w:tcW w:w="1228" w:type="dxa"/>
            <w:vAlign w:val="top"/>
          </w:tcPr>
          <w:p w14:paraId="5693BCFF">
            <w:pPr>
              <w:pStyle w:val="6"/>
              <w:spacing w:before="90" w:line="223" w:lineRule="auto"/>
              <w:ind w:left="423"/>
              <w:rPr>
                <w:sz w:val="18"/>
                <w:szCs w:val="18"/>
              </w:rPr>
            </w:pPr>
            <w:r>
              <w:rPr>
                <w:spacing w:val="-2"/>
                <w:sz w:val="18"/>
                <w:szCs w:val="18"/>
              </w:rPr>
              <w:t>0.45</w:t>
            </w:r>
          </w:p>
        </w:tc>
        <w:tc>
          <w:tcPr>
            <w:tcW w:w="1219" w:type="dxa"/>
            <w:vAlign w:val="top"/>
          </w:tcPr>
          <w:p w14:paraId="3668B02E">
            <w:pPr>
              <w:pStyle w:val="6"/>
              <w:spacing w:before="90" w:line="223" w:lineRule="auto"/>
              <w:ind w:left="426"/>
              <w:rPr>
                <w:sz w:val="18"/>
                <w:szCs w:val="18"/>
              </w:rPr>
            </w:pPr>
            <w:r>
              <w:rPr>
                <w:spacing w:val="-2"/>
                <w:sz w:val="18"/>
                <w:szCs w:val="18"/>
              </w:rPr>
              <w:t>0.50</w:t>
            </w:r>
          </w:p>
        </w:tc>
        <w:tc>
          <w:tcPr>
            <w:tcW w:w="1218" w:type="dxa"/>
            <w:vAlign w:val="top"/>
          </w:tcPr>
          <w:p w14:paraId="1353BE1E">
            <w:pPr>
              <w:pStyle w:val="6"/>
              <w:spacing w:before="90" w:line="223" w:lineRule="auto"/>
              <w:ind w:left="426"/>
              <w:rPr>
                <w:sz w:val="18"/>
                <w:szCs w:val="18"/>
              </w:rPr>
            </w:pPr>
            <w:r>
              <w:rPr>
                <w:spacing w:val="-2"/>
                <w:sz w:val="18"/>
                <w:szCs w:val="18"/>
              </w:rPr>
              <w:t>0.50</w:t>
            </w:r>
          </w:p>
        </w:tc>
        <w:tc>
          <w:tcPr>
            <w:tcW w:w="1233" w:type="dxa"/>
            <w:vAlign w:val="top"/>
          </w:tcPr>
          <w:p w14:paraId="25F6E2DA">
            <w:pPr>
              <w:pStyle w:val="6"/>
              <w:spacing w:before="90" w:line="223" w:lineRule="auto"/>
              <w:ind w:left="428"/>
              <w:rPr>
                <w:sz w:val="18"/>
                <w:szCs w:val="18"/>
              </w:rPr>
            </w:pPr>
            <w:r>
              <w:rPr>
                <w:spacing w:val="-2"/>
                <w:sz w:val="18"/>
                <w:szCs w:val="18"/>
              </w:rPr>
              <w:t>0.45</w:t>
            </w:r>
          </w:p>
        </w:tc>
      </w:tr>
      <w:tr w14:paraId="7949E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693" w:type="dxa"/>
            <w:vAlign w:val="top"/>
          </w:tcPr>
          <w:p w14:paraId="6C40EB0A">
            <w:pPr>
              <w:pStyle w:val="6"/>
              <w:spacing w:before="77" w:line="222" w:lineRule="auto"/>
              <w:ind w:left="564"/>
              <w:rPr>
                <w:sz w:val="18"/>
                <w:szCs w:val="18"/>
              </w:rPr>
            </w:pPr>
            <w:r>
              <w:rPr>
                <w:spacing w:val="5"/>
                <w:sz w:val="18"/>
                <w:szCs w:val="18"/>
              </w:rPr>
              <w:t>温和区</w:t>
            </w:r>
          </w:p>
        </w:tc>
        <w:tc>
          <w:tcPr>
            <w:tcW w:w="1218" w:type="dxa"/>
            <w:vAlign w:val="top"/>
          </w:tcPr>
          <w:p w14:paraId="663DA738">
            <w:pPr>
              <w:pStyle w:val="6"/>
              <w:spacing w:before="92" w:line="225" w:lineRule="auto"/>
              <w:ind w:left="421"/>
              <w:rPr>
                <w:sz w:val="18"/>
                <w:szCs w:val="18"/>
              </w:rPr>
            </w:pPr>
            <w:r>
              <w:rPr>
                <w:spacing w:val="-2"/>
                <w:sz w:val="18"/>
                <w:szCs w:val="18"/>
              </w:rPr>
              <w:t>0.60</w:t>
            </w:r>
          </w:p>
        </w:tc>
        <w:tc>
          <w:tcPr>
            <w:tcW w:w="1228" w:type="dxa"/>
            <w:vAlign w:val="top"/>
          </w:tcPr>
          <w:p w14:paraId="49E20803">
            <w:pPr>
              <w:pStyle w:val="6"/>
              <w:spacing w:before="92" w:line="225" w:lineRule="auto"/>
              <w:ind w:left="423"/>
              <w:rPr>
                <w:sz w:val="18"/>
                <w:szCs w:val="18"/>
              </w:rPr>
            </w:pPr>
            <w:r>
              <w:rPr>
                <w:spacing w:val="-2"/>
                <w:sz w:val="18"/>
                <w:szCs w:val="18"/>
              </w:rPr>
              <w:t>0.50</w:t>
            </w:r>
          </w:p>
        </w:tc>
        <w:tc>
          <w:tcPr>
            <w:tcW w:w="1219" w:type="dxa"/>
            <w:vAlign w:val="top"/>
          </w:tcPr>
          <w:p w14:paraId="7340E44D">
            <w:pPr>
              <w:pStyle w:val="6"/>
              <w:spacing w:before="92" w:line="225" w:lineRule="auto"/>
              <w:ind w:left="426"/>
              <w:rPr>
                <w:sz w:val="18"/>
                <w:szCs w:val="18"/>
              </w:rPr>
            </w:pPr>
            <w:r>
              <w:rPr>
                <w:spacing w:val="-2"/>
                <w:sz w:val="18"/>
                <w:szCs w:val="18"/>
              </w:rPr>
              <w:t>0.55</w:t>
            </w:r>
          </w:p>
        </w:tc>
        <w:tc>
          <w:tcPr>
            <w:tcW w:w="1218" w:type="dxa"/>
            <w:vAlign w:val="top"/>
          </w:tcPr>
          <w:p w14:paraId="7C14561C">
            <w:pPr>
              <w:pStyle w:val="6"/>
              <w:spacing w:before="92" w:line="225" w:lineRule="auto"/>
              <w:ind w:left="426"/>
              <w:rPr>
                <w:sz w:val="18"/>
                <w:szCs w:val="18"/>
              </w:rPr>
            </w:pPr>
            <w:r>
              <w:rPr>
                <w:spacing w:val="-2"/>
                <w:sz w:val="18"/>
                <w:szCs w:val="18"/>
              </w:rPr>
              <w:t>0.55</w:t>
            </w:r>
          </w:p>
        </w:tc>
        <w:tc>
          <w:tcPr>
            <w:tcW w:w="1233" w:type="dxa"/>
            <w:vAlign w:val="top"/>
          </w:tcPr>
          <w:p w14:paraId="73812B0C">
            <w:pPr>
              <w:pStyle w:val="6"/>
              <w:spacing w:before="92" w:line="225" w:lineRule="auto"/>
              <w:ind w:left="428"/>
              <w:rPr>
                <w:sz w:val="18"/>
                <w:szCs w:val="18"/>
              </w:rPr>
            </w:pPr>
            <w:r>
              <w:rPr>
                <w:spacing w:val="-2"/>
                <w:sz w:val="18"/>
                <w:szCs w:val="18"/>
              </w:rPr>
              <w:t>0.45</w:t>
            </w:r>
          </w:p>
        </w:tc>
      </w:tr>
    </w:tbl>
    <w:p w14:paraId="1E710310">
      <w:pPr>
        <w:spacing w:before="289" w:line="212" w:lineRule="auto"/>
        <w:ind w:left="1369"/>
        <w:rPr>
          <w:rFonts w:ascii="宋体" w:hAnsi="宋体" w:eastAsia="宋体" w:cs="宋体"/>
          <w:sz w:val="21"/>
          <w:szCs w:val="21"/>
        </w:rPr>
      </w:pPr>
      <w:r>
        <w:rPr>
          <w:rFonts w:ascii="宋体" w:hAnsi="宋体" w:eastAsia="宋体" w:cs="宋体"/>
          <w:spacing w:val="7"/>
          <w:sz w:val="21"/>
          <w:szCs w:val="21"/>
        </w:rPr>
        <w:t>(3)基础混凝土强度等级不应低于</w:t>
      </w:r>
      <w:r>
        <w:rPr>
          <w:rFonts w:ascii="Times New Roman" w:hAnsi="Times New Roman" w:eastAsia="Times New Roman" w:cs="Times New Roman"/>
          <w:spacing w:val="7"/>
          <w:sz w:val="21"/>
          <w:szCs w:val="21"/>
        </w:rPr>
        <w:t>C15,</w:t>
      </w:r>
      <w:r>
        <w:rPr>
          <w:rFonts w:ascii="Times New Roman" w:hAnsi="Times New Roman" w:eastAsia="Times New Roman" w:cs="Times New Roman"/>
          <w:spacing w:val="48"/>
          <w:sz w:val="21"/>
          <w:szCs w:val="21"/>
        </w:rPr>
        <w:t xml:space="preserve"> </w:t>
      </w:r>
      <w:r>
        <w:rPr>
          <w:rFonts w:ascii="宋体" w:hAnsi="宋体" w:eastAsia="宋体" w:cs="宋体"/>
          <w:spacing w:val="7"/>
          <w:sz w:val="21"/>
          <w:szCs w:val="21"/>
        </w:rPr>
        <w:t>过流表面混凝土强度等级不应低于</w:t>
      </w:r>
      <w:r>
        <w:rPr>
          <w:rFonts w:ascii="Times New Roman" w:hAnsi="Times New Roman" w:eastAsia="Times New Roman" w:cs="Times New Roman"/>
          <w:spacing w:val="7"/>
          <w:sz w:val="21"/>
          <w:szCs w:val="21"/>
        </w:rPr>
        <w:t>C30</w:t>
      </w:r>
      <w:r>
        <w:rPr>
          <w:rFonts w:ascii="宋体" w:hAnsi="宋体" w:eastAsia="宋体" w:cs="宋体"/>
          <w:spacing w:val="7"/>
          <w:sz w:val="21"/>
          <w:szCs w:val="21"/>
        </w:rPr>
        <w:t>。</w:t>
      </w:r>
    </w:p>
    <w:p w14:paraId="23B0FB3F">
      <w:pPr>
        <w:spacing w:before="89" w:line="212" w:lineRule="auto"/>
        <w:ind w:left="959"/>
        <w:rPr>
          <w:rFonts w:ascii="宋体" w:hAnsi="宋体" w:eastAsia="宋体" w:cs="宋体"/>
          <w:sz w:val="21"/>
          <w:szCs w:val="21"/>
        </w:rPr>
      </w:pPr>
      <w:r>
        <w:rPr>
          <w:rFonts w:ascii="宋体" w:hAnsi="宋体" w:eastAsia="宋体" w:cs="宋体"/>
          <w:sz w:val="21"/>
          <w:szCs w:val="21"/>
        </w:rPr>
        <w:t>碾压混凝土坝表层混凝土强度等级不应低于</w:t>
      </w:r>
      <w:r>
        <w:rPr>
          <w:rFonts w:ascii="Times New Roman" w:hAnsi="Times New Roman" w:eastAsia="Times New Roman" w:cs="Times New Roman"/>
          <w:sz w:val="21"/>
          <w:szCs w:val="21"/>
        </w:rPr>
        <w:t>C₁8015,</w:t>
      </w:r>
      <w:r>
        <w:rPr>
          <w:rFonts w:ascii="宋体" w:hAnsi="宋体" w:eastAsia="宋体" w:cs="宋体"/>
          <w:sz w:val="21"/>
          <w:szCs w:val="21"/>
        </w:rPr>
        <w:t>上游面防渗层混凝土强度等级不应</w:t>
      </w:r>
    </w:p>
    <w:p w14:paraId="03A410F1">
      <w:pPr>
        <w:spacing w:before="102" w:line="219" w:lineRule="auto"/>
        <w:ind w:left="959"/>
        <w:rPr>
          <w:rFonts w:ascii="宋体" w:hAnsi="宋体" w:eastAsia="宋体" w:cs="宋体"/>
          <w:sz w:val="21"/>
          <w:szCs w:val="21"/>
        </w:rPr>
      </w:pPr>
      <w:r>
        <w:rPr>
          <w:rFonts w:ascii="宋体" w:hAnsi="宋体" w:eastAsia="宋体" w:cs="宋体"/>
          <w:spacing w:val="-2"/>
          <w:sz w:val="21"/>
          <w:szCs w:val="21"/>
        </w:rPr>
        <w:t>低于</w:t>
      </w:r>
      <w:r>
        <w:rPr>
          <w:rFonts w:ascii="Times New Roman" w:hAnsi="Times New Roman" w:eastAsia="Times New Roman" w:cs="Times New Roman"/>
          <w:spacing w:val="-2"/>
          <w:sz w:val="21"/>
          <w:szCs w:val="21"/>
        </w:rPr>
        <w:t>C₁8₀20</w:t>
      </w:r>
      <w:r>
        <w:rPr>
          <w:rFonts w:ascii="宋体" w:hAnsi="宋体" w:eastAsia="宋体" w:cs="宋体"/>
          <w:spacing w:val="-2"/>
          <w:sz w:val="21"/>
          <w:szCs w:val="21"/>
        </w:rPr>
        <w:t>且宜优先采用二级配碾压混凝土。</w:t>
      </w:r>
    </w:p>
    <w:p w14:paraId="6E3B7694">
      <w:pPr>
        <w:spacing w:before="50" w:line="281" w:lineRule="auto"/>
        <w:ind w:left="959" w:right="1478" w:firstLine="460"/>
        <w:jc w:val="both"/>
        <w:rPr>
          <w:rFonts w:ascii="宋体" w:hAnsi="宋体" w:eastAsia="宋体" w:cs="宋体"/>
          <w:sz w:val="21"/>
          <w:szCs w:val="21"/>
        </w:rPr>
      </w:pPr>
      <w:r>
        <w:rPr>
          <w:rFonts w:ascii="宋体" w:hAnsi="宋体" w:eastAsia="宋体" w:cs="宋体"/>
          <w:spacing w:val="2"/>
          <w:sz w:val="21"/>
          <w:szCs w:val="21"/>
        </w:rPr>
        <w:t>对可能发生碱集料反应的混凝土，宜采用掺加活</w:t>
      </w:r>
      <w:r>
        <w:rPr>
          <w:rFonts w:ascii="宋体" w:hAnsi="宋体" w:eastAsia="宋体" w:cs="宋体"/>
          <w:spacing w:val="1"/>
          <w:sz w:val="21"/>
          <w:szCs w:val="21"/>
        </w:rPr>
        <w:t>性掺合料作为抑制措施。掺合料</w:t>
      </w:r>
      <w:r>
        <w:rPr>
          <w:rFonts w:ascii="宋体" w:hAnsi="宋体" w:eastAsia="宋体" w:cs="宋体"/>
          <w:sz w:val="21"/>
          <w:szCs w:val="21"/>
        </w:rPr>
        <w:t xml:space="preserve"> </w:t>
      </w:r>
      <w:r>
        <w:rPr>
          <w:rFonts w:ascii="宋体" w:hAnsi="宋体" w:eastAsia="宋体" w:cs="宋体"/>
          <w:spacing w:val="-4"/>
          <w:sz w:val="21"/>
          <w:szCs w:val="21"/>
        </w:rPr>
        <w:t>的种类、掺量应通过抑制试验确定，宜采用大掺量矿物掺合料。单掺磨细矿渣粉的掺量</w:t>
      </w:r>
      <w:r>
        <w:rPr>
          <w:rFonts w:ascii="宋体" w:hAnsi="宋体" w:eastAsia="宋体" w:cs="宋体"/>
          <w:sz w:val="21"/>
          <w:szCs w:val="21"/>
        </w:rPr>
        <w:t xml:space="preserve"> </w:t>
      </w:r>
      <w:r>
        <w:rPr>
          <w:rFonts w:ascii="宋体" w:hAnsi="宋体" w:eastAsia="宋体" w:cs="宋体"/>
          <w:spacing w:val="12"/>
          <w:sz w:val="21"/>
          <w:szCs w:val="21"/>
        </w:rPr>
        <w:t>不宜少于50%,单掺粉煤灰掺量不宜少于20%,并应降低水泥和矿物掺合料中的碱含</w:t>
      </w:r>
    </w:p>
    <w:sectPr>
      <w:pgSz w:w="10320" w:h="14590"/>
      <w:pgMar w:top="61" w:right="13" w:bottom="10"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TXingkai">
    <w:altName w:val="宋体"/>
    <w:panose1 w:val="0201080004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8EBA">
    <w:pPr>
      <w:spacing w:line="198" w:lineRule="auto"/>
      <w:jc w:val="right"/>
      <w:rPr>
        <w:rFonts w:ascii="宋体" w:hAnsi="宋体" w:eastAsia="宋体" w:cs="宋体"/>
        <w:sz w:val="20"/>
        <w:szCs w:val="20"/>
      </w:rPr>
    </w:pPr>
    <w:r>
      <w:rPr>
        <w:rFonts w:ascii="宋体" w:hAnsi="宋体" w:eastAsia="宋体" w:cs="宋体"/>
        <w:spacing w:val="15"/>
        <w:sz w:val="20"/>
        <w:szCs w:val="20"/>
      </w:rPr>
      <w:t>专注自己通过的考试，需要资料和指导请找</w:t>
    </w:r>
    <w:r>
      <w:rPr>
        <w:rFonts w:hint="eastAsia" w:ascii="宋体" w:hAnsi="宋体" w:eastAsia="宋体" w:cs="宋体"/>
        <w:spacing w:val="15"/>
        <w:sz w:val="20"/>
        <w:szCs w:val="20"/>
        <w:lang w:eastAsia="zh-CN"/>
      </w:rPr>
      <w:t>大鱼社区</w:t>
    </w:r>
    <w:r>
      <w:rPr>
        <w:rFonts w:ascii="宋体" w:hAnsi="宋体" w:eastAsia="宋体" w:cs="宋体"/>
        <w:spacing w:val="15"/>
        <w:sz w:val="20"/>
        <w:szCs w:val="20"/>
      </w:rPr>
      <w:t>!</w:t>
    </w:r>
    <w:r>
      <w:rPr>
        <w:rFonts w:ascii="宋体" w:hAnsi="宋体" w:eastAsia="宋体" w:cs="宋体"/>
        <w:spacing w:val="-50"/>
        <w:sz w:val="20"/>
        <w:szCs w:val="20"/>
      </w:rPr>
      <w:t xml:space="preserve"> </w:t>
    </w:r>
    <w:r>
      <w:rPr>
        <w:rFonts w:ascii="Times New Roman" w:hAnsi="Times New Roman" w:eastAsia="Times New Roman" w:cs="Times New Roman"/>
        <w:sz w:val="20"/>
        <w:szCs w:val="20"/>
      </w:rPr>
      <w:t>VX</w:t>
    </w:r>
    <w:r>
      <w:rPr>
        <w:rFonts w:ascii="Times New Roman" w:hAnsi="Times New Roman" w:eastAsia="Times New Roman" w:cs="Times New Roman"/>
        <w:spacing w:val="15"/>
        <w:sz w:val="20"/>
        <w:szCs w:val="20"/>
      </w:rPr>
      <w:t xml:space="preserve">:  </w:t>
    </w:r>
    <w:r>
      <w:rPr>
        <w:rFonts w:hint="eastAsia" w:ascii="Times New Roman" w:hAnsi="Times New Roman" w:eastAsia="宋体" w:cs="Times New Roman"/>
        <w:spacing w:val="15"/>
        <w:sz w:val="20"/>
        <w:szCs w:val="20"/>
        <w:lang w:eastAsia="zh-CN"/>
      </w:rPr>
      <w:t>dayu_nm_cn</w:t>
    </w:r>
    <w:r>
      <w:rPr>
        <w:rFonts w:ascii="宋体" w:hAnsi="宋体" w:eastAsia="宋体" w:cs="宋体"/>
        <w:spacing w:val="15"/>
        <w:sz w:val="20"/>
        <w:szCs w:val="20"/>
      </w:rPr>
      <w:t xml:space="preserve"> (</w:t>
    </w:r>
    <w:r>
      <w:rPr>
        <w:rFonts w:ascii="宋体" w:hAnsi="宋体" w:eastAsia="宋体" w:cs="宋体"/>
        <w:spacing w:val="-39"/>
        <w:sz w:val="20"/>
        <w:szCs w:val="20"/>
      </w:rPr>
      <w:t xml:space="preserve"> </w:t>
    </w:r>
    <w:r>
      <w:rPr>
        <w:rFonts w:ascii="宋体" w:hAnsi="宋体" w:eastAsia="宋体" w:cs="宋体"/>
        <w:spacing w:val="15"/>
        <w:sz w:val="20"/>
        <w:szCs w:val="20"/>
      </w:rPr>
      <w:t>天</w:t>
    </w:r>
    <w:r>
      <w:rPr>
        <w:rFonts w:ascii="宋体" w:hAnsi="宋体" w:eastAsia="宋体" w:cs="宋体"/>
        <w:spacing w:val="-45"/>
        <w:sz w:val="20"/>
        <w:szCs w:val="20"/>
      </w:rPr>
      <w:t xml:space="preserve"> </w:t>
    </w:r>
    <w:r>
      <w:rPr>
        <w:rFonts w:ascii="宋体" w:hAnsi="宋体" w:eastAsia="宋体" w:cs="宋体"/>
        <w:spacing w:val="15"/>
        <w:sz w:val="20"/>
        <w:szCs w:val="20"/>
      </w:rPr>
      <w:t>道</w:t>
    </w:r>
    <w:r>
      <w:rPr>
        <w:rFonts w:ascii="宋体" w:hAnsi="宋体" w:eastAsia="宋体" w:cs="宋体"/>
        <w:spacing w:val="-44"/>
        <w:sz w:val="20"/>
        <w:szCs w:val="20"/>
      </w:rPr>
      <w:t xml:space="preserve"> </w:t>
    </w:r>
    <w:r>
      <w:rPr>
        <w:rFonts w:ascii="宋体" w:hAnsi="宋体" w:eastAsia="宋体" w:cs="宋体"/>
        <w:spacing w:val="15"/>
        <w:sz w:val="20"/>
        <w:szCs w:val="20"/>
      </w:rPr>
      <w:t>酬</w:t>
    </w:r>
    <w:r>
      <w:rPr>
        <w:rFonts w:ascii="宋体" w:hAnsi="宋体" w:eastAsia="宋体" w:cs="宋体"/>
        <w:spacing w:val="-42"/>
        <w:sz w:val="20"/>
        <w:szCs w:val="20"/>
      </w:rPr>
      <w:t xml:space="preserve"> </w:t>
    </w:r>
    <w:r>
      <w:rPr>
        <w:rFonts w:ascii="宋体" w:hAnsi="宋体" w:eastAsia="宋体" w:cs="宋体"/>
        <w:spacing w:val="15"/>
        <w:sz w:val="20"/>
        <w:szCs w:val="20"/>
      </w:rPr>
      <w:t>勤</w:t>
    </w:r>
    <w:r>
      <w:rPr>
        <w:rFonts w:ascii="宋体" w:hAnsi="宋体" w:eastAsia="宋体" w:cs="宋体"/>
        <w:spacing w:val="-27"/>
        <w:sz w:val="20"/>
        <w:szCs w:val="20"/>
      </w:rPr>
      <w:t xml:space="preserve"> </w:t>
    </w:r>
    <w:r>
      <w:rPr>
        <w:rFonts w:ascii="宋体" w:hAnsi="宋体" w:eastAsia="宋体" w:cs="宋体"/>
        <w:spacing w:val="15"/>
        <w:sz w:val="20"/>
        <w:szCs w:val="20"/>
      </w:rPr>
      <w:t>，</w:t>
    </w:r>
    <w:r>
      <w:rPr>
        <w:rFonts w:ascii="宋体" w:hAnsi="宋体" w:eastAsia="宋体" w:cs="宋体"/>
        <w:spacing w:val="-14"/>
        <w:sz w:val="20"/>
        <w:szCs w:val="20"/>
      </w:rPr>
      <w:t xml:space="preserve"> </w:t>
    </w:r>
    <w:r>
      <w:rPr>
        <w:rFonts w:ascii="宋体" w:hAnsi="宋体" w:eastAsia="宋体" w:cs="宋体"/>
        <w:spacing w:val="15"/>
        <w:sz w:val="20"/>
        <w:szCs w:val="20"/>
      </w:rPr>
      <w:t>白</w:t>
    </w:r>
    <w:r>
      <w:rPr>
        <w:rFonts w:ascii="宋体" w:hAnsi="宋体" w:eastAsia="宋体" w:cs="宋体"/>
        <w:spacing w:val="-44"/>
        <w:sz w:val="20"/>
        <w:szCs w:val="20"/>
      </w:rPr>
      <w:t xml:space="preserve"> </w:t>
    </w:r>
    <w:r>
      <w:rPr>
        <w:rFonts w:ascii="宋体" w:hAnsi="宋体" w:eastAsia="宋体" w:cs="宋体"/>
        <w:spacing w:val="14"/>
        <w:sz w:val="20"/>
        <w:szCs w:val="20"/>
      </w:rPr>
      <w:t>嫖</w:t>
    </w:r>
    <w:r>
      <w:rPr>
        <w:rFonts w:ascii="宋体" w:hAnsi="宋体" w:eastAsia="宋体" w:cs="宋体"/>
        <w:spacing w:val="-37"/>
        <w:sz w:val="20"/>
        <w:szCs w:val="20"/>
      </w:rPr>
      <w:t xml:space="preserve"> </w:t>
    </w:r>
    <w:r>
      <w:rPr>
        <w:rFonts w:ascii="宋体" w:hAnsi="宋体" w:eastAsia="宋体" w:cs="宋体"/>
        <w:spacing w:val="14"/>
        <w:sz w:val="20"/>
        <w:szCs w:val="20"/>
      </w:rPr>
      <w:t>勿</w:t>
    </w:r>
    <w:r>
      <w:rPr>
        <w:rFonts w:ascii="宋体" w:hAnsi="宋体" w:eastAsia="宋体" w:cs="宋体"/>
        <w:spacing w:val="-44"/>
        <w:sz w:val="20"/>
        <w:szCs w:val="20"/>
      </w:rPr>
      <w:t xml:space="preserve"> </w:t>
    </w:r>
    <w:r>
      <w:rPr>
        <w:rFonts w:ascii="宋体" w:hAnsi="宋体" w:eastAsia="宋体" w:cs="宋体"/>
        <w:spacing w:val="14"/>
        <w:sz w:val="20"/>
        <w:szCs w:val="20"/>
      </w:rPr>
      <w:t>扰</w:t>
    </w:r>
    <w:r>
      <w:rPr>
        <w:rFonts w:ascii="宋体" w:hAnsi="宋体" w:eastAsia="宋体" w:cs="宋体"/>
        <w:spacing w:val="-42"/>
        <w:sz w:val="20"/>
        <w:szCs w:val="20"/>
      </w:rPr>
      <w:t xml:space="preserve"> </w:t>
    </w:r>
    <w:r>
      <w:rPr>
        <w:rFonts w:ascii="宋体" w:hAnsi="宋体" w:eastAsia="宋体" w:cs="宋体"/>
        <w:spacing w:val="14"/>
        <w:sz w:val="20"/>
        <w:szCs w:val="2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45417">
    <w:pPr>
      <w:spacing w:line="198" w:lineRule="auto"/>
      <w:jc w:val="right"/>
      <w:rPr>
        <w:rFonts w:ascii="宋体" w:hAnsi="宋体" w:eastAsia="宋体" w:cs="宋体"/>
        <w:sz w:val="20"/>
        <w:szCs w:val="20"/>
      </w:rPr>
    </w:pPr>
    <w:r>
      <w:rPr>
        <w:rFonts w:ascii="宋体" w:hAnsi="宋体" w:eastAsia="宋体" w:cs="宋体"/>
        <w:b/>
        <w:bCs/>
        <w:spacing w:val="16"/>
        <w:sz w:val="20"/>
        <w:szCs w:val="20"/>
      </w:rPr>
      <w:t>专注自己通过的考试，需要资料和指导请找</w:t>
    </w:r>
    <w:r>
      <w:rPr>
        <w:rFonts w:hint="eastAsia" w:ascii="宋体" w:hAnsi="宋体" w:eastAsia="宋体" w:cs="宋体"/>
        <w:b/>
        <w:bCs/>
        <w:spacing w:val="16"/>
        <w:sz w:val="20"/>
        <w:szCs w:val="20"/>
        <w:lang w:eastAsia="zh-CN"/>
      </w:rPr>
      <w:t>大鱼社区</w:t>
    </w:r>
    <w:r>
      <w:rPr>
        <w:rFonts w:ascii="宋体" w:hAnsi="宋体" w:eastAsia="宋体" w:cs="宋体"/>
        <w:b/>
        <w:bCs/>
        <w:spacing w:val="15"/>
        <w:sz w:val="20"/>
        <w:szCs w:val="20"/>
      </w:rPr>
      <w:t>!</w:t>
    </w:r>
    <w:r>
      <w:rPr>
        <w:rFonts w:ascii="宋体" w:hAnsi="宋体" w:eastAsia="宋体" w:cs="宋体"/>
        <w:spacing w:val="-47"/>
        <w:sz w:val="20"/>
        <w:szCs w:val="20"/>
      </w:rPr>
      <w:t xml:space="preserve"> </w:t>
    </w:r>
    <w:r>
      <w:rPr>
        <w:rFonts w:ascii="Times New Roman" w:hAnsi="Times New Roman" w:eastAsia="Times New Roman" w:cs="Times New Roman"/>
        <w:b/>
        <w:bCs/>
        <w:sz w:val="20"/>
        <w:szCs w:val="20"/>
      </w:rPr>
      <w:t>VX</w:t>
    </w:r>
    <w:r>
      <w:rPr>
        <w:rFonts w:ascii="Times New Roman" w:hAnsi="Times New Roman" w:eastAsia="Times New Roman" w:cs="Times New Roman"/>
        <w:b/>
        <w:bCs/>
        <w:spacing w:val="15"/>
        <w:sz w:val="20"/>
        <w:szCs w:val="20"/>
      </w:rPr>
      <w:t>:</w:t>
    </w:r>
    <w:r>
      <w:rPr>
        <w:rFonts w:hint="eastAsia" w:ascii="Times New Roman" w:hAnsi="Times New Roman" w:eastAsia="宋体" w:cs="Times New Roman"/>
        <w:b/>
        <w:bCs/>
        <w:sz w:val="20"/>
        <w:szCs w:val="20"/>
        <w:lang w:eastAsia="zh-CN"/>
      </w:rPr>
      <w:t>dayu_nm_cn</w:t>
    </w:r>
    <w:r>
      <w:rPr>
        <w:rFonts w:ascii="Times New Roman" w:hAnsi="Times New Roman" w:eastAsia="Times New Roman" w:cs="Times New Roman"/>
        <w:b/>
        <w:bCs/>
        <w:spacing w:val="15"/>
        <w:sz w:val="20"/>
        <w:szCs w:val="20"/>
      </w:rPr>
      <w:t xml:space="preserve">        </w:t>
    </w:r>
    <w:r>
      <w:rPr>
        <w:rFonts w:ascii="宋体" w:hAnsi="宋体" w:eastAsia="宋体" w:cs="宋体"/>
        <w:b/>
        <w:bCs/>
        <w:spacing w:val="15"/>
        <w:sz w:val="20"/>
        <w:szCs w:val="20"/>
      </w:rPr>
      <w:t>(</w:t>
    </w:r>
    <w:r>
      <w:rPr>
        <w:rFonts w:ascii="宋体" w:hAnsi="宋体" w:eastAsia="宋体" w:cs="宋体"/>
        <w:spacing w:val="-36"/>
        <w:sz w:val="20"/>
        <w:szCs w:val="20"/>
      </w:rPr>
      <w:t xml:space="preserve"> </w:t>
    </w:r>
    <w:r>
      <w:rPr>
        <w:rFonts w:ascii="宋体" w:hAnsi="宋体" w:eastAsia="宋体" w:cs="宋体"/>
        <w:b/>
        <w:bCs/>
        <w:spacing w:val="15"/>
        <w:sz w:val="20"/>
        <w:szCs w:val="20"/>
      </w:rPr>
      <w:t>天</w:t>
    </w:r>
    <w:r>
      <w:rPr>
        <w:rFonts w:ascii="宋体" w:hAnsi="宋体" w:eastAsia="宋体" w:cs="宋体"/>
        <w:spacing w:val="-41"/>
        <w:sz w:val="20"/>
        <w:szCs w:val="20"/>
      </w:rPr>
      <w:t xml:space="preserve"> </w:t>
    </w:r>
    <w:r>
      <w:rPr>
        <w:rFonts w:ascii="宋体" w:hAnsi="宋体" w:eastAsia="宋体" w:cs="宋体"/>
        <w:b/>
        <w:bCs/>
        <w:spacing w:val="15"/>
        <w:sz w:val="20"/>
        <w:szCs w:val="20"/>
      </w:rPr>
      <w:t>道</w:t>
    </w:r>
    <w:r>
      <w:rPr>
        <w:rFonts w:ascii="宋体" w:hAnsi="宋体" w:eastAsia="宋体" w:cs="宋体"/>
        <w:spacing w:val="-41"/>
        <w:sz w:val="20"/>
        <w:szCs w:val="20"/>
      </w:rPr>
      <w:t xml:space="preserve"> </w:t>
    </w:r>
    <w:r>
      <w:rPr>
        <w:rFonts w:ascii="宋体" w:hAnsi="宋体" w:eastAsia="宋体" w:cs="宋体"/>
        <w:b/>
        <w:bCs/>
        <w:spacing w:val="15"/>
        <w:sz w:val="20"/>
        <w:szCs w:val="20"/>
      </w:rPr>
      <w:t>酬</w:t>
    </w:r>
    <w:r>
      <w:rPr>
        <w:rFonts w:ascii="宋体" w:hAnsi="宋体" w:eastAsia="宋体" w:cs="宋体"/>
        <w:spacing w:val="-39"/>
        <w:sz w:val="20"/>
        <w:szCs w:val="20"/>
      </w:rPr>
      <w:t xml:space="preserve"> </w:t>
    </w:r>
    <w:r>
      <w:rPr>
        <w:rFonts w:ascii="宋体" w:hAnsi="宋体" w:eastAsia="宋体" w:cs="宋体"/>
        <w:b/>
        <w:bCs/>
        <w:spacing w:val="15"/>
        <w:sz w:val="20"/>
        <w:szCs w:val="20"/>
      </w:rPr>
      <w:t>勤</w:t>
    </w:r>
    <w:r>
      <w:rPr>
        <w:rFonts w:ascii="宋体" w:hAnsi="宋体" w:eastAsia="宋体" w:cs="宋体"/>
        <w:spacing w:val="-24"/>
        <w:sz w:val="20"/>
        <w:szCs w:val="20"/>
      </w:rPr>
      <w:t xml:space="preserve"> </w:t>
    </w:r>
    <w:r>
      <w:rPr>
        <w:rFonts w:ascii="宋体" w:hAnsi="宋体" w:eastAsia="宋体" w:cs="宋体"/>
        <w:b/>
        <w:bCs/>
        <w:spacing w:val="15"/>
        <w:sz w:val="20"/>
        <w:szCs w:val="20"/>
      </w:rPr>
      <w:t>，</w:t>
    </w:r>
    <w:r>
      <w:rPr>
        <w:rFonts w:ascii="宋体" w:hAnsi="宋体" w:eastAsia="宋体" w:cs="宋体"/>
        <w:spacing w:val="-11"/>
        <w:sz w:val="20"/>
        <w:szCs w:val="20"/>
      </w:rPr>
      <w:t xml:space="preserve"> </w:t>
    </w:r>
    <w:r>
      <w:rPr>
        <w:rFonts w:ascii="宋体" w:hAnsi="宋体" w:eastAsia="宋体" w:cs="宋体"/>
        <w:b/>
        <w:bCs/>
        <w:spacing w:val="15"/>
        <w:sz w:val="20"/>
        <w:szCs w:val="20"/>
      </w:rPr>
      <w:t>白</w:t>
    </w:r>
    <w:r>
      <w:rPr>
        <w:rFonts w:ascii="宋体" w:hAnsi="宋体" w:eastAsia="宋体" w:cs="宋体"/>
        <w:spacing w:val="-40"/>
        <w:sz w:val="20"/>
        <w:szCs w:val="20"/>
      </w:rPr>
      <w:t xml:space="preserve"> </w:t>
    </w:r>
    <w:r>
      <w:rPr>
        <w:rFonts w:ascii="宋体" w:hAnsi="宋体" w:eastAsia="宋体" w:cs="宋体"/>
        <w:b/>
        <w:bCs/>
        <w:spacing w:val="15"/>
        <w:sz w:val="20"/>
        <w:szCs w:val="20"/>
      </w:rPr>
      <w:t>嫖</w:t>
    </w:r>
    <w:r>
      <w:rPr>
        <w:rFonts w:ascii="宋体" w:hAnsi="宋体" w:eastAsia="宋体" w:cs="宋体"/>
        <w:spacing w:val="-34"/>
        <w:sz w:val="20"/>
        <w:szCs w:val="20"/>
      </w:rPr>
      <w:t xml:space="preserve"> </w:t>
    </w:r>
    <w:r>
      <w:rPr>
        <w:rFonts w:ascii="宋体" w:hAnsi="宋体" w:eastAsia="宋体" w:cs="宋体"/>
        <w:b/>
        <w:bCs/>
        <w:spacing w:val="15"/>
        <w:sz w:val="20"/>
        <w:szCs w:val="20"/>
      </w:rPr>
      <w:t>勿</w:t>
    </w:r>
    <w:r>
      <w:rPr>
        <w:rFonts w:ascii="宋体" w:hAnsi="宋体" w:eastAsia="宋体" w:cs="宋体"/>
        <w:spacing w:val="15"/>
        <w:sz w:val="20"/>
        <w:szCs w:val="20"/>
      </w:rPr>
      <w:t>扰</w:t>
    </w:r>
    <w:r>
      <w:rPr>
        <w:rFonts w:ascii="宋体" w:hAnsi="宋体" w:eastAsia="宋体" w:cs="宋体"/>
        <w:spacing w:val="40"/>
        <w:sz w:val="20"/>
        <w:szCs w:val="20"/>
      </w:rPr>
      <w:t xml:space="preserve"> </w:t>
    </w:r>
    <w:r>
      <w:rPr>
        <w:rFonts w:ascii="宋体" w:hAnsi="宋体" w:eastAsia="宋体" w:cs="宋体"/>
        <w:spacing w:val="15"/>
        <w:sz w:val="20"/>
        <w:szCs w:val="2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605FA">
    <w:pPr>
      <w:spacing w:line="203" w:lineRule="auto"/>
      <w:jc w:val="right"/>
      <w:rPr>
        <w:rFonts w:ascii="宋体" w:hAnsi="宋体" w:eastAsia="宋体" w:cs="宋体"/>
        <w:sz w:val="21"/>
        <w:szCs w:val="21"/>
      </w:rPr>
    </w:pPr>
    <w:r>
      <w:rPr>
        <w:rFonts w:ascii="宋体" w:hAnsi="宋体" w:eastAsia="宋体" w:cs="宋体"/>
        <w:spacing w:val="27"/>
        <w:sz w:val="21"/>
        <w:szCs w:val="21"/>
      </w:rPr>
      <w:t>专注自己通过的考试，需要资料和指导请找</w:t>
    </w:r>
    <w:r>
      <w:rPr>
        <w:rFonts w:hint="eastAsia" w:ascii="宋体" w:hAnsi="宋体" w:eastAsia="宋体" w:cs="宋体"/>
        <w:spacing w:val="27"/>
        <w:sz w:val="21"/>
        <w:szCs w:val="21"/>
        <w:lang w:eastAsia="zh-CN"/>
      </w:rPr>
      <w:t>大鱼社区</w:t>
    </w:r>
    <w:r>
      <w:rPr>
        <w:rFonts w:ascii="宋体" w:hAnsi="宋体" w:eastAsia="宋体" w:cs="宋体"/>
        <w:spacing w:val="27"/>
        <w:sz w:val="21"/>
        <w:szCs w:val="21"/>
      </w:rPr>
      <w:t>!</w:t>
    </w:r>
    <w:r>
      <w:rPr>
        <w:rFonts w:ascii="Times New Roman" w:hAnsi="Times New Roman" w:eastAsia="Times New Roman" w:cs="Times New Roman"/>
        <w:sz w:val="21"/>
        <w:szCs w:val="21"/>
      </w:rPr>
      <w:t>VX</w:t>
    </w:r>
    <w:r>
      <w:rPr>
        <w:rFonts w:ascii="Times New Roman" w:hAnsi="Times New Roman" w:eastAsia="Times New Roman" w:cs="Times New Roman"/>
        <w:spacing w:val="27"/>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6"/>
        <w:sz w:val="21"/>
        <w:szCs w:val="21"/>
      </w:rPr>
      <w:t xml:space="preserve">       </w:t>
    </w:r>
    <w:r>
      <w:rPr>
        <w:rFonts w:ascii="宋体" w:hAnsi="宋体" w:eastAsia="宋体" w:cs="宋体"/>
        <w:spacing w:val="26"/>
        <w:sz w:val="21"/>
        <w:szCs w:val="21"/>
      </w:rPr>
      <w:t>(天道酬勤，白嫖勿扰)</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60DA">
    <w:pPr>
      <w:spacing w:line="198" w:lineRule="auto"/>
      <w:jc w:val="right"/>
      <w:rPr>
        <w:rFonts w:ascii="宋体" w:hAnsi="宋体" w:eastAsia="宋体" w:cs="宋体"/>
        <w:sz w:val="21"/>
        <w:szCs w:val="21"/>
      </w:rPr>
    </w:pPr>
    <w:r>
      <w:rPr>
        <w:rFonts w:ascii="宋体" w:hAnsi="宋体" w:eastAsia="宋体" w:cs="宋体"/>
        <w:spacing w:val="24"/>
        <w:sz w:val="21"/>
        <w:szCs w:val="21"/>
      </w:rPr>
      <w:t>专注自己通过的考试，需要资料和指导请找</w:t>
    </w:r>
    <w:r>
      <w:rPr>
        <w:rFonts w:hint="eastAsia" w:ascii="宋体" w:hAnsi="宋体" w:eastAsia="宋体" w:cs="宋体"/>
        <w:spacing w:val="24"/>
        <w:sz w:val="21"/>
        <w:szCs w:val="21"/>
        <w:lang w:eastAsia="zh-CN"/>
      </w:rPr>
      <w:t>大鱼社区</w:t>
    </w:r>
    <w:r>
      <w:rPr>
        <w:rFonts w:ascii="宋体" w:hAnsi="宋体" w:eastAsia="宋体" w:cs="宋体"/>
        <w:spacing w:val="24"/>
        <w:sz w:val="21"/>
        <w:szCs w:val="21"/>
      </w:rPr>
      <w:t>!</w:t>
    </w:r>
    <w:r>
      <w:rPr>
        <w:rFonts w:ascii="宋体" w:hAnsi="宋体" w:eastAsia="宋体" w:cs="宋体"/>
        <w:spacing w:val="-57"/>
        <w:sz w:val="21"/>
        <w:szCs w:val="21"/>
      </w:rPr>
      <w:t xml:space="preserve"> </w:t>
    </w:r>
    <w:r>
      <w:rPr>
        <w:rFonts w:ascii="Times New Roman" w:hAnsi="Times New Roman" w:eastAsia="Times New Roman" w:cs="Times New Roman"/>
        <w:sz w:val="21"/>
        <w:szCs w:val="21"/>
      </w:rPr>
      <w:t>VX</w:t>
    </w:r>
    <w:r>
      <w:rPr>
        <w:rFonts w:ascii="Times New Roman" w:hAnsi="Times New Roman" w:eastAsia="Times New Roman" w:cs="Times New Roman"/>
        <w:spacing w:val="24"/>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4"/>
        <w:sz w:val="21"/>
        <w:szCs w:val="21"/>
      </w:rPr>
      <w:t xml:space="preserve">        </w:t>
    </w:r>
    <w:r>
      <w:rPr>
        <w:rFonts w:ascii="宋体" w:hAnsi="宋体" w:eastAsia="宋体" w:cs="宋体"/>
        <w:spacing w:val="24"/>
        <w:sz w:val="21"/>
        <w:szCs w:val="21"/>
      </w:rPr>
      <w:t>(天道酬勤</w:t>
    </w:r>
    <w:r>
      <w:rPr>
        <w:rFonts w:ascii="宋体" w:hAnsi="宋体" w:eastAsia="宋体" w:cs="宋体"/>
        <w:spacing w:val="23"/>
        <w:sz w:val="21"/>
        <w:szCs w:val="21"/>
      </w:rPr>
      <w:t>，白嫖勿扰)</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60DA">
    <w:pPr>
      <w:spacing w:line="198" w:lineRule="auto"/>
      <w:jc w:val="right"/>
      <w:rPr>
        <w:rFonts w:ascii="宋体" w:hAnsi="宋体" w:eastAsia="宋体" w:cs="宋体"/>
        <w:sz w:val="21"/>
        <w:szCs w:val="21"/>
      </w:rPr>
    </w:pPr>
    <w:r>
      <w:rPr>
        <w:rFonts w:ascii="宋体" w:hAnsi="宋体" w:eastAsia="宋体" w:cs="宋体"/>
        <w:spacing w:val="24"/>
        <w:sz w:val="21"/>
        <w:szCs w:val="21"/>
      </w:rPr>
      <w:t>专注自己通过的考试，需要资料和指导请找</w:t>
    </w:r>
    <w:r>
      <w:rPr>
        <w:rFonts w:hint="eastAsia" w:ascii="宋体" w:hAnsi="宋体" w:eastAsia="宋体" w:cs="宋体"/>
        <w:spacing w:val="24"/>
        <w:sz w:val="21"/>
        <w:szCs w:val="21"/>
        <w:lang w:eastAsia="zh-CN"/>
      </w:rPr>
      <w:t>大鱼社区</w:t>
    </w:r>
    <w:r>
      <w:rPr>
        <w:rFonts w:ascii="宋体" w:hAnsi="宋体" w:eastAsia="宋体" w:cs="宋体"/>
        <w:spacing w:val="24"/>
        <w:sz w:val="21"/>
        <w:szCs w:val="21"/>
      </w:rPr>
      <w:t>!</w:t>
    </w:r>
    <w:r>
      <w:rPr>
        <w:rFonts w:ascii="宋体" w:hAnsi="宋体" w:eastAsia="宋体" w:cs="宋体"/>
        <w:spacing w:val="-57"/>
        <w:sz w:val="21"/>
        <w:szCs w:val="21"/>
      </w:rPr>
      <w:t xml:space="preserve"> </w:t>
    </w:r>
    <w:r>
      <w:rPr>
        <w:rFonts w:ascii="Times New Roman" w:hAnsi="Times New Roman" w:eastAsia="Times New Roman" w:cs="Times New Roman"/>
        <w:sz w:val="21"/>
        <w:szCs w:val="21"/>
      </w:rPr>
      <w:t>VX</w:t>
    </w:r>
    <w:r>
      <w:rPr>
        <w:rFonts w:ascii="Times New Roman" w:hAnsi="Times New Roman" w:eastAsia="Times New Roman" w:cs="Times New Roman"/>
        <w:spacing w:val="24"/>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4"/>
        <w:sz w:val="21"/>
        <w:szCs w:val="21"/>
      </w:rPr>
      <w:t xml:space="preserve">        </w:t>
    </w:r>
    <w:r>
      <w:rPr>
        <w:rFonts w:ascii="宋体" w:hAnsi="宋体" w:eastAsia="宋体" w:cs="宋体"/>
        <w:spacing w:val="24"/>
        <w:sz w:val="21"/>
        <w:szCs w:val="21"/>
      </w:rPr>
      <w:t>(天道酬勤</w:t>
    </w:r>
    <w:r>
      <w:rPr>
        <w:rFonts w:ascii="宋体" w:hAnsi="宋体" w:eastAsia="宋体" w:cs="宋体"/>
        <w:spacing w:val="23"/>
        <w:sz w:val="21"/>
        <w:szCs w:val="21"/>
      </w:rPr>
      <w:t>，白嫖勿扰)</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60DA">
    <w:pPr>
      <w:spacing w:line="198" w:lineRule="auto"/>
      <w:jc w:val="right"/>
      <w:rPr>
        <w:rFonts w:ascii="宋体" w:hAnsi="宋体" w:eastAsia="宋体" w:cs="宋体"/>
        <w:sz w:val="21"/>
        <w:szCs w:val="21"/>
      </w:rPr>
    </w:pPr>
    <w:r>
      <w:rPr>
        <w:rFonts w:ascii="宋体" w:hAnsi="宋体" w:eastAsia="宋体" w:cs="宋体"/>
        <w:spacing w:val="24"/>
        <w:sz w:val="21"/>
        <w:szCs w:val="21"/>
      </w:rPr>
      <w:t>专注自己通过的考试，需要资料和指导请找</w:t>
    </w:r>
    <w:r>
      <w:rPr>
        <w:rFonts w:hint="eastAsia" w:ascii="宋体" w:hAnsi="宋体" w:eastAsia="宋体" w:cs="宋体"/>
        <w:spacing w:val="24"/>
        <w:sz w:val="21"/>
        <w:szCs w:val="21"/>
        <w:lang w:eastAsia="zh-CN"/>
      </w:rPr>
      <w:t>大鱼社区</w:t>
    </w:r>
    <w:r>
      <w:rPr>
        <w:rFonts w:ascii="宋体" w:hAnsi="宋体" w:eastAsia="宋体" w:cs="宋体"/>
        <w:spacing w:val="24"/>
        <w:sz w:val="21"/>
        <w:szCs w:val="21"/>
      </w:rPr>
      <w:t>!</w:t>
    </w:r>
    <w:r>
      <w:rPr>
        <w:rFonts w:ascii="宋体" w:hAnsi="宋体" w:eastAsia="宋体" w:cs="宋体"/>
        <w:spacing w:val="-57"/>
        <w:sz w:val="21"/>
        <w:szCs w:val="21"/>
      </w:rPr>
      <w:t xml:space="preserve"> </w:t>
    </w:r>
    <w:r>
      <w:rPr>
        <w:rFonts w:ascii="Times New Roman" w:hAnsi="Times New Roman" w:eastAsia="Times New Roman" w:cs="Times New Roman"/>
        <w:sz w:val="21"/>
        <w:szCs w:val="21"/>
      </w:rPr>
      <w:t>VX</w:t>
    </w:r>
    <w:r>
      <w:rPr>
        <w:rFonts w:ascii="Times New Roman" w:hAnsi="Times New Roman" w:eastAsia="Times New Roman" w:cs="Times New Roman"/>
        <w:spacing w:val="24"/>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4"/>
        <w:sz w:val="21"/>
        <w:szCs w:val="21"/>
      </w:rPr>
      <w:t xml:space="preserve">        </w:t>
    </w:r>
    <w:r>
      <w:rPr>
        <w:rFonts w:ascii="宋体" w:hAnsi="宋体" w:eastAsia="宋体" w:cs="宋体"/>
        <w:spacing w:val="24"/>
        <w:sz w:val="21"/>
        <w:szCs w:val="21"/>
      </w:rPr>
      <w:t>(天道酬勤</w:t>
    </w:r>
    <w:r>
      <w:rPr>
        <w:rFonts w:ascii="宋体" w:hAnsi="宋体" w:eastAsia="宋体" w:cs="宋体"/>
        <w:spacing w:val="23"/>
        <w:sz w:val="21"/>
        <w:szCs w:val="21"/>
      </w:rPr>
      <w:t>，白嫖勿扰)</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C65EE">
    <w:pPr>
      <w:spacing w:line="198" w:lineRule="auto"/>
      <w:jc w:val="right"/>
      <w:rPr>
        <w:rFonts w:ascii="宋体" w:hAnsi="宋体" w:eastAsia="宋体" w:cs="宋体"/>
        <w:sz w:val="24"/>
        <w:szCs w:val="24"/>
      </w:rPr>
    </w:pPr>
    <w:r>
      <w:rPr>
        <w:rFonts w:ascii="宋体" w:hAnsi="宋体" w:eastAsia="宋体" w:cs="宋体"/>
        <w:b/>
        <w:bCs/>
        <w:spacing w:val="-1"/>
        <w:sz w:val="24"/>
        <w:szCs w:val="24"/>
      </w:rPr>
      <w:t>专注自己通过的考试，需要资料和指导请找</w:t>
    </w:r>
    <w:r>
      <w:rPr>
        <w:rFonts w:hint="eastAsia" w:ascii="宋体" w:hAnsi="宋体" w:eastAsia="宋体" w:cs="宋体"/>
        <w:b/>
        <w:bCs/>
        <w:spacing w:val="-1"/>
        <w:sz w:val="24"/>
        <w:szCs w:val="24"/>
        <w:lang w:eastAsia="zh-CN"/>
      </w:rPr>
      <w:t>大鱼社区</w:t>
    </w:r>
    <w:r>
      <w:rPr>
        <w:rFonts w:ascii="宋体" w:hAnsi="宋体" w:eastAsia="宋体" w:cs="宋体"/>
        <w:b/>
        <w:bCs/>
        <w:spacing w:val="-1"/>
        <w:sz w:val="24"/>
        <w:szCs w:val="24"/>
      </w:rPr>
      <w:t>!</w:t>
    </w:r>
    <w:r>
      <w:rPr>
        <w:rFonts w:ascii="Times New Roman" w:hAnsi="Times New Roman" w:eastAsia="Times New Roman" w:cs="Times New Roman"/>
        <w:b/>
        <w:bCs/>
        <w:spacing w:val="-1"/>
        <w:sz w:val="24"/>
        <w:szCs w:val="24"/>
      </w:rPr>
      <w:t>VX:</w:t>
    </w:r>
    <w:r>
      <w:rPr>
        <w:rFonts w:hint="eastAsia" w:ascii="Times New Roman" w:hAnsi="Times New Roman" w:eastAsia="宋体" w:cs="Times New Roman"/>
        <w:b/>
        <w:bCs/>
        <w:spacing w:val="-1"/>
        <w:sz w:val="24"/>
        <w:szCs w:val="24"/>
        <w:lang w:eastAsia="zh-CN"/>
      </w:rPr>
      <w:t>dayu_nm_cn</w:t>
    </w:r>
    <w:r>
      <w:rPr>
        <w:rFonts w:ascii="Times New Roman" w:hAnsi="Times New Roman" w:eastAsia="Times New Roman" w:cs="Times New Roman"/>
        <w:b/>
        <w:bCs/>
        <w:spacing w:val="-1"/>
        <w:sz w:val="24"/>
        <w:szCs w:val="24"/>
      </w:rPr>
      <w:t xml:space="preserve">  </w:t>
    </w:r>
    <w:r>
      <w:rPr>
        <w:rFonts w:ascii="宋体" w:hAnsi="宋体" w:eastAsia="宋体" w:cs="宋体"/>
        <w:b/>
        <w:bCs/>
        <w:spacing w:val="-1"/>
        <w:sz w:val="24"/>
        <w:szCs w:val="24"/>
      </w:rPr>
      <w:t>(天道酬勤，白嫖勿</w:t>
    </w:r>
    <w:r>
      <w:rPr>
        <w:rFonts w:ascii="宋体" w:hAnsi="宋体" w:eastAsia="宋体" w:cs="宋体"/>
        <w:spacing w:val="-1"/>
        <w:sz w:val="24"/>
        <w:szCs w:val="24"/>
      </w:rPr>
      <w:t>扰</w:t>
    </w:r>
    <w:r>
      <w:rPr>
        <w:rFonts w:ascii="宋体" w:hAnsi="宋体" w:eastAsia="宋体" w:cs="宋体"/>
        <w:spacing w:val="-16"/>
        <w:sz w:val="24"/>
        <w:szCs w:val="24"/>
      </w:rPr>
      <w:t xml:space="preserve"> </w:t>
    </w:r>
    <w:r>
      <w:rPr>
        <w:rFonts w:ascii="宋体" w:hAnsi="宋体" w:eastAsia="宋体" w:cs="宋体"/>
        <w:spacing w:val="-1"/>
        <w:sz w:val="24"/>
        <w:szCs w:val="24"/>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0AC5A">
    <w:pPr>
      <w:spacing w:line="198" w:lineRule="auto"/>
      <w:jc w:val="right"/>
      <w:rPr>
        <w:rFonts w:ascii="宋体" w:hAnsi="宋体" w:eastAsia="宋体" w:cs="宋体"/>
        <w:sz w:val="24"/>
        <w:szCs w:val="24"/>
      </w:rPr>
    </w:pPr>
    <w:r>
      <w:rPr>
        <w:rFonts w:ascii="宋体" w:hAnsi="宋体" w:eastAsia="宋体" w:cs="宋体"/>
        <w:b/>
        <w:bCs/>
        <w:spacing w:val="1"/>
        <w:sz w:val="24"/>
        <w:szCs w:val="24"/>
      </w:rPr>
      <w:t>专注自己通过的考试，需要资料和指导请找</w:t>
    </w:r>
    <w:r>
      <w:rPr>
        <w:rFonts w:hint="eastAsia" w:ascii="宋体" w:hAnsi="宋体" w:eastAsia="宋体" w:cs="宋体"/>
        <w:b/>
        <w:bCs/>
        <w:spacing w:val="1"/>
        <w:sz w:val="24"/>
        <w:szCs w:val="24"/>
        <w:lang w:eastAsia="zh-CN"/>
      </w:rPr>
      <w:t>大鱼社区</w:t>
    </w:r>
    <w:r>
      <w:rPr>
        <w:rFonts w:ascii="宋体" w:hAnsi="宋体" w:eastAsia="宋体" w:cs="宋体"/>
        <w:b/>
        <w:bCs/>
        <w:spacing w:val="1"/>
        <w:sz w:val="24"/>
        <w:szCs w:val="24"/>
      </w:rPr>
      <w:t>!</w:t>
    </w:r>
    <w:r>
      <w:rPr>
        <w:rFonts w:ascii="Times New Roman" w:hAnsi="Times New Roman" w:eastAsia="Times New Roman" w:cs="Times New Roman"/>
        <w:b/>
        <w:bCs/>
        <w:sz w:val="24"/>
        <w:szCs w:val="24"/>
      </w:rPr>
      <w:t>VX</w:t>
    </w:r>
    <w:r>
      <w:rPr>
        <w:rFonts w:ascii="Times New Roman" w:hAnsi="Times New Roman" w:eastAsia="Times New Roman" w:cs="Times New Roman"/>
        <w:b/>
        <w:bCs/>
        <w:spacing w:val="1"/>
        <w:sz w:val="24"/>
        <w:szCs w:val="24"/>
      </w:rPr>
      <w:t>:</w:t>
    </w:r>
    <w:r>
      <w:rPr>
        <w:rFonts w:hint="eastAsia" w:ascii="Times New Roman" w:hAnsi="Times New Roman" w:eastAsia="宋体" w:cs="Times New Roman"/>
        <w:b/>
        <w:bCs/>
        <w:sz w:val="24"/>
        <w:szCs w:val="24"/>
        <w:lang w:eastAsia="zh-CN"/>
      </w:rPr>
      <w:t>dayu_nm_cn</w:t>
    </w:r>
    <w:r>
      <w:rPr>
        <w:rFonts w:ascii="Times New Roman" w:hAnsi="Times New Roman" w:eastAsia="Times New Roman" w:cs="Times New Roman"/>
        <w:b/>
        <w:bCs/>
        <w:spacing w:val="1"/>
        <w:sz w:val="24"/>
        <w:szCs w:val="24"/>
      </w:rPr>
      <w:t xml:space="preserve">  </w:t>
    </w:r>
    <w:r>
      <w:rPr>
        <w:rFonts w:ascii="宋体" w:hAnsi="宋体" w:eastAsia="宋体" w:cs="宋体"/>
        <w:b/>
        <w:bCs/>
        <w:spacing w:val="1"/>
        <w:sz w:val="24"/>
        <w:szCs w:val="24"/>
      </w:rPr>
      <w:t>(天道酬勤，白嫖勿扰)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4DBF">
    <w:pPr>
      <w:spacing w:before="31" w:line="214" w:lineRule="auto"/>
      <w:ind w:left="289"/>
      <w:rPr>
        <w:rFonts w:ascii="宋体" w:hAnsi="宋体" w:eastAsia="宋体" w:cs="宋体"/>
        <w:sz w:val="24"/>
        <w:szCs w:val="24"/>
      </w:rPr>
    </w:pPr>
    <w:r>
      <w:rPr>
        <w:rFonts w:hint="eastAsia" w:ascii="宋体" w:hAnsi="宋体" w:eastAsia="宋体" w:cs="宋体"/>
        <w:spacing w:val="5"/>
        <w:sz w:val="24"/>
        <w:szCs w:val="24"/>
        <w:lang w:eastAsia="zh-CN"/>
      </w:rPr>
      <w:t>大鱼社区</w:t>
    </w:r>
    <w:r>
      <w:rPr>
        <w:rFonts w:ascii="宋体" w:hAnsi="宋体" w:eastAsia="宋体" w:cs="宋体"/>
        <w:spacing w:val="5"/>
        <w:sz w:val="24"/>
        <w:szCs w:val="24"/>
      </w:rPr>
      <w:t>助你备考：少走弯路，快速通关!认准</w:t>
    </w:r>
    <w:r>
      <w:rPr>
        <w:rFonts w:ascii="宋体" w:hAnsi="宋体" w:eastAsia="宋体" w:cs="宋体"/>
        <w:sz w:val="24"/>
        <w:szCs w:val="24"/>
      </w:rPr>
      <w:t>VX</w:t>
    </w:r>
    <w:r>
      <w:rPr>
        <w:rFonts w:ascii="宋体" w:hAnsi="宋体" w:eastAsia="宋体" w:cs="宋体"/>
        <w:spacing w:val="5"/>
        <w:sz w:val="24"/>
        <w:szCs w:val="24"/>
      </w:rPr>
      <w:t>:</w:t>
    </w:r>
    <w:r>
      <w:rPr>
        <w:rFonts w:hint="eastAsia" w:ascii="宋体" w:hAnsi="宋体" w:eastAsia="宋体" w:cs="宋体"/>
        <w:sz w:val="24"/>
        <w:szCs w:val="24"/>
        <w:lang w:eastAsia="zh-CN"/>
      </w:rPr>
      <w:t>dayu_nm_cn</w:t>
    </w:r>
    <w:r>
      <w:rPr>
        <w:rFonts w:ascii="宋体" w:hAnsi="宋体" w:eastAsia="宋体" w:cs="宋体"/>
        <w:spacing w:val="121"/>
        <w:sz w:val="24"/>
        <w:szCs w:val="24"/>
      </w:rPr>
      <w:t xml:space="preserve"> </w:t>
    </w:r>
    <w:r>
      <w:rPr>
        <w:rFonts w:ascii="宋体" w:hAnsi="宋体" w:eastAsia="宋体" w:cs="宋体"/>
        <w:spacing w:val="5"/>
        <w:sz w:val="24"/>
        <w:szCs w:val="24"/>
      </w:rPr>
      <w:t>(天道酬勤，白嫖勿扰)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FAC90">
    <w:pPr>
      <w:spacing w:before="46" w:line="212" w:lineRule="auto"/>
      <w:ind w:left="289"/>
      <w:rPr>
        <w:rFonts w:ascii="宋体" w:hAnsi="宋体" w:eastAsia="宋体" w:cs="宋体"/>
        <w:sz w:val="20"/>
        <w:szCs w:val="20"/>
      </w:rPr>
    </w:pPr>
    <w:r>
      <w:rPr>
        <w:rFonts w:hint="eastAsia" w:ascii="宋体" w:hAnsi="宋体" w:eastAsia="宋体" w:cs="宋体"/>
        <w:spacing w:val="-10"/>
        <w:sz w:val="20"/>
        <w:szCs w:val="20"/>
        <w:lang w:eastAsia="zh-CN"/>
      </w:rPr>
      <w:t>大鱼社区</w:t>
    </w:r>
    <w:r>
      <w:rPr>
        <w:rFonts w:ascii="宋体" w:hAnsi="宋体" w:eastAsia="宋体" w:cs="宋体"/>
        <w:spacing w:val="-27"/>
        <w:sz w:val="20"/>
        <w:szCs w:val="20"/>
      </w:rPr>
      <w:t xml:space="preserve"> </w:t>
    </w:r>
    <w:r>
      <w:rPr>
        <w:rFonts w:ascii="宋体" w:hAnsi="宋体" w:eastAsia="宋体" w:cs="宋体"/>
        <w:spacing w:val="-10"/>
        <w:sz w:val="20"/>
        <w:szCs w:val="20"/>
      </w:rPr>
      <w:t>团</w:t>
    </w:r>
    <w:r>
      <w:rPr>
        <w:rFonts w:ascii="宋体" w:hAnsi="宋体" w:eastAsia="宋体" w:cs="宋体"/>
        <w:spacing w:val="-29"/>
        <w:sz w:val="20"/>
        <w:szCs w:val="20"/>
      </w:rPr>
      <w:t xml:space="preserve"> </w:t>
    </w:r>
    <w:r>
      <w:rPr>
        <w:rFonts w:ascii="宋体" w:hAnsi="宋体" w:eastAsia="宋体" w:cs="宋体"/>
        <w:spacing w:val="-10"/>
        <w:sz w:val="20"/>
        <w:szCs w:val="20"/>
      </w:rPr>
      <w:t>队</w:t>
    </w:r>
    <w:r>
      <w:rPr>
        <w:rFonts w:ascii="宋体" w:hAnsi="宋体" w:eastAsia="宋体" w:cs="宋体"/>
        <w:spacing w:val="-45"/>
        <w:sz w:val="20"/>
        <w:szCs w:val="20"/>
      </w:rPr>
      <w:t xml:space="preserve"> </w:t>
    </w:r>
    <w:r>
      <w:rPr>
        <w:rFonts w:ascii="宋体" w:hAnsi="宋体" w:eastAsia="宋体" w:cs="宋体"/>
        <w:spacing w:val="-10"/>
        <w:sz w:val="20"/>
        <w:szCs w:val="20"/>
      </w:rPr>
      <w:t>助</w:t>
    </w:r>
    <w:r>
      <w:rPr>
        <w:rFonts w:ascii="宋体" w:hAnsi="宋体" w:eastAsia="宋体" w:cs="宋体"/>
        <w:spacing w:val="-44"/>
        <w:sz w:val="20"/>
        <w:szCs w:val="20"/>
      </w:rPr>
      <w:t xml:space="preserve"> </w:t>
    </w:r>
    <w:r>
      <w:rPr>
        <w:rFonts w:ascii="宋体" w:hAnsi="宋体" w:eastAsia="宋体" w:cs="宋体"/>
        <w:spacing w:val="-10"/>
        <w:sz w:val="20"/>
        <w:szCs w:val="20"/>
      </w:rPr>
      <w:t>你</w:t>
    </w:r>
    <w:r>
      <w:rPr>
        <w:rFonts w:ascii="宋体" w:hAnsi="宋体" w:eastAsia="宋体" w:cs="宋体"/>
        <w:spacing w:val="-42"/>
        <w:sz w:val="20"/>
        <w:szCs w:val="20"/>
      </w:rPr>
      <w:t xml:space="preserve"> </w:t>
    </w:r>
    <w:r>
      <w:rPr>
        <w:rFonts w:ascii="宋体" w:hAnsi="宋体" w:eastAsia="宋体" w:cs="宋体"/>
        <w:spacing w:val="-10"/>
        <w:sz w:val="20"/>
        <w:szCs w:val="20"/>
      </w:rPr>
      <w:t>备</w:t>
    </w:r>
    <w:r>
      <w:rPr>
        <w:rFonts w:ascii="宋体" w:hAnsi="宋体" w:eastAsia="宋体" w:cs="宋体"/>
        <w:spacing w:val="-45"/>
        <w:sz w:val="20"/>
        <w:szCs w:val="20"/>
      </w:rPr>
      <w:t xml:space="preserve"> </w:t>
    </w:r>
    <w:r>
      <w:rPr>
        <w:rFonts w:ascii="宋体" w:hAnsi="宋体" w:eastAsia="宋体" w:cs="宋体"/>
        <w:spacing w:val="-10"/>
        <w:sz w:val="20"/>
        <w:szCs w:val="20"/>
      </w:rPr>
      <w:t>考</w:t>
    </w:r>
    <w:r>
      <w:rPr>
        <w:rFonts w:ascii="宋体" w:hAnsi="宋体" w:eastAsia="宋体" w:cs="宋体"/>
        <w:spacing w:val="-27"/>
        <w:sz w:val="20"/>
        <w:szCs w:val="20"/>
      </w:rPr>
      <w:t xml:space="preserve"> </w:t>
    </w:r>
    <w:r>
      <w:rPr>
        <w:rFonts w:ascii="宋体" w:hAnsi="宋体" w:eastAsia="宋体" w:cs="宋体"/>
        <w:spacing w:val="-10"/>
        <w:sz w:val="20"/>
        <w:szCs w:val="20"/>
      </w:rPr>
      <w:t>：</w:t>
    </w:r>
    <w:r>
      <w:rPr>
        <w:rFonts w:ascii="宋体" w:hAnsi="宋体" w:eastAsia="宋体" w:cs="宋体"/>
        <w:spacing w:val="-44"/>
        <w:sz w:val="20"/>
        <w:szCs w:val="20"/>
      </w:rPr>
      <w:t xml:space="preserve"> </w:t>
    </w:r>
    <w:r>
      <w:rPr>
        <w:rFonts w:ascii="宋体" w:hAnsi="宋体" w:eastAsia="宋体" w:cs="宋体"/>
        <w:spacing w:val="-10"/>
        <w:sz w:val="20"/>
        <w:szCs w:val="20"/>
      </w:rPr>
      <w:t>少</w:t>
    </w:r>
    <w:r>
      <w:rPr>
        <w:rFonts w:ascii="宋体" w:hAnsi="宋体" w:eastAsia="宋体" w:cs="宋体"/>
        <w:spacing w:val="-43"/>
        <w:sz w:val="20"/>
        <w:szCs w:val="20"/>
      </w:rPr>
      <w:t xml:space="preserve"> </w:t>
    </w:r>
    <w:r>
      <w:rPr>
        <w:rFonts w:ascii="宋体" w:hAnsi="宋体" w:eastAsia="宋体" w:cs="宋体"/>
        <w:spacing w:val="-10"/>
        <w:sz w:val="20"/>
        <w:szCs w:val="20"/>
      </w:rPr>
      <w:t>走</w:t>
    </w:r>
    <w:r>
      <w:rPr>
        <w:rFonts w:ascii="宋体" w:hAnsi="宋体" w:eastAsia="宋体" w:cs="宋体"/>
        <w:spacing w:val="-39"/>
        <w:sz w:val="20"/>
        <w:szCs w:val="20"/>
      </w:rPr>
      <w:t xml:space="preserve"> </w:t>
    </w:r>
    <w:r>
      <w:rPr>
        <w:rFonts w:ascii="宋体" w:hAnsi="宋体" w:eastAsia="宋体" w:cs="宋体"/>
        <w:spacing w:val="-10"/>
        <w:sz w:val="20"/>
        <w:szCs w:val="20"/>
      </w:rPr>
      <w:t>弯</w:t>
    </w:r>
    <w:r>
      <w:rPr>
        <w:rFonts w:ascii="宋体" w:hAnsi="宋体" w:eastAsia="宋体" w:cs="宋体"/>
        <w:spacing w:val="-44"/>
        <w:sz w:val="20"/>
        <w:szCs w:val="20"/>
      </w:rPr>
      <w:t xml:space="preserve"> </w:t>
    </w:r>
    <w:r>
      <w:rPr>
        <w:rFonts w:ascii="宋体" w:hAnsi="宋体" w:eastAsia="宋体" w:cs="宋体"/>
        <w:spacing w:val="-10"/>
        <w:sz w:val="20"/>
        <w:szCs w:val="20"/>
      </w:rPr>
      <w:t>路</w:t>
    </w:r>
    <w:r>
      <w:rPr>
        <w:rFonts w:ascii="宋体" w:hAnsi="宋体" w:eastAsia="宋体" w:cs="宋体"/>
        <w:spacing w:val="-28"/>
        <w:sz w:val="20"/>
        <w:szCs w:val="20"/>
      </w:rPr>
      <w:t xml:space="preserve"> </w:t>
    </w:r>
    <w:r>
      <w:rPr>
        <w:rFonts w:ascii="宋体" w:hAnsi="宋体" w:eastAsia="宋体" w:cs="宋体"/>
        <w:spacing w:val="-10"/>
        <w:sz w:val="20"/>
        <w:szCs w:val="20"/>
      </w:rPr>
      <w:t>，</w:t>
    </w:r>
    <w:r>
      <w:rPr>
        <w:rFonts w:ascii="宋体" w:hAnsi="宋体" w:eastAsia="宋体" w:cs="宋体"/>
        <w:spacing w:val="-42"/>
        <w:sz w:val="20"/>
        <w:szCs w:val="20"/>
      </w:rPr>
      <w:t xml:space="preserve"> </w:t>
    </w:r>
    <w:r>
      <w:rPr>
        <w:rFonts w:ascii="宋体" w:hAnsi="宋体" w:eastAsia="宋体" w:cs="宋体"/>
        <w:spacing w:val="-10"/>
        <w:sz w:val="20"/>
        <w:szCs w:val="20"/>
      </w:rPr>
      <w:t>快</w:t>
    </w:r>
    <w:r>
      <w:rPr>
        <w:rFonts w:ascii="宋体" w:hAnsi="宋体" w:eastAsia="宋体" w:cs="宋体"/>
        <w:spacing w:val="-46"/>
        <w:sz w:val="20"/>
        <w:szCs w:val="20"/>
      </w:rPr>
      <w:t xml:space="preserve"> </w:t>
    </w:r>
    <w:r>
      <w:rPr>
        <w:rFonts w:ascii="宋体" w:hAnsi="宋体" w:eastAsia="宋体" w:cs="宋体"/>
        <w:spacing w:val="-10"/>
        <w:sz w:val="20"/>
        <w:szCs w:val="20"/>
      </w:rPr>
      <w:t>速</w:t>
    </w:r>
    <w:r>
      <w:rPr>
        <w:rFonts w:ascii="宋体" w:hAnsi="宋体" w:eastAsia="宋体" w:cs="宋体"/>
        <w:spacing w:val="-44"/>
        <w:sz w:val="20"/>
        <w:szCs w:val="20"/>
      </w:rPr>
      <w:t xml:space="preserve"> </w:t>
    </w:r>
    <w:r>
      <w:rPr>
        <w:rFonts w:ascii="宋体" w:hAnsi="宋体" w:eastAsia="宋体" w:cs="宋体"/>
        <w:spacing w:val="-10"/>
        <w:sz w:val="20"/>
        <w:szCs w:val="20"/>
      </w:rPr>
      <w:t>通</w:t>
    </w:r>
    <w:r>
      <w:rPr>
        <w:rFonts w:ascii="宋体" w:hAnsi="宋体" w:eastAsia="宋体" w:cs="宋体"/>
        <w:spacing w:val="-42"/>
        <w:sz w:val="20"/>
        <w:szCs w:val="20"/>
      </w:rPr>
      <w:t xml:space="preserve"> </w:t>
    </w:r>
    <w:r>
      <w:rPr>
        <w:rFonts w:ascii="宋体" w:hAnsi="宋体" w:eastAsia="宋体" w:cs="宋体"/>
        <w:spacing w:val="-10"/>
        <w:sz w:val="20"/>
        <w:szCs w:val="20"/>
      </w:rPr>
      <w:t>关 !</w:t>
    </w:r>
    <w:r>
      <w:rPr>
        <w:rFonts w:ascii="宋体" w:hAnsi="宋体" w:eastAsia="宋体" w:cs="宋体"/>
        <w:spacing w:val="-45"/>
        <w:sz w:val="20"/>
        <w:szCs w:val="20"/>
      </w:rPr>
      <w:t xml:space="preserve"> </w:t>
    </w:r>
    <w:r>
      <w:rPr>
        <w:rFonts w:ascii="宋体" w:hAnsi="宋体" w:eastAsia="宋体" w:cs="宋体"/>
        <w:spacing w:val="-10"/>
        <w:sz w:val="20"/>
        <w:szCs w:val="20"/>
      </w:rPr>
      <w:t>认</w:t>
    </w:r>
    <w:r>
      <w:rPr>
        <w:rFonts w:ascii="宋体" w:hAnsi="宋体" w:eastAsia="宋体" w:cs="宋体"/>
        <w:spacing w:val="-43"/>
        <w:sz w:val="20"/>
        <w:szCs w:val="20"/>
      </w:rPr>
      <w:t xml:space="preserve"> </w:t>
    </w:r>
    <w:r>
      <w:rPr>
        <w:rFonts w:ascii="宋体" w:hAnsi="宋体" w:eastAsia="宋体" w:cs="宋体"/>
        <w:spacing w:val="-10"/>
        <w:sz w:val="20"/>
        <w:szCs w:val="20"/>
      </w:rPr>
      <w:t>准</w:t>
    </w:r>
    <w:r>
      <w:rPr>
        <w:rFonts w:ascii="Times New Roman" w:hAnsi="Times New Roman" w:eastAsia="Times New Roman" w:cs="Times New Roman"/>
        <w:spacing w:val="-10"/>
        <w:sz w:val="20"/>
        <w:szCs w:val="20"/>
      </w:rPr>
      <w:t xml:space="preserve">VX:   </w:t>
    </w:r>
    <w:r>
      <w:rPr>
        <w:rFonts w:hint="eastAsia" w:ascii="Times New Roman" w:hAnsi="Times New Roman" w:eastAsia="宋体" w:cs="Times New Roman"/>
        <w:spacing w:val="-10"/>
        <w:sz w:val="20"/>
        <w:szCs w:val="20"/>
        <w:lang w:eastAsia="zh-CN"/>
      </w:rPr>
      <w:t>dayu_nm_cn</w:t>
    </w:r>
    <w:r>
      <w:rPr>
        <w:rFonts w:ascii="宋体" w:hAnsi="宋体" w:eastAsia="宋体" w:cs="宋体"/>
        <w:spacing w:val="-10"/>
        <w:sz w:val="20"/>
        <w:szCs w:val="20"/>
      </w:rPr>
      <w:t xml:space="preserve"> (</w:t>
    </w:r>
    <w:r>
      <w:rPr>
        <w:rFonts w:ascii="宋体" w:hAnsi="宋体" w:eastAsia="宋体" w:cs="宋体"/>
        <w:spacing w:val="-38"/>
        <w:sz w:val="20"/>
        <w:szCs w:val="20"/>
      </w:rPr>
      <w:t xml:space="preserve"> </w:t>
    </w:r>
    <w:r>
      <w:rPr>
        <w:rFonts w:ascii="宋体" w:hAnsi="宋体" w:eastAsia="宋体" w:cs="宋体"/>
        <w:spacing w:val="-10"/>
        <w:sz w:val="20"/>
        <w:szCs w:val="20"/>
      </w:rPr>
      <w:t>天</w:t>
    </w:r>
    <w:r>
      <w:rPr>
        <w:rFonts w:ascii="宋体" w:hAnsi="宋体" w:eastAsia="宋体" w:cs="宋体"/>
        <w:spacing w:val="-43"/>
        <w:sz w:val="20"/>
        <w:szCs w:val="20"/>
      </w:rPr>
      <w:t xml:space="preserve"> </w:t>
    </w:r>
    <w:r>
      <w:rPr>
        <w:rFonts w:ascii="宋体" w:hAnsi="宋体" w:eastAsia="宋体" w:cs="宋体"/>
        <w:spacing w:val="-10"/>
        <w:sz w:val="20"/>
        <w:szCs w:val="20"/>
      </w:rPr>
      <w:t>道</w:t>
    </w:r>
    <w:r>
      <w:rPr>
        <w:rFonts w:ascii="宋体" w:hAnsi="宋体" w:eastAsia="宋体" w:cs="宋体"/>
        <w:spacing w:val="-43"/>
        <w:sz w:val="20"/>
        <w:szCs w:val="20"/>
      </w:rPr>
      <w:t xml:space="preserve"> </w:t>
    </w:r>
    <w:r>
      <w:rPr>
        <w:rFonts w:ascii="宋体" w:hAnsi="宋体" w:eastAsia="宋体" w:cs="宋体"/>
        <w:spacing w:val="-10"/>
        <w:sz w:val="20"/>
        <w:szCs w:val="20"/>
      </w:rPr>
      <w:t>酬</w:t>
    </w:r>
    <w:r>
      <w:rPr>
        <w:rFonts w:ascii="宋体" w:hAnsi="宋体" w:eastAsia="宋体" w:cs="宋体"/>
        <w:spacing w:val="-40"/>
        <w:sz w:val="20"/>
        <w:szCs w:val="20"/>
      </w:rPr>
      <w:t xml:space="preserve"> </w:t>
    </w:r>
    <w:r>
      <w:rPr>
        <w:rFonts w:ascii="宋体" w:hAnsi="宋体" w:eastAsia="宋体" w:cs="宋体"/>
        <w:spacing w:val="-10"/>
        <w:sz w:val="20"/>
        <w:szCs w:val="20"/>
      </w:rPr>
      <w:t>勤</w:t>
    </w:r>
    <w:r>
      <w:rPr>
        <w:rFonts w:ascii="宋体" w:hAnsi="宋体" w:eastAsia="宋体" w:cs="宋体"/>
        <w:spacing w:val="-26"/>
        <w:sz w:val="20"/>
        <w:szCs w:val="20"/>
      </w:rPr>
      <w:t xml:space="preserve"> </w:t>
    </w:r>
    <w:r>
      <w:rPr>
        <w:rFonts w:ascii="宋体" w:hAnsi="宋体" w:eastAsia="宋体" w:cs="宋体"/>
        <w:spacing w:val="-10"/>
        <w:sz w:val="20"/>
        <w:szCs w:val="20"/>
      </w:rPr>
      <w:t>， 白</w:t>
    </w:r>
    <w:r>
      <w:rPr>
        <w:rFonts w:ascii="宋体" w:hAnsi="宋体" w:eastAsia="宋体" w:cs="宋体"/>
        <w:spacing w:val="-42"/>
        <w:sz w:val="20"/>
        <w:szCs w:val="20"/>
      </w:rPr>
      <w:t xml:space="preserve"> </w:t>
    </w:r>
    <w:r>
      <w:rPr>
        <w:rFonts w:ascii="宋体" w:hAnsi="宋体" w:eastAsia="宋体" w:cs="宋体"/>
        <w:spacing w:val="-10"/>
        <w:sz w:val="20"/>
        <w:szCs w:val="20"/>
      </w:rPr>
      <w:t>嫖</w:t>
    </w:r>
    <w:r>
      <w:rPr>
        <w:rFonts w:ascii="宋体" w:hAnsi="宋体" w:eastAsia="宋体" w:cs="宋体"/>
        <w:spacing w:val="-36"/>
        <w:sz w:val="20"/>
        <w:szCs w:val="20"/>
      </w:rPr>
      <w:t xml:space="preserve"> </w:t>
    </w:r>
    <w:r>
      <w:rPr>
        <w:rFonts w:ascii="宋体" w:hAnsi="宋体" w:eastAsia="宋体" w:cs="宋体"/>
        <w:spacing w:val="-10"/>
        <w:sz w:val="20"/>
        <w:szCs w:val="20"/>
      </w:rPr>
      <w:t>勿</w:t>
    </w:r>
    <w:r>
      <w:rPr>
        <w:rFonts w:ascii="宋体" w:hAnsi="宋体" w:eastAsia="宋体" w:cs="宋体"/>
        <w:spacing w:val="-42"/>
        <w:sz w:val="20"/>
        <w:szCs w:val="20"/>
      </w:rPr>
      <w:t xml:space="preserve"> </w:t>
    </w:r>
    <w:r>
      <w:rPr>
        <w:rFonts w:ascii="宋体" w:hAnsi="宋体" w:eastAsia="宋体" w:cs="宋体"/>
        <w:spacing w:val="-10"/>
        <w:sz w:val="20"/>
        <w:szCs w:val="20"/>
      </w:rPr>
      <w:t>扰</w:t>
    </w:r>
    <w:r>
      <w:rPr>
        <w:rFonts w:ascii="宋体" w:hAnsi="宋体" w:eastAsia="宋体" w:cs="宋体"/>
        <w:spacing w:val="-41"/>
        <w:sz w:val="20"/>
        <w:szCs w:val="20"/>
      </w:rPr>
      <w:t xml:space="preserve"> </w:t>
    </w:r>
    <w:r>
      <w:rPr>
        <w:rFonts w:ascii="宋体" w:hAnsi="宋体" w:eastAsia="宋体" w:cs="宋体"/>
        <w:spacing w:val="-10"/>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D99C3">
    <w:pPr>
      <w:spacing w:before="46" w:line="212" w:lineRule="auto"/>
      <w:ind w:left="289"/>
      <w:rPr>
        <w:rFonts w:ascii="宋体" w:hAnsi="宋体" w:eastAsia="宋体" w:cs="宋体"/>
        <w:sz w:val="20"/>
        <w:szCs w:val="20"/>
      </w:rPr>
    </w:pPr>
    <w:r>
      <w:rPr>
        <w:rFonts w:hint="eastAsia" w:ascii="宋体" w:hAnsi="宋体" w:eastAsia="宋体" w:cs="宋体"/>
        <w:spacing w:val="-10"/>
        <w:sz w:val="20"/>
        <w:szCs w:val="20"/>
        <w:lang w:eastAsia="zh-CN"/>
      </w:rPr>
      <w:t>大鱼社区</w:t>
    </w:r>
    <w:r>
      <w:rPr>
        <w:rFonts w:ascii="宋体" w:hAnsi="宋体" w:eastAsia="宋体" w:cs="宋体"/>
        <w:spacing w:val="-27"/>
        <w:sz w:val="20"/>
        <w:szCs w:val="20"/>
      </w:rPr>
      <w:t xml:space="preserve"> </w:t>
    </w:r>
    <w:r>
      <w:rPr>
        <w:rFonts w:ascii="宋体" w:hAnsi="宋体" w:eastAsia="宋体" w:cs="宋体"/>
        <w:spacing w:val="-10"/>
        <w:sz w:val="20"/>
        <w:szCs w:val="20"/>
      </w:rPr>
      <w:t>团</w:t>
    </w:r>
    <w:r>
      <w:rPr>
        <w:rFonts w:ascii="宋体" w:hAnsi="宋体" w:eastAsia="宋体" w:cs="宋体"/>
        <w:spacing w:val="-29"/>
        <w:sz w:val="20"/>
        <w:szCs w:val="20"/>
      </w:rPr>
      <w:t xml:space="preserve"> </w:t>
    </w:r>
    <w:r>
      <w:rPr>
        <w:rFonts w:ascii="宋体" w:hAnsi="宋体" w:eastAsia="宋体" w:cs="宋体"/>
        <w:spacing w:val="-10"/>
        <w:sz w:val="20"/>
        <w:szCs w:val="20"/>
      </w:rPr>
      <w:t>队</w:t>
    </w:r>
    <w:r>
      <w:rPr>
        <w:rFonts w:ascii="宋体" w:hAnsi="宋体" w:eastAsia="宋体" w:cs="宋体"/>
        <w:spacing w:val="-46"/>
        <w:sz w:val="20"/>
        <w:szCs w:val="20"/>
      </w:rPr>
      <w:t xml:space="preserve"> </w:t>
    </w:r>
    <w:r>
      <w:rPr>
        <w:rFonts w:ascii="宋体" w:hAnsi="宋体" w:eastAsia="宋体" w:cs="宋体"/>
        <w:spacing w:val="-10"/>
        <w:sz w:val="20"/>
        <w:szCs w:val="20"/>
      </w:rPr>
      <w:t>助</w:t>
    </w:r>
    <w:r>
      <w:rPr>
        <w:rFonts w:ascii="宋体" w:hAnsi="宋体" w:eastAsia="宋体" w:cs="宋体"/>
        <w:spacing w:val="-44"/>
        <w:sz w:val="20"/>
        <w:szCs w:val="20"/>
      </w:rPr>
      <w:t xml:space="preserve"> </w:t>
    </w:r>
    <w:r>
      <w:rPr>
        <w:rFonts w:ascii="宋体" w:hAnsi="宋体" w:eastAsia="宋体" w:cs="宋体"/>
        <w:spacing w:val="-10"/>
        <w:sz w:val="20"/>
        <w:szCs w:val="20"/>
      </w:rPr>
      <w:t>你</w:t>
    </w:r>
    <w:r>
      <w:rPr>
        <w:rFonts w:ascii="宋体" w:hAnsi="宋体" w:eastAsia="宋体" w:cs="宋体"/>
        <w:spacing w:val="-43"/>
        <w:sz w:val="20"/>
        <w:szCs w:val="20"/>
      </w:rPr>
      <w:t xml:space="preserve"> </w:t>
    </w:r>
    <w:r>
      <w:rPr>
        <w:rFonts w:ascii="宋体" w:hAnsi="宋体" w:eastAsia="宋体" w:cs="宋体"/>
        <w:spacing w:val="-10"/>
        <w:sz w:val="20"/>
        <w:szCs w:val="20"/>
      </w:rPr>
      <w:t>备</w:t>
    </w:r>
    <w:r>
      <w:rPr>
        <w:rFonts w:ascii="宋体" w:hAnsi="宋体" w:eastAsia="宋体" w:cs="宋体"/>
        <w:spacing w:val="-45"/>
        <w:sz w:val="20"/>
        <w:szCs w:val="20"/>
      </w:rPr>
      <w:t xml:space="preserve"> </w:t>
    </w:r>
    <w:r>
      <w:rPr>
        <w:rFonts w:ascii="宋体" w:hAnsi="宋体" w:eastAsia="宋体" w:cs="宋体"/>
        <w:spacing w:val="-10"/>
        <w:sz w:val="20"/>
        <w:szCs w:val="20"/>
      </w:rPr>
      <w:t>考</w:t>
    </w:r>
    <w:r>
      <w:rPr>
        <w:rFonts w:ascii="宋体" w:hAnsi="宋体" w:eastAsia="宋体" w:cs="宋体"/>
        <w:spacing w:val="-28"/>
        <w:sz w:val="20"/>
        <w:szCs w:val="20"/>
      </w:rPr>
      <w:t xml:space="preserve"> </w:t>
    </w:r>
    <w:r>
      <w:rPr>
        <w:rFonts w:ascii="宋体" w:hAnsi="宋体" w:eastAsia="宋体" w:cs="宋体"/>
        <w:spacing w:val="-10"/>
        <w:sz w:val="20"/>
        <w:szCs w:val="20"/>
      </w:rPr>
      <w:t>：</w:t>
    </w:r>
    <w:r>
      <w:rPr>
        <w:rFonts w:ascii="宋体" w:hAnsi="宋体" w:eastAsia="宋体" w:cs="宋体"/>
        <w:spacing w:val="-45"/>
        <w:sz w:val="20"/>
        <w:szCs w:val="20"/>
      </w:rPr>
      <w:t xml:space="preserve"> </w:t>
    </w:r>
    <w:r>
      <w:rPr>
        <w:rFonts w:ascii="宋体" w:hAnsi="宋体" w:eastAsia="宋体" w:cs="宋体"/>
        <w:spacing w:val="-10"/>
        <w:sz w:val="20"/>
        <w:szCs w:val="20"/>
      </w:rPr>
      <w:t>少</w:t>
    </w:r>
    <w:r>
      <w:rPr>
        <w:rFonts w:ascii="宋体" w:hAnsi="宋体" w:eastAsia="宋体" w:cs="宋体"/>
        <w:spacing w:val="-42"/>
        <w:sz w:val="20"/>
        <w:szCs w:val="20"/>
      </w:rPr>
      <w:t xml:space="preserve"> </w:t>
    </w:r>
    <w:r>
      <w:rPr>
        <w:rFonts w:ascii="宋体" w:hAnsi="宋体" w:eastAsia="宋体" w:cs="宋体"/>
        <w:spacing w:val="-10"/>
        <w:sz w:val="20"/>
        <w:szCs w:val="20"/>
      </w:rPr>
      <w:t>走</w:t>
    </w:r>
    <w:r>
      <w:rPr>
        <w:rFonts w:ascii="宋体" w:hAnsi="宋体" w:eastAsia="宋体" w:cs="宋体"/>
        <w:spacing w:val="-41"/>
        <w:sz w:val="20"/>
        <w:szCs w:val="20"/>
      </w:rPr>
      <w:t xml:space="preserve"> </w:t>
    </w:r>
    <w:r>
      <w:rPr>
        <w:rFonts w:ascii="宋体" w:hAnsi="宋体" w:eastAsia="宋体" w:cs="宋体"/>
        <w:spacing w:val="-10"/>
        <w:sz w:val="20"/>
        <w:szCs w:val="20"/>
      </w:rPr>
      <w:t>弯</w:t>
    </w:r>
    <w:r>
      <w:rPr>
        <w:rFonts w:ascii="宋体" w:hAnsi="宋体" w:eastAsia="宋体" w:cs="宋体"/>
        <w:spacing w:val="-43"/>
        <w:sz w:val="20"/>
        <w:szCs w:val="20"/>
      </w:rPr>
      <w:t xml:space="preserve"> </w:t>
    </w:r>
    <w:r>
      <w:rPr>
        <w:rFonts w:ascii="宋体" w:hAnsi="宋体" w:eastAsia="宋体" w:cs="宋体"/>
        <w:spacing w:val="-10"/>
        <w:sz w:val="20"/>
        <w:szCs w:val="20"/>
      </w:rPr>
      <w:t>路</w:t>
    </w:r>
    <w:r>
      <w:rPr>
        <w:rFonts w:ascii="宋体" w:hAnsi="宋体" w:eastAsia="宋体" w:cs="宋体"/>
        <w:spacing w:val="-29"/>
        <w:sz w:val="20"/>
        <w:szCs w:val="20"/>
      </w:rPr>
      <w:t xml:space="preserve"> </w:t>
    </w:r>
    <w:r>
      <w:rPr>
        <w:rFonts w:ascii="宋体" w:hAnsi="宋体" w:eastAsia="宋体" w:cs="宋体"/>
        <w:spacing w:val="-10"/>
        <w:sz w:val="20"/>
        <w:szCs w:val="20"/>
      </w:rPr>
      <w:t>，</w:t>
    </w:r>
    <w:r>
      <w:rPr>
        <w:rFonts w:ascii="宋体" w:hAnsi="宋体" w:eastAsia="宋体" w:cs="宋体"/>
        <w:spacing w:val="-43"/>
        <w:sz w:val="20"/>
        <w:szCs w:val="20"/>
      </w:rPr>
      <w:t xml:space="preserve"> </w:t>
    </w:r>
    <w:r>
      <w:rPr>
        <w:rFonts w:ascii="宋体" w:hAnsi="宋体" w:eastAsia="宋体" w:cs="宋体"/>
        <w:spacing w:val="-10"/>
        <w:sz w:val="20"/>
        <w:szCs w:val="20"/>
      </w:rPr>
      <w:t>快</w:t>
    </w:r>
    <w:r>
      <w:rPr>
        <w:rFonts w:ascii="宋体" w:hAnsi="宋体" w:eastAsia="宋体" w:cs="宋体"/>
        <w:spacing w:val="-46"/>
        <w:sz w:val="20"/>
        <w:szCs w:val="20"/>
      </w:rPr>
      <w:t xml:space="preserve"> </w:t>
    </w:r>
    <w:r>
      <w:rPr>
        <w:rFonts w:ascii="宋体" w:hAnsi="宋体" w:eastAsia="宋体" w:cs="宋体"/>
        <w:spacing w:val="-10"/>
        <w:sz w:val="20"/>
        <w:szCs w:val="20"/>
      </w:rPr>
      <w:t>速</w:t>
    </w:r>
    <w:r>
      <w:rPr>
        <w:rFonts w:ascii="宋体" w:hAnsi="宋体" w:eastAsia="宋体" w:cs="宋体"/>
        <w:spacing w:val="-45"/>
        <w:sz w:val="20"/>
        <w:szCs w:val="20"/>
      </w:rPr>
      <w:t xml:space="preserve"> </w:t>
    </w:r>
    <w:r>
      <w:rPr>
        <w:rFonts w:ascii="宋体" w:hAnsi="宋体" w:eastAsia="宋体" w:cs="宋体"/>
        <w:spacing w:val="-10"/>
        <w:sz w:val="20"/>
        <w:szCs w:val="20"/>
      </w:rPr>
      <w:t>通</w:t>
    </w:r>
    <w:r>
      <w:rPr>
        <w:rFonts w:ascii="宋体" w:hAnsi="宋体" w:eastAsia="宋体" w:cs="宋体"/>
        <w:spacing w:val="-42"/>
        <w:sz w:val="20"/>
        <w:szCs w:val="20"/>
      </w:rPr>
      <w:t xml:space="preserve"> </w:t>
    </w:r>
    <w:r>
      <w:rPr>
        <w:rFonts w:ascii="宋体" w:hAnsi="宋体" w:eastAsia="宋体" w:cs="宋体"/>
        <w:spacing w:val="-10"/>
        <w:sz w:val="20"/>
        <w:szCs w:val="20"/>
      </w:rPr>
      <w:t>关 !</w:t>
    </w:r>
    <w:r>
      <w:rPr>
        <w:rFonts w:ascii="宋体" w:hAnsi="宋体" w:eastAsia="宋体" w:cs="宋体"/>
        <w:spacing w:val="-45"/>
        <w:sz w:val="20"/>
        <w:szCs w:val="20"/>
      </w:rPr>
      <w:t xml:space="preserve"> </w:t>
    </w:r>
    <w:r>
      <w:rPr>
        <w:rFonts w:ascii="宋体" w:hAnsi="宋体" w:eastAsia="宋体" w:cs="宋体"/>
        <w:spacing w:val="-10"/>
        <w:sz w:val="20"/>
        <w:szCs w:val="20"/>
      </w:rPr>
      <w:t>认</w:t>
    </w:r>
    <w:r>
      <w:rPr>
        <w:rFonts w:ascii="宋体" w:hAnsi="宋体" w:eastAsia="宋体" w:cs="宋体"/>
        <w:spacing w:val="-44"/>
        <w:sz w:val="20"/>
        <w:szCs w:val="20"/>
      </w:rPr>
      <w:t xml:space="preserve"> </w:t>
    </w:r>
    <w:r>
      <w:rPr>
        <w:rFonts w:ascii="宋体" w:hAnsi="宋体" w:eastAsia="宋体" w:cs="宋体"/>
        <w:spacing w:val="-10"/>
        <w:sz w:val="20"/>
        <w:szCs w:val="20"/>
      </w:rPr>
      <w:t>准</w:t>
    </w:r>
    <w:r>
      <w:rPr>
        <w:rFonts w:ascii="Times New Roman" w:hAnsi="Times New Roman" w:eastAsia="Times New Roman" w:cs="Times New Roman"/>
        <w:spacing w:val="-10"/>
        <w:sz w:val="20"/>
        <w:szCs w:val="20"/>
      </w:rPr>
      <w:t>VX:</w:t>
    </w:r>
    <w:r>
      <w:rPr>
        <w:rFonts w:ascii="Times New Roman" w:hAnsi="Times New Roman" w:eastAsia="Times New Roman" w:cs="Times New Roman"/>
        <w:spacing w:val="10"/>
        <w:sz w:val="20"/>
        <w:szCs w:val="20"/>
      </w:rPr>
      <w:t xml:space="preserve">  </w:t>
    </w:r>
    <w:r>
      <w:rPr>
        <w:rFonts w:hint="eastAsia" w:ascii="Times New Roman" w:hAnsi="Times New Roman" w:eastAsia="宋体" w:cs="Times New Roman"/>
        <w:spacing w:val="10"/>
        <w:sz w:val="20"/>
        <w:szCs w:val="20"/>
        <w:lang w:eastAsia="zh-CN"/>
      </w:rPr>
      <w:t>dayu_nm_cn</w:t>
    </w:r>
    <w:r>
      <w:rPr>
        <w:rFonts w:ascii="Times New Roman" w:hAnsi="Times New Roman" w:eastAsia="Times New Roman" w:cs="Times New Roman"/>
        <w:spacing w:val="-10"/>
        <w:sz w:val="20"/>
        <w:szCs w:val="20"/>
      </w:rPr>
      <w:t xml:space="preserve">     </w:t>
    </w:r>
    <w:r>
      <w:rPr>
        <w:rFonts w:ascii="宋体" w:hAnsi="宋体" w:eastAsia="宋体" w:cs="宋体"/>
        <w:spacing w:val="-10"/>
        <w:sz w:val="20"/>
        <w:szCs w:val="20"/>
      </w:rPr>
      <w:t>6</w:t>
    </w:r>
    <w:r>
      <w:rPr>
        <w:rFonts w:ascii="宋体" w:hAnsi="宋体" w:eastAsia="宋体" w:cs="宋体"/>
        <w:spacing w:val="-39"/>
        <w:sz w:val="20"/>
        <w:szCs w:val="20"/>
      </w:rPr>
      <w:t xml:space="preserve"> </w:t>
    </w:r>
    <w:r>
      <w:rPr>
        <w:rFonts w:ascii="宋体" w:hAnsi="宋体" w:eastAsia="宋体" w:cs="宋体"/>
        <w:spacing w:val="-10"/>
        <w:sz w:val="20"/>
        <w:szCs w:val="20"/>
      </w:rPr>
      <w:t>6</w:t>
    </w:r>
    <w:r>
      <w:rPr>
        <w:rFonts w:ascii="宋体" w:hAnsi="宋体" w:eastAsia="宋体" w:cs="宋体"/>
        <w:spacing w:val="-42"/>
        <w:sz w:val="20"/>
        <w:szCs w:val="20"/>
      </w:rPr>
      <w:t xml:space="preserve"> </w:t>
    </w:r>
    <w:r>
      <w:rPr>
        <w:rFonts w:ascii="宋体" w:hAnsi="宋体" w:eastAsia="宋体" w:cs="宋体"/>
        <w:spacing w:val="-11"/>
        <w:sz w:val="20"/>
        <w:szCs w:val="20"/>
      </w:rPr>
      <w:t>6 (</w:t>
    </w:r>
    <w:r>
      <w:rPr>
        <w:rFonts w:ascii="宋体" w:hAnsi="宋体" w:eastAsia="宋体" w:cs="宋体"/>
        <w:spacing w:val="-38"/>
        <w:sz w:val="20"/>
        <w:szCs w:val="20"/>
      </w:rPr>
      <w:t xml:space="preserve"> </w:t>
    </w:r>
    <w:r>
      <w:rPr>
        <w:rFonts w:ascii="宋体" w:hAnsi="宋体" w:eastAsia="宋体" w:cs="宋体"/>
        <w:spacing w:val="-11"/>
        <w:sz w:val="20"/>
        <w:szCs w:val="20"/>
      </w:rPr>
      <w:t>天</w:t>
    </w:r>
    <w:r>
      <w:rPr>
        <w:rFonts w:ascii="宋体" w:hAnsi="宋体" w:eastAsia="宋体" w:cs="宋体"/>
        <w:spacing w:val="-44"/>
        <w:sz w:val="20"/>
        <w:szCs w:val="20"/>
      </w:rPr>
      <w:t xml:space="preserve"> </w:t>
    </w:r>
    <w:r>
      <w:rPr>
        <w:rFonts w:ascii="宋体" w:hAnsi="宋体" w:eastAsia="宋体" w:cs="宋体"/>
        <w:spacing w:val="-11"/>
        <w:sz w:val="20"/>
        <w:szCs w:val="20"/>
      </w:rPr>
      <w:t>道</w:t>
    </w:r>
    <w:r>
      <w:rPr>
        <w:rFonts w:ascii="宋体" w:hAnsi="宋体" w:eastAsia="宋体" w:cs="宋体"/>
        <w:spacing w:val="-43"/>
        <w:sz w:val="20"/>
        <w:szCs w:val="20"/>
      </w:rPr>
      <w:t xml:space="preserve"> </w:t>
    </w:r>
    <w:r>
      <w:rPr>
        <w:rFonts w:ascii="宋体" w:hAnsi="宋体" w:eastAsia="宋体" w:cs="宋体"/>
        <w:spacing w:val="-11"/>
        <w:sz w:val="20"/>
        <w:szCs w:val="20"/>
      </w:rPr>
      <w:t>酬</w:t>
    </w:r>
    <w:r>
      <w:rPr>
        <w:rFonts w:ascii="宋体" w:hAnsi="宋体" w:eastAsia="宋体" w:cs="宋体"/>
        <w:spacing w:val="-41"/>
        <w:sz w:val="20"/>
        <w:szCs w:val="20"/>
      </w:rPr>
      <w:t xml:space="preserve"> </w:t>
    </w:r>
    <w:r>
      <w:rPr>
        <w:rFonts w:ascii="宋体" w:hAnsi="宋体" w:eastAsia="宋体" w:cs="宋体"/>
        <w:spacing w:val="-11"/>
        <w:sz w:val="20"/>
        <w:szCs w:val="20"/>
      </w:rPr>
      <w:t>勤</w:t>
    </w:r>
    <w:r>
      <w:rPr>
        <w:rFonts w:ascii="宋体" w:hAnsi="宋体" w:eastAsia="宋体" w:cs="宋体"/>
        <w:spacing w:val="-27"/>
        <w:sz w:val="20"/>
        <w:szCs w:val="20"/>
      </w:rPr>
      <w:t xml:space="preserve"> </w:t>
    </w:r>
    <w:r>
      <w:rPr>
        <w:rFonts w:ascii="宋体" w:hAnsi="宋体" w:eastAsia="宋体" w:cs="宋体"/>
        <w:spacing w:val="-11"/>
        <w:sz w:val="20"/>
        <w:szCs w:val="20"/>
      </w:rPr>
      <w:t>， 白</w:t>
    </w:r>
    <w:r>
      <w:rPr>
        <w:rFonts w:ascii="宋体" w:hAnsi="宋体" w:eastAsia="宋体" w:cs="宋体"/>
        <w:spacing w:val="-42"/>
        <w:sz w:val="20"/>
        <w:szCs w:val="20"/>
      </w:rPr>
      <w:t xml:space="preserve"> </w:t>
    </w:r>
    <w:r>
      <w:rPr>
        <w:rFonts w:ascii="宋体" w:hAnsi="宋体" w:eastAsia="宋体" w:cs="宋体"/>
        <w:spacing w:val="-11"/>
        <w:sz w:val="20"/>
        <w:szCs w:val="20"/>
      </w:rPr>
      <w:t>嫖</w:t>
    </w:r>
    <w:r>
      <w:rPr>
        <w:rFonts w:ascii="宋体" w:hAnsi="宋体" w:eastAsia="宋体" w:cs="宋体"/>
        <w:spacing w:val="-37"/>
        <w:sz w:val="20"/>
        <w:szCs w:val="20"/>
      </w:rPr>
      <w:t xml:space="preserve"> </w:t>
    </w:r>
    <w:r>
      <w:rPr>
        <w:rFonts w:ascii="宋体" w:hAnsi="宋体" w:eastAsia="宋体" w:cs="宋体"/>
        <w:spacing w:val="-11"/>
        <w:sz w:val="20"/>
        <w:szCs w:val="20"/>
      </w:rPr>
      <w:t>勿</w:t>
    </w:r>
    <w:r>
      <w:rPr>
        <w:rFonts w:ascii="宋体" w:hAnsi="宋体" w:eastAsia="宋体" w:cs="宋体"/>
        <w:spacing w:val="-43"/>
        <w:sz w:val="20"/>
        <w:szCs w:val="20"/>
      </w:rPr>
      <w:t xml:space="preserve"> </w:t>
    </w:r>
    <w:r>
      <w:rPr>
        <w:rFonts w:ascii="宋体" w:hAnsi="宋体" w:eastAsia="宋体" w:cs="宋体"/>
        <w:spacing w:val="-11"/>
        <w:sz w:val="20"/>
        <w:szCs w:val="20"/>
      </w:rPr>
      <w:t>扰</w:t>
    </w:r>
    <w:r>
      <w:rPr>
        <w:rFonts w:ascii="宋体" w:hAnsi="宋体" w:eastAsia="宋体" w:cs="宋体"/>
        <w:spacing w:val="-42"/>
        <w:sz w:val="20"/>
        <w:szCs w:val="20"/>
      </w:rPr>
      <w:t xml:space="preserve"> </w:t>
    </w:r>
    <w:r>
      <w:rPr>
        <w:rFonts w:ascii="宋体" w:hAnsi="宋体" w:eastAsia="宋体" w:cs="宋体"/>
        <w:spacing w:val="-11"/>
        <w:sz w:val="20"/>
        <w:szCs w:val="20"/>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B9E3D">
    <w:pPr>
      <w:spacing w:before="44" w:line="212" w:lineRule="auto"/>
      <w:ind w:left="310"/>
      <w:rPr>
        <w:rFonts w:ascii="宋体" w:hAnsi="宋体" w:eastAsia="宋体" w:cs="宋体"/>
        <w:sz w:val="21"/>
        <w:szCs w:val="21"/>
      </w:rPr>
    </w:pPr>
    <w:r>
      <w:rPr>
        <w:rFonts w:hint="eastAsia" w:ascii="宋体" w:hAnsi="宋体" w:eastAsia="宋体" w:cs="宋体"/>
        <w:spacing w:val="28"/>
        <w:sz w:val="21"/>
        <w:szCs w:val="21"/>
        <w:lang w:eastAsia="zh-CN"/>
      </w:rPr>
      <w:t>大鱼社区</w:t>
    </w:r>
    <w:r>
      <w:rPr>
        <w:rFonts w:ascii="宋体" w:hAnsi="宋体" w:eastAsia="宋体" w:cs="宋体"/>
        <w:spacing w:val="28"/>
        <w:sz w:val="21"/>
        <w:szCs w:val="21"/>
      </w:rPr>
      <w:t>助你备考：少走弯路，快速通关!认准</w:t>
    </w:r>
    <w:r>
      <w:rPr>
        <w:rFonts w:ascii="Times New Roman" w:hAnsi="Times New Roman" w:eastAsia="Times New Roman" w:cs="Times New Roman"/>
        <w:sz w:val="21"/>
        <w:szCs w:val="21"/>
      </w:rPr>
      <w:t>VX</w:t>
    </w:r>
    <w:r>
      <w:rPr>
        <w:rFonts w:ascii="Times New Roman" w:hAnsi="Times New Roman" w:eastAsia="Times New Roman" w:cs="Times New Roman"/>
        <w:spacing w:val="28"/>
        <w:sz w:val="21"/>
        <w:szCs w:val="21"/>
      </w:rPr>
      <w:t>:</w:t>
    </w:r>
    <w:r>
      <w:rPr>
        <w:rFonts w:hint="eastAsia" w:ascii="Times New Roman" w:hAnsi="Times New Roman" w:eastAsia="宋体" w:cs="Times New Roman"/>
        <w:sz w:val="21"/>
        <w:szCs w:val="21"/>
        <w:lang w:eastAsia="zh-CN"/>
      </w:rPr>
      <w:t>dayu_nm_cn</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27"/>
        <w:sz w:val="21"/>
        <w:szCs w:val="21"/>
      </w:rPr>
      <w:t xml:space="preserve"> </w:t>
    </w:r>
    <w:r>
      <w:rPr>
        <w:rFonts w:ascii="宋体" w:hAnsi="宋体" w:eastAsia="宋体" w:cs="宋体"/>
        <w:spacing w:val="27"/>
        <w:sz w:val="21"/>
        <w:szCs w:val="21"/>
      </w:rPr>
      <w:t>(天道酬勤，白嫖勿扰)</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15B25">
    <w:pPr>
      <w:spacing w:before="22" w:line="212" w:lineRule="auto"/>
      <w:ind w:left="290"/>
      <w:rPr>
        <w:rFonts w:ascii="宋体" w:hAnsi="宋体" w:eastAsia="宋体" w:cs="宋体"/>
        <w:sz w:val="24"/>
        <w:szCs w:val="24"/>
      </w:rPr>
    </w:pPr>
    <w:r>
      <w:rPr>
        <w:rFonts w:hint="eastAsia" w:ascii="宋体" w:hAnsi="宋体" w:eastAsia="宋体" w:cs="宋体"/>
        <w:b/>
        <w:bCs/>
        <w:spacing w:val="2"/>
        <w:sz w:val="24"/>
        <w:szCs w:val="24"/>
        <w:lang w:eastAsia="zh-CN"/>
      </w:rPr>
      <w:t>大鱼社区</w:t>
    </w:r>
    <w:r>
      <w:rPr>
        <w:rFonts w:ascii="宋体" w:hAnsi="宋体" w:eastAsia="宋体" w:cs="宋体"/>
        <w:b/>
        <w:bCs/>
        <w:spacing w:val="2"/>
        <w:sz w:val="24"/>
        <w:szCs w:val="24"/>
      </w:rPr>
      <w:t>助你备考：少走弯路，快速通关!认准</w:t>
    </w:r>
    <w:r>
      <w:rPr>
        <w:rFonts w:ascii="Times New Roman" w:hAnsi="Times New Roman" w:eastAsia="Times New Roman" w:cs="Times New Roman"/>
        <w:b/>
        <w:bCs/>
        <w:sz w:val="24"/>
        <w:szCs w:val="24"/>
      </w:rPr>
      <w:t>VX</w:t>
    </w:r>
    <w:r>
      <w:rPr>
        <w:rFonts w:ascii="Times New Roman" w:hAnsi="Times New Roman" w:eastAsia="Times New Roman" w:cs="Times New Roman"/>
        <w:b/>
        <w:bCs/>
        <w:spacing w:val="2"/>
        <w:sz w:val="24"/>
        <w:szCs w:val="24"/>
      </w:rPr>
      <w:t>:</w:t>
    </w:r>
    <w:r>
      <w:rPr>
        <w:rFonts w:hint="eastAsia" w:ascii="Times New Roman" w:hAnsi="Times New Roman" w:eastAsia="宋体" w:cs="Times New Roman"/>
        <w:b/>
        <w:bCs/>
        <w:sz w:val="24"/>
        <w:szCs w:val="24"/>
        <w:lang w:eastAsia="zh-CN"/>
      </w:rPr>
      <w:t>dayu_nm_cn</w:t>
    </w:r>
    <w:r>
      <w:rPr>
        <w:rFonts w:ascii="Times New Roman" w:hAnsi="Times New Roman" w:eastAsia="Times New Roman" w:cs="Times New Roman"/>
        <w:b/>
        <w:bCs/>
        <w:spacing w:val="2"/>
        <w:sz w:val="24"/>
        <w:szCs w:val="24"/>
      </w:rPr>
      <w:t xml:space="preserve">  </w:t>
    </w:r>
    <w:r>
      <w:rPr>
        <w:rFonts w:ascii="宋体" w:hAnsi="宋体" w:eastAsia="宋体" w:cs="宋体"/>
        <w:b/>
        <w:bCs/>
        <w:spacing w:val="2"/>
        <w:sz w:val="24"/>
        <w:szCs w:val="24"/>
      </w:rPr>
      <w:t>(天道酬勤，白嫖勿扰</w:t>
    </w:r>
    <w:r>
      <w:rPr>
        <w:rFonts w:ascii="宋体" w:hAnsi="宋体" w:eastAsia="宋体" w:cs="宋体"/>
        <w:spacing w:val="2"/>
        <w:sz w:val="24"/>
        <w:szCs w:val="24"/>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590C6">
    <w:pPr>
      <w:spacing w:before="55" w:line="212" w:lineRule="auto"/>
      <w:ind w:left="173"/>
      <w:rPr>
        <w:rFonts w:ascii="宋体" w:hAnsi="宋体" w:eastAsia="宋体" w:cs="宋体"/>
        <w:sz w:val="24"/>
        <w:szCs w:val="24"/>
      </w:rPr>
    </w:pPr>
    <w:r>
      <w:rPr>
        <w:rFonts w:hint="eastAsia" w:ascii="宋体" w:hAnsi="宋体" w:eastAsia="宋体" w:cs="宋体"/>
        <w:b/>
        <w:bCs/>
        <w:spacing w:val="2"/>
        <w:sz w:val="24"/>
        <w:szCs w:val="24"/>
        <w:lang w:eastAsia="zh-CN"/>
      </w:rPr>
      <w:t>大鱼社区</w:t>
    </w:r>
    <w:r>
      <w:rPr>
        <w:rFonts w:ascii="宋体" w:hAnsi="宋体" w:eastAsia="宋体" w:cs="宋体"/>
        <w:b/>
        <w:bCs/>
        <w:spacing w:val="2"/>
        <w:sz w:val="24"/>
        <w:szCs w:val="24"/>
      </w:rPr>
      <w:t>助你备考：少走弯路，快速通关!认准</w:t>
    </w:r>
    <w:r>
      <w:rPr>
        <w:rFonts w:ascii="Times New Roman" w:hAnsi="Times New Roman" w:eastAsia="Times New Roman" w:cs="Times New Roman"/>
        <w:b/>
        <w:bCs/>
        <w:sz w:val="24"/>
        <w:szCs w:val="24"/>
      </w:rPr>
      <w:t>VX</w:t>
    </w:r>
    <w:r>
      <w:rPr>
        <w:rFonts w:ascii="Times New Roman" w:hAnsi="Times New Roman" w:eastAsia="Times New Roman" w:cs="Times New Roman"/>
        <w:b/>
        <w:bCs/>
        <w:spacing w:val="2"/>
        <w:sz w:val="24"/>
        <w:szCs w:val="24"/>
      </w:rPr>
      <w:t>:</w:t>
    </w:r>
    <w:r>
      <w:rPr>
        <w:rFonts w:hint="eastAsia" w:ascii="Times New Roman" w:hAnsi="Times New Roman" w:eastAsia="宋体" w:cs="Times New Roman"/>
        <w:b/>
        <w:bCs/>
        <w:sz w:val="24"/>
        <w:szCs w:val="24"/>
        <w:lang w:eastAsia="zh-CN"/>
      </w:rPr>
      <w:t>dayu_nm_cn</w:t>
    </w:r>
    <w:r>
      <w:rPr>
        <w:rFonts w:ascii="Times New Roman" w:hAnsi="Times New Roman" w:eastAsia="Times New Roman" w:cs="Times New Roman"/>
        <w:b/>
        <w:bCs/>
        <w:spacing w:val="1"/>
        <w:sz w:val="24"/>
        <w:szCs w:val="24"/>
      </w:rPr>
      <w:t xml:space="preserve">  </w:t>
    </w:r>
    <w:r>
      <w:rPr>
        <w:rFonts w:ascii="宋体" w:hAnsi="宋体" w:eastAsia="宋体" w:cs="宋体"/>
        <w:b/>
        <w:bCs/>
        <w:spacing w:val="1"/>
        <w:sz w:val="24"/>
        <w:szCs w:val="24"/>
      </w:rPr>
      <w:t>(天道酬勤，白嫖勿扰</w:t>
    </w:r>
    <w:r>
      <w:rPr>
        <w:rFonts w:ascii="宋体" w:hAnsi="宋体" w:eastAsia="宋体" w:cs="宋体"/>
        <w:spacing w:val="1"/>
        <w:sz w:val="24"/>
        <w:szCs w:val="24"/>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DDC7C">
    <w:pPr>
      <w:spacing w:before="56" w:line="214" w:lineRule="auto"/>
      <w:ind w:left="289"/>
      <w:rPr>
        <w:rFonts w:ascii="宋体" w:hAnsi="宋体" w:eastAsia="宋体" w:cs="宋体"/>
        <w:sz w:val="21"/>
        <w:szCs w:val="21"/>
      </w:rPr>
    </w:pPr>
    <w:r>
      <w:rPr>
        <w:rFonts w:hint="eastAsia" w:ascii="宋体" w:hAnsi="宋体" w:eastAsia="宋体" w:cs="宋体"/>
        <w:spacing w:val="30"/>
        <w:sz w:val="21"/>
        <w:szCs w:val="21"/>
        <w:lang w:eastAsia="zh-CN"/>
      </w:rPr>
      <w:t>大鱼社区</w:t>
    </w:r>
    <w:r>
      <w:rPr>
        <w:rFonts w:ascii="宋体" w:hAnsi="宋体" w:eastAsia="宋体" w:cs="宋体"/>
        <w:spacing w:val="30"/>
        <w:sz w:val="21"/>
        <w:szCs w:val="21"/>
      </w:rPr>
      <w:t>助你备考：少走弯路，快速通关!认准</w:t>
    </w:r>
    <w:r>
      <w:rPr>
        <w:rFonts w:ascii="宋体" w:hAnsi="宋体" w:eastAsia="宋体" w:cs="宋体"/>
        <w:sz w:val="21"/>
        <w:szCs w:val="21"/>
      </w:rPr>
      <w:t>VX</w:t>
    </w:r>
    <w:r>
      <w:rPr>
        <w:rFonts w:ascii="宋体" w:hAnsi="宋体" w:eastAsia="宋体" w:cs="宋体"/>
        <w:spacing w:val="30"/>
        <w:sz w:val="21"/>
        <w:szCs w:val="21"/>
      </w:rPr>
      <w:t>:</w:t>
    </w:r>
    <w:r>
      <w:rPr>
        <w:rFonts w:hint="eastAsia" w:ascii="宋体" w:hAnsi="宋体" w:eastAsia="宋体" w:cs="宋体"/>
        <w:sz w:val="21"/>
        <w:szCs w:val="21"/>
        <w:lang w:eastAsia="zh-CN"/>
      </w:rPr>
      <w:t>dayu_nm_cn</w:t>
    </w:r>
    <w:r>
      <w:rPr>
        <w:rFonts w:ascii="宋体" w:hAnsi="宋体" w:eastAsia="宋体" w:cs="宋体"/>
        <w:spacing w:val="17"/>
        <w:sz w:val="21"/>
        <w:szCs w:val="21"/>
      </w:rPr>
      <w:t xml:space="preserve">    </w:t>
    </w:r>
    <w:r>
      <w:rPr>
        <w:rFonts w:ascii="宋体" w:hAnsi="宋体" w:eastAsia="宋体" w:cs="宋体"/>
        <w:spacing w:val="30"/>
        <w:sz w:val="21"/>
        <w:szCs w:val="21"/>
      </w:rPr>
      <w:t>(天道酬勤，白嫖勿扰)</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112E5">
    <w:pPr>
      <w:spacing w:before="1" w:line="218" w:lineRule="auto"/>
      <w:ind w:left="1365" w:right="359" w:hanging="1079"/>
      <w:rPr>
        <w:rFonts w:hint="eastAsia" w:ascii="宋体" w:hAnsi="宋体" w:eastAsia="宋体" w:cs="宋体"/>
        <w:sz w:val="20"/>
        <w:szCs w:val="20"/>
        <w:lang w:eastAsia="zh-CN"/>
      </w:rPr>
    </w:pPr>
    <w:r>
      <w:rPr>
        <w:rFonts w:hint="eastAsia" w:ascii="宋体" w:hAnsi="宋体" w:eastAsia="宋体" w:cs="宋体"/>
        <w:spacing w:val="5"/>
        <w:sz w:val="24"/>
        <w:szCs w:val="24"/>
        <w:lang w:eastAsia="zh-CN"/>
      </w:rPr>
      <w:t>大鱼社区</w:t>
    </w:r>
    <w:r>
      <w:rPr>
        <w:rFonts w:ascii="宋体" w:hAnsi="宋体" w:eastAsia="宋体" w:cs="宋体"/>
        <w:spacing w:val="5"/>
        <w:sz w:val="24"/>
        <w:szCs w:val="24"/>
      </w:rPr>
      <w:t>助你备考：少走弯路，快速通关!认准</w:t>
    </w:r>
    <w:r>
      <w:rPr>
        <w:rFonts w:ascii="Times New Roman" w:hAnsi="Times New Roman" w:eastAsia="Times New Roman" w:cs="Times New Roman"/>
        <w:sz w:val="24"/>
        <w:szCs w:val="24"/>
      </w:rPr>
      <w:t>VX</w:t>
    </w:r>
    <w:r>
      <w:rPr>
        <w:rFonts w:ascii="Times New Roman" w:hAnsi="Times New Roman" w:eastAsia="Times New Roman" w:cs="Times New Roman"/>
        <w:spacing w:val="5"/>
        <w:sz w:val="24"/>
        <w:szCs w:val="24"/>
      </w:rPr>
      <w:t>:</w:t>
    </w:r>
    <w:r>
      <w:rPr>
        <w:rFonts w:hint="eastAsia" w:ascii="Times New Roman" w:hAnsi="Times New Roman" w:eastAsia="宋体" w:cs="Times New Roman"/>
        <w:sz w:val="24"/>
        <w:szCs w:val="24"/>
        <w:lang w:eastAsia="zh-CN"/>
      </w:rPr>
      <w:t>dayu_nm_cn</w:t>
    </w:r>
    <w:r>
      <w:rPr>
        <w:rFonts w:ascii="Times New Roman" w:hAnsi="Times New Roman" w:eastAsia="Times New Roman" w:cs="Times New Roman"/>
        <w:spacing w:val="20"/>
        <w:w w:val="101"/>
        <w:sz w:val="24"/>
        <w:szCs w:val="24"/>
      </w:rPr>
      <w:t xml:space="preserve">   </w:t>
    </w:r>
    <w:r>
      <w:rPr>
        <w:rFonts w:ascii="宋体" w:hAnsi="宋体" w:eastAsia="宋体" w:cs="宋体"/>
        <w:spacing w:val="5"/>
        <w:sz w:val="24"/>
        <w:szCs w:val="24"/>
      </w:rPr>
      <w:t>(天道酬勤，白嫖勿扰)</w:t>
    </w:r>
    <w:r>
      <w:rPr>
        <w:rFonts w:ascii="宋体" w:hAnsi="宋体" w:eastAsia="宋体" w:cs="宋体"/>
        <w:sz w:val="24"/>
        <w:szCs w:val="24"/>
      </w:rPr>
      <w:t xml:space="preserve"> </w:t>
    </w:r>
    <w:r>
      <w:rPr>
        <w:rFonts w:ascii="宋体" w:hAnsi="宋体" w:eastAsia="宋体" w:cs="宋体"/>
        <w:spacing w:val="8"/>
        <w:sz w:val="20"/>
        <w:szCs w:val="20"/>
      </w:rPr>
      <w:t>一建教材一套四本60元</w:t>
    </w:r>
    <w:r>
      <w:rPr>
        <w:rFonts w:ascii="宋体" w:hAnsi="宋体" w:eastAsia="宋体" w:cs="宋体"/>
        <w:spacing w:val="45"/>
        <w:sz w:val="20"/>
        <w:szCs w:val="20"/>
      </w:rPr>
      <w:t xml:space="preserve">  </w:t>
    </w:r>
    <w:r>
      <w:rPr>
        <w:rFonts w:ascii="宋体" w:hAnsi="宋体" w:eastAsia="宋体" w:cs="宋体"/>
        <w:spacing w:val="8"/>
        <w:sz w:val="20"/>
        <w:szCs w:val="20"/>
      </w:rPr>
      <w:t>群主微信</w:t>
    </w:r>
    <w:r>
      <w:rPr>
        <w:rFonts w:ascii="宋体" w:hAnsi="宋体" w:eastAsia="宋体" w:cs="宋体"/>
        <w:spacing w:val="69"/>
        <w:sz w:val="20"/>
        <w:szCs w:val="20"/>
      </w:rPr>
      <w:t xml:space="preserve"> </w:t>
    </w:r>
    <w:r>
      <w:rPr>
        <w:rFonts w:hint="eastAsia" w:ascii="Times New Roman" w:hAnsi="Times New Roman" w:eastAsia="宋体" w:cs="Times New Roman"/>
        <w:sz w:val="20"/>
        <w:szCs w:val="20"/>
        <w:lang w:eastAsia="zh-CN"/>
      </w:rPr>
      <w:t>dayu_nm_cn</w:t>
    </w:r>
    <w:r>
      <w:rPr>
        <w:rFonts w:ascii="Times New Roman" w:hAnsi="Times New Roman" w:eastAsia="Times New Roman" w:cs="Times New Roman"/>
        <w:spacing w:val="8"/>
        <w:sz w:val="20"/>
        <w:szCs w:val="20"/>
      </w:rPr>
      <w:t xml:space="preserve">   </w:t>
    </w:r>
    <w:r>
      <w:rPr>
        <w:rFonts w:ascii="Times New Roman" w:hAnsi="Times New Roman" w:eastAsia="Times New Roman" w:cs="Times New Roman"/>
        <w:spacing w:val="7"/>
        <w:sz w:val="20"/>
        <w:szCs w:val="20"/>
      </w:rPr>
      <w:t xml:space="preserve">    </w:t>
    </w:r>
    <w:r>
      <w:rPr>
        <w:rFonts w:ascii="宋体" w:hAnsi="宋体" w:eastAsia="宋体" w:cs="宋体"/>
        <w:spacing w:val="7"/>
        <w:sz w:val="20"/>
        <w:szCs w:val="20"/>
      </w:rPr>
      <w:t>一级建造师学习群</w:t>
    </w:r>
    <w:r>
      <w:rPr>
        <w:rFonts w:hint="eastAsia" w:ascii="宋体" w:hAnsi="宋体" w:eastAsia="宋体" w:cs="宋体"/>
        <w:spacing w:val="7"/>
        <w:sz w:val="20"/>
        <w:szCs w:val="20"/>
        <w:lang w:eastAsia="zh-CN"/>
      </w:rPr>
      <w:t>dayu_nm_cn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ECB3FBA"/>
    <w:rsid w:val="14952165"/>
    <w:rsid w:val="16037773"/>
    <w:rsid w:val="1E74751A"/>
    <w:rsid w:val="2411483D"/>
    <w:rsid w:val="24A2182C"/>
    <w:rsid w:val="29D97D1B"/>
    <w:rsid w:val="2B860FD2"/>
    <w:rsid w:val="2C6E6369"/>
    <w:rsid w:val="31A00094"/>
    <w:rsid w:val="3AD62352"/>
    <w:rsid w:val="3D211F38"/>
    <w:rsid w:val="42696DD2"/>
    <w:rsid w:val="4748771A"/>
    <w:rsid w:val="513149E8"/>
    <w:rsid w:val="54FE6640"/>
    <w:rsid w:val="5E111E29"/>
    <w:rsid w:val="66D9694C"/>
    <w:rsid w:val="675E368C"/>
    <w:rsid w:val="79FF69C4"/>
    <w:rsid w:val="7D5A6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image" Target="media/image15.png"/><Relationship Id="rId35" Type="http://schemas.openxmlformats.org/officeDocument/2006/relationships/image" Target="media/image14.png"/><Relationship Id="rId34" Type="http://schemas.openxmlformats.org/officeDocument/2006/relationships/image" Target="media/image13.png"/><Relationship Id="rId33" Type="http://schemas.openxmlformats.org/officeDocument/2006/relationships/image" Target="media/image12.png"/><Relationship Id="rId32" Type="http://schemas.openxmlformats.org/officeDocument/2006/relationships/image" Target="media/image11.jpeg"/><Relationship Id="rId31" Type="http://schemas.openxmlformats.org/officeDocument/2006/relationships/image" Target="media/image10.png"/><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jpe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jpeg"/><Relationship Id="rId24" Type="http://schemas.openxmlformats.org/officeDocument/2006/relationships/image" Target="media/image3.jpeg"/><Relationship Id="rId23" Type="http://schemas.openxmlformats.org/officeDocument/2006/relationships/image" Target="media/image2.jpe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footer" Target="footer4.xml"/><Relationship Id="rId14" Type="http://schemas.openxmlformats.org/officeDocument/2006/relationships/header" Target="header7.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footer" Target="footer2.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3"/>
    <customShpInfo spid="_x0000_s1035"/>
    <customShpInfo spid="_x0000_s1036"/>
    <customShpInfo spid="_x0000_s1034"/>
    <customShpInfo spid="_x0000_s1038"/>
    <customShpInfo spid="_x0000_s1039"/>
    <customShpInfo spid="_x0000_s1037"/>
    <customShpInfo spid="_x0000_s1026" textRotate="1"/>
    <customShpInfo spid="_x0000_s1041"/>
    <customShpInfo spid="_x0000_s1042"/>
    <customShpInfo spid="_x0000_s1043"/>
    <customShpInfo spid="_x0000_s1044"/>
    <customShpInfo spid="_x0000_s104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3199</Words>
  <Characters>3594</Characters>
  <TotalTime>20</TotalTime>
  <ScaleCrop>false</ScaleCrop>
  <LinksUpToDate>false</LinksUpToDate>
  <CharactersWithSpaces>4053</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2026-01-13T22:40:00Z</dcterms:created>
  <dc:creator>Administrator</dc:creator>
  <cp:lastModifiedBy>薛飞</cp:lastModifiedBy>
  <dcterms:modified xsi:type="dcterms:W3CDTF">2026-01-13T15:09:30Z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2026-01-13T22:40:24Z</vt:filetime>
  </property>
  <property fmtid="{D5CDD505-2E9C-101B-9397-08002B2CF9AE}" pid="4" name="UsrData">
    <vt:lpwstr>6966594cf4e5d9001f88577bwl</vt:lpwstr>
  </property>
  <property fmtid="{D5CDD505-2E9C-101B-9397-08002B2CF9AE}" pid="5" name="KSOTemplateDocerSaveRecord">
    <vt:lpwstr>eyJoZGlkIjoiZjkwMTBkN2I3YTM0ZGM0MmNiNGVlODY4ZWE2YWNlNWMiLCJ1c2VySWQiOiI5NTk2ODI5NzQifQ==</vt:lpwstr>
  </property>
  <property fmtid="{D5CDD505-2E9C-101B-9397-08002B2CF9AE}" pid="6" name="KSOProductBuildVer">
    <vt:lpwstr>2052-12.1.0.24034</vt:lpwstr>
  </property>
  <property fmtid="{D5CDD505-2E9C-101B-9397-08002B2CF9AE}" pid="7" name="ICV">
    <vt:lpwstr>D68BC82F33524086BDDB7BA2A9FD23E3_12</vt:lpwstr>
  </property>
</Properties>
</file>